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edea3d" w14:textId="2edea3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постановления Правительства Республики Казахстан от 11 декабря 2018 года № 820 "О некоторых вопросах обеспечения долгосрочной тенговой ликвидности для решения задачи доступного кредитования" и от 31 декабря 2019 года № 1060 "О некоторых мерах государственной поддержки частного предпринимательства"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17 февраля 2023 года № 139. Утратило силу постановлением Правительства Республики Казахстан от 26 апреля 2024 года № 336.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Правительства РК от 26.04.2024 </w:t>
      </w:r>
      <w:r>
        <w:rPr>
          <w:rFonts w:ascii="Times New Roman"/>
          <w:b w:val="false"/>
          <w:i w:val="false"/>
          <w:color w:val="ff0000"/>
          <w:sz w:val="28"/>
        </w:rPr>
        <w:t>№ 336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Правительство Республики Казахстан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Внести в некоторые решения Правительства Республики Казахстан следующие изменения и дополнения: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11 декабря 2018 года № 820 "О некоторых вопросах обеспечения долгосрочной тенговой ликвидности для решения задачи доступного кредитования":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механизме</w:t>
      </w:r>
      <w:r>
        <w:rPr>
          <w:rFonts w:ascii="Times New Roman"/>
          <w:b w:val="false"/>
          <w:i w:val="false"/>
          <w:color w:val="000000"/>
          <w:sz w:val="28"/>
        </w:rPr>
        <w:t xml:space="preserve"> кредитования и финансового лизинга приоритетных проектов, утвержденном указанным постановлением: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3 изложить в следующей редакции:</w:t>
      </w:r>
    </w:p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"1) снижение доли импорта по товарным группам согласно приложению 1 к настоящему механизму кредитования и финансового лизинга приоритетных проектов (далее – механизм) на 15 % к 2024 году от уровня 2021 года;";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часть пятую </w:t>
      </w:r>
      <w:r>
        <w:rPr>
          <w:rFonts w:ascii="Times New Roman"/>
          <w:b w:val="false"/>
          <w:i w:val="false"/>
          <w:color w:val="000000"/>
          <w:sz w:val="28"/>
        </w:rPr>
        <w:t>пункта 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"При этом на кредитование и финансовый лизинг проектов, реализуемых субъектами малого и среднего бизнеса (далее – МСБ), будет направлено не менее 200 (двести) млрд тенге. В этих целях каждый БВУ, ЛК и АКК обеспечит финансирование и финансовый лизинг проектов МСБ в размере не менее 20 % от общего объема выданных кредитов и финансовых лизингов на условиях, установленных настоящим механизмом.";</w:t>
      </w:r>
    </w:p>
    <w:bookmarkEnd w:id="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"7. Условия финансирования СЧП: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целевой группой СЧП являются эффективные предприниматели/субъекты индустриально-инновационной деятельности, определенные в Правилах субсидирования части ставки вознаграждения в рамках национального проекта по развитию предпринимательства на 2021 – 2025 годы и реализующие проекты в приоритетных отраслях экономики в соответствии с перечнем товаров для кредитования и финансового лизинга по приоритетным проектам (далее – перечень), согласно приложению 2 к настоящему механизму. При этом для подтверждения целевого назначения проекта достаточно выпуска не менее одного вида товара из перечня, привязанного к конкретному виду общего классификатора всех видов экономической деятельности (далее – ОКЭД). Для сферы услуг критерием соответствия будет отнесение к видам ОКЭД. 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кредитования проектов на сумму свыше 10 (десять) млрд тенге, необходимо положительное заключение соответствующего отраслевого центрального уполномоченного органа;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номинальная ставка вознаграждения для СЧП не более базовой ставки, установленной Национальным Банком Республики Казахстан и увеличенной на 4,5 (четыре с половиной) процентных пункта. При расчете предельной ставки вознаграждения учитывается базовая ставка, установленная Национальным Банком Республики Казахстан и действующая на момент решения БВУ/ЛК по проекту предпринимателя;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валюта кредитования для СЧП – тенге;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срок субсидирования – до 5 (пять) лет включительно, при этом БВУ, ЛК и АКК могут предоставить льготный период/отсрочку по выплате несубсидируемой части ставки вознаграждения и/или погашению основного долга по кредиту/финансовому лизингу на срок не более одной трети продолжительности срока кредита/финансового лизинга.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наступления обстоятельств, ухудшающих положения СЧП, последние могут получить льготный период/отсрочку по выплате несубсидируемой части ставки вознаграждения и/или погашению основного долга по кредиту на срок не более половины продолжительности срока кредита. При этом наступление таких обстоятельств должно подтверждаться соответствующими решениями Главы государства и Правительства Республики Казахстан и/или документами уполномоченных органов.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 не подлежат финансированию проекты СЧП: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имеющие просроченную ссудную задолженность свыше 90 (девяносто) календарных дней на момент кредитования или подачи кредитной заявки согласно данным кредитного бюро;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являющиеся лицами, связанными с БВУ, ЛК и АКК, осуществляющими финансирование или финансовый лизинг, особыми отношениями;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которые зарегистрированы в офшорных зонах, указанных в постановлении правления Агентства Республики Казахстан по регулированию и развитию финансового рынка от 24 февраля 2020 года № 8 "Об установлении Перечня офшорных зон для целей банковской и страховой деятельности, деятельности профессиональных участников рынка ценных бумаг и иных лицензируемых видов деятельности на рынке ценных бумаг, деятельности акционерных инвестиционных фондов и деятельности организаций, осуществляющих микрофинансовую деятельность" (зарегистрировано в Реестре государственной регистрации нормативных правовых актов за № 20095), а также участники и (или) акционеры которых зарегистрированы в офшорных зонах;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предприниматели/субъекты индустриально-инновационной деятельности, пятьдесят и более процентов акций (долей участия в уставном капитале) которых прямо или косвенно принадлежат государству, национальному управляющему холдингу, национальному холдингу, национальной компании (за исключением социально-предпринимательской корпорации, а также СЧП, учрежденные в рамках договора о государственно-частном партнерстве), а также СЧП, форма собственности которых оформлена как частное учреждение.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финансирования заемщика на 100 % пополнение оборотных средств по проектам переработки и производства в агропромышленном комплексе за счет собственных средств БВУ, ЛК и АКК в рамках механизма дополнительно применяются следующие критерии отбора проектов: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отсутствие просроченной налоговой задолженности на момент подачи заявки;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недопущение направления средств на цели проведения расчетов по текущим платежам по обслуживанию кредитов/финансового лизинга.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финансировании СЧП по проектам в обрабатывающей промышленности по ОКЭД 1101 (дистилляция, ректификация и смешивание спиртных напитков) применяются следующие критерии отбора проектов: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объем налоговых платежей за каждый календарный год, уплаченных СЧП, выпускающих подакцизную продукцию по ОКЭД 1101 (дистилляция, ректификация и смешивание спиртных напитков), за предшествующие 3 (три) года до участия в механизме эквивалентен сумме или составляет не менее 10 % от общего дохода местного бюджета по месту нахождения объекта производства СЧП;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ежегодный размер налогов, уплаченных СЧП, выпускающих подакцизную продукцию по ОКЭД 1101 (дистилляция, ректификация и смешивание спиртных напитков), за последние 3 (три) календарных года до участия в механизме не ниже 1 600 000 МРП.</w:t>
      </w:r>
    </w:p>
    <w:bookmarkEnd w:id="24"/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Максимальная сумма кредита/финансового лизинга на пополнение оборотных средств составляет не более 5 (пять) млрд тенге. Проекты, одобренные до утверждения данного условия, действуют на ранее одобренных условиях уполномоченным органом финансового агентства до полного исполнения предпринимателями своих обязательств по ним.";</w:t>
      </w:r>
    </w:p>
    <w:bookmarkEnd w:id="2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9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33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"9. Условия субсидирования проектов СЧП по переработке в агропромышленном комплексе, в обрабатывающей промышленности и услугах:</w:t>
      </w:r>
    </w:p>
    <w:bookmarkEnd w:id="26"/>
    <w:bookmarkStart w:name="z34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Субсидирование осуществляется за счет средств, выделяемых на реализацию мероприятий национального проекта по развитию предпринимательства на 2021 – 2025 годы, утвержденного постановлением Правительства Республики Казахстан от 12 октября 2021 года № 728, и настоящего механизма.</w:t>
      </w:r>
    </w:p>
    <w:bookmarkEnd w:id="27"/>
    <w:bookmarkStart w:name="z35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Финансирование субсидирования ставки вознаграждения по выдаваемым БВУ, ЛК и АКК кредитам/финансовым лизингам СЧП осуществляется за счет средств республиканского бюджета.</w:t>
      </w:r>
    </w:p>
    <w:bookmarkEnd w:id="28"/>
    <w:bookmarkStart w:name="z36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Субсидирование проектов по переработке в агропромышленном комплексе, в обрабатывающей промышленности и услугах осуществляется по кредитам/лизинговым сделкам с номинальной ставкой вознаграждения, не превышающей базовую ставку, установленную Национальным Банком Республики Казахстан и увеличенную на 4,5 (четыре с половиной) процентных пункта, из которых 13,25 % субсидируется государством, а разницу оплачивает СЧП. Проекты, одобренные до утверждения вышеуказанной ставки вознаграждения, действуют на ранее одобренных условиях уполномоченным органом финансового агентства до полного исполнения предпринимателями своих обязательств по ним.</w:t>
      </w:r>
    </w:p>
    <w:bookmarkEnd w:id="29"/>
    <w:bookmarkStart w:name="z37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Субсидирование проектов в обрабатывающей промышленности по ОКЭД 1101 (дистилляция, ректификация и смешивание спиртных напитков) осуществляется по кредитам/лизинговым сделкам с номинальной ставкой вознаграждения, не превышающей базовую ставку, установленную Национальным Банком Республики Казахстан и увеличенную на 4,5 (четыре с половиной) процентных пункта, из которых 13,25 % субсидируется государством, а разницу оплачивает СЧП. Проекты, одобренные до утверждения вышеуказанной ставки вознаграждения, действуют на ранее одобренных условиях уполномоченным органом финансового агентства до полного исполнения предпринимателями своих обязательств по ним.</w:t>
      </w:r>
    </w:p>
    <w:bookmarkEnd w:id="30"/>
    <w:bookmarkStart w:name="z38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уменьшения базовой ставки, установленной Национальным Банком Республики Казахстан на 6 декабря 2022 года, субсидируемая государством часть ставки вознаграждения снижается на равнозначное изменение уменьшаемому значению базовой ставки Национального Банка Республики Казахстан.</w:t>
      </w:r>
    </w:p>
    <w:bookmarkEnd w:id="31"/>
    <w:bookmarkStart w:name="z39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Срок субсидирования кредитов/финансового лизинга, направленных на инвестиции, составляет не более 5 (пять) лет без права пролонгации срока субсидирования.</w:t>
      </w:r>
    </w:p>
    <w:bookmarkEnd w:id="32"/>
    <w:bookmarkStart w:name="z40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Срок субсидирования кредитов и финансового лизинга, направленных на пополнение оборотных средств, составляет не более 3 (три) лет без права пролонгации срока субсидирования.</w:t>
      </w:r>
    </w:p>
    <w:bookmarkEnd w:id="33"/>
    <w:bookmarkStart w:name="z41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Субсидированию также подлежат кредиты/финансовый лизинг, направленные на рефинансирование кредитов/договоров финансового лизинга, ранее одобренные/выданные БВУ/ЛК, находящиеся под санкциями и соответствующие условиям, указанным в настоящем механизме.</w:t>
      </w:r>
    </w:p>
    <w:bookmarkEnd w:id="34"/>
    <w:bookmarkStart w:name="z42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 рефинансирование осуществляется только за счет собственных средств БВУ/ЛК.</w:t>
      </w:r>
    </w:p>
    <w:bookmarkEnd w:id="35"/>
    <w:bookmarkStart w:name="z43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Условия, порядок и механизм субсидирования, а также мониторинг реализуемых проектов в рамках настоящего механизма регламентируются Правилами субсидирования части ставки вознаграждения в рамках национального проекта по развитию предпринимательства на 2021 – 2025 годы.";</w:t>
      </w:r>
    </w:p>
    <w:bookmarkEnd w:id="36"/>
    <w:bookmarkStart w:name="z44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приложением 1 к механизму кредитования и финансового лизинга приоритетных проектов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</w:t>
      </w:r>
    </w:p>
    <w:bookmarkEnd w:id="37"/>
    <w:bookmarkStart w:name="z45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механизму кредитования и финансового лизинга приоритетных проектов:</w:t>
      </w:r>
    </w:p>
    <w:bookmarkEnd w:id="38"/>
    <w:bookmarkStart w:name="z46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текст в правом верхнем углу изложить в следующей редакции:</w:t>
      </w:r>
    </w:p>
    <w:bookmarkEnd w:id="3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механизму кредитования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финансового лизинга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приоритетных проектов";</w:t>
            </w:r>
          </w:p>
        </w:tc>
      </w:tr>
    </w:tbl>
    <w:p>
      <w:pPr>
        <w:spacing w:after="0"/>
        <w:ind w:left="0"/>
        <w:jc w:val="both"/>
      </w:pPr>
      <w:bookmarkStart w:name="z51" w:id="40"/>
      <w:r>
        <w:rPr>
          <w:rFonts w:ascii="Times New Roman"/>
          <w:b w:val="false"/>
          <w:i w:val="false"/>
          <w:color w:val="ff0000"/>
          <w:sz w:val="28"/>
        </w:rPr>
        <w:t xml:space="preserve">
      2) Утратил силу постановлением Правительства РК от 18.01.2024 </w:t>
      </w:r>
      <w:r>
        <w:rPr>
          <w:rFonts w:ascii="Times New Roman"/>
          <w:b w:val="false"/>
          <w:i w:val="false"/>
          <w:color w:val="ff0000"/>
          <w:sz w:val="28"/>
        </w:rPr>
        <w:t>№ 18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End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Сноска. Пункт 1 с изменением, внесенным постановлением Правительства РК от 18.01.2024 </w:t>
      </w:r>
      <w:r>
        <w:rPr>
          <w:rFonts w:ascii="Times New Roman"/>
          <w:b w:val="false"/>
          <w:i w:val="false"/>
          <w:color w:val="000000"/>
          <w:sz w:val="28"/>
        </w:rPr>
        <w:t>№ 18</w:t>
      </w:r>
      <w:r>
        <w:rPr>
          <w:rFonts w:ascii="Times New Roman"/>
          <w:b w:val="false"/>
          <w:i w:val="false"/>
          <w:color w:val="00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38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после дня его первого официального опубликования.</w:t>
      </w:r>
    </w:p>
    <w:bookmarkEnd w:id="4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 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Смаилов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"   " 2023 года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механизму кредитования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финансового лизинга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приоритетных проектов</w:t>
            </w:r>
          </w:p>
        </w:tc>
      </w:tr>
    </w:tbl>
    <w:bookmarkStart w:name="z149" w:id="4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товарных групп для снижения доли импорта </w:t>
      </w:r>
    </w:p>
    <w:bookmarkEnd w:id="4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группы товаров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продукции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Доля импорта в потреблении в 2021 году, 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Доля импорта в потреблении в 2024 году, %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ПРОДОВОЛЬСТВЕННЫЕ ТОВАРЫ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Продукты питания и напитки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Хлебобулочные и кондитерские изделия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Рыба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63,3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53,8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Овощи и фрукты: яблоки, виноград, грибы, лук, капуста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23,6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Напитки и соки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Мясо и мясная продукция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21,7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18,4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Молоко и молочная продукция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21,7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18,4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Масла растительные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26,4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Макароны и мучные изделия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22,5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Кондитерские изделия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65,8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НЕПРОДОВОЛЬСТВЕННЫЕ ТОВАРЫ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Изделия для дома и офиса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Тара из стекла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60,9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51,8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Санитарно-гигиенические изделия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97,3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82,7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Предметы домашнего обихода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56,3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47,9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Одеяла и пледы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97,2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82,6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Мебель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60,9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51,8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Матрасы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56,1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Бытовая химия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81,6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Строительные материалы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Строительные конструкции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33,2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Стекло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53,1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Металлические изделия для строительства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53,6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Межстенные перегородки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81,2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Линолеум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Кирпичи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98,4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83,6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Строительные смеси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21,4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18,2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Одежда и аксессуары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Одежда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99,3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84,4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Обувь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97,6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Иное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Текстильные изделия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77,1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65,5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Бумага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36,7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31,2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Бакалея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58,2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49,5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