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6308" w14:textId="93e6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от 27 июня 2019 года № 449 "Об утверждении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1144. Утратило силу постановлением Правительства Республики Казахстан от 23 февраля 2026 года № 105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23.02.2026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Утвердить прилагаемые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2019 года № 449 "Об утверждении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bookmarkEnd w:id="7"/>
    <w:bookmarkStart w:name="z15"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6" w:id="9"/>
    <w:p>
      <w:pPr>
        <w:spacing w:after="0"/>
        <w:ind w:left="0"/>
        <w:jc w:val="both"/>
      </w:pPr>
      <w:r>
        <w:rPr>
          <w:rFonts w:ascii="Times New Roman"/>
          <w:b w:val="false"/>
          <w:i w:val="false"/>
          <w:color w:val="000000"/>
          <w:sz w:val="28"/>
        </w:rPr>
        <w:t>
      "Об утверждении перечня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"1. Утвердить прилагаемый перечень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w:t>
      </w:r>
    </w:p>
    <w:bookmarkEnd w:id="11"/>
    <w:bookmarkStart w:name="z2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утвержденном указанным постановлением;</w:t>
      </w:r>
    </w:p>
    <w:bookmarkEnd w:id="12"/>
    <w:bookmarkStart w:name="z22" w:id="13"/>
    <w:p>
      <w:pPr>
        <w:spacing w:after="0"/>
        <w:ind w:left="0"/>
        <w:jc w:val="both"/>
      </w:pPr>
      <w:r>
        <w:rPr>
          <w:rFonts w:ascii="Times New Roman"/>
          <w:b w:val="false"/>
          <w:i w:val="false"/>
          <w:color w:val="000000"/>
          <w:sz w:val="28"/>
        </w:rPr>
        <w:t>
      заголовок изложить в следующей редакции:</w:t>
      </w:r>
    </w:p>
    <w:bookmarkEnd w:id="13"/>
    <w:bookmarkStart w:name="z23" w:id="14"/>
    <w:p>
      <w:pPr>
        <w:spacing w:after="0"/>
        <w:ind w:left="0"/>
        <w:jc w:val="both"/>
      </w:pPr>
      <w:r>
        <w:rPr>
          <w:rFonts w:ascii="Times New Roman"/>
          <w:b w:val="false"/>
          <w:i w:val="false"/>
          <w:color w:val="000000"/>
          <w:sz w:val="28"/>
        </w:rPr>
        <w:t>
      "Перечень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w:t>
      </w:r>
    </w:p>
    <w:bookmarkEnd w:id="14"/>
    <w:bookmarkStart w:name="z24" w:id="15"/>
    <w:p>
      <w:pPr>
        <w:spacing w:after="0"/>
        <w:ind w:left="0"/>
        <w:jc w:val="both"/>
      </w:pPr>
      <w:r>
        <w:rPr>
          <w:rFonts w:ascii="Times New Roman"/>
          <w:b w:val="false"/>
          <w:i w:val="false"/>
          <w:color w:val="000000"/>
          <w:sz w:val="28"/>
        </w:rPr>
        <w:t>
      в таблице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w:t>
      </w:r>
    </w:p>
    <w:bookmarkEnd w:id="15"/>
    <w:bookmarkStart w:name="z25" w:id="16"/>
    <w:p>
      <w:pPr>
        <w:spacing w:after="0"/>
        <w:ind w:left="0"/>
        <w:jc w:val="both"/>
      </w:pPr>
      <w:r>
        <w:rPr>
          <w:rFonts w:ascii="Times New Roman"/>
          <w:b w:val="false"/>
          <w:i w:val="false"/>
          <w:color w:val="000000"/>
          <w:sz w:val="28"/>
        </w:rPr>
        <w:t>
      столбец седьмой изложить в следующей редакции:</w:t>
      </w:r>
    </w:p>
    <w:bookmarkEnd w:id="16"/>
    <w:bookmarkStart w:name="z26" w:id="17"/>
    <w:p>
      <w:pPr>
        <w:spacing w:after="0"/>
        <w:ind w:left="0"/>
        <w:jc w:val="both"/>
      </w:pPr>
      <w:r>
        <w:rPr>
          <w:rFonts w:ascii="Times New Roman"/>
          <w:b w:val="false"/>
          <w:i w:val="false"/>
          <w:color w:val="000000"/>
          <w:sz w:val="28"/>
        </w:rPr>
        <w:t>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7"/>
    <w:bookmarkStart w:name="z27" w:id="18"/>
    <w:p>
      <w:pPr>
        <w:spacing w:after="0"/>
        <w:ind w:left="0"/>
        <w:jc w:val="both"/>
      </w:pPr>
      <w:r>
        <w:rPr>
          <w:rFonts w:ascii="Times New Roman"/>
          <w:b w:val="false"/>
          <w:i w:val="false"/>
          <w:color w:val="000000"/>
          <w:sz w:val="28"/>
        </w:rPr>
        <w:t xml:space="preserve">
      столбец восьмой изложить в следующей редакции: </w:t>
      </w:r>
    </w:p>
    <w:bookmarkEnd w:id="18"/>
    <w:bookmarkStart w:name="z28" w:id="19"/>
    <w:p>
      <w:pPr>
        <w:spacing w:after="0"/>
        <w:ind w:left="0"/>
        <w:jc w:val="both"/>
      </w:pPr>
      <w:r>
        <w:rPr>
          <w:rFonts w:ascii="Times New Roman"/>
          <w:b w:val="false"/>
          <w:i w:val="false"/>
          <w:color w:val="000000"/>
          <w:sz w:val="28"/>
        </w:rPr>
        <w:t>
      "Категория месторождения (группы месторождений, части месторождения) углеводородов";</w:t>
      </w:r>
    </w:p>
    <w:bookmarkEnd w:id="19"/>
    <w:bookmarkStart w:name="z29" w:id="20"/>
    <w:p>
      <w:pPr>
        <w:spacing w:after="0"/>
        <w:ind w:left="0"/>
        <w:jc w:val="both"/>
      </w:pPr>
      <w:r>
        <w:rPr>
          <w:rFonts w:ascii="Times New Roman"/>
          <w:b w:val="false"/>
          <w:i w:val="false"/>
          <w:color w:val="000000"/>
          <w:sz w:val="28"/>
        </w:rPr>
        <w:t>
      столбец девятый изложить в следующей редакции:</w:t>
      </w:r>
    </w:p>
    <w:bookmarkEnd w:id="20"/>
    <w:bookmarkStart w:name="z30" w:id="21"/>
    <w:p>
      <w:pPr>
        <w:spacing w:after="0"/>
        <w:ind w:left="0"/>
        <w:jc w:val="both"/>
      </w:pPr>
      <w:r>
        <w:rPr>
          <w:rFonts w:ascii="Times New Roman"/>
          <w:b w:val="false"/>
          <w:i w:val="false"/>
          <w:color w:val="000000"/>
          <w:sz w:val="28"/>
        </w:rPr>
        <w:t>
      "Ставка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 (%)".</w:t>
      </w:r>
    </w:p>
    <w:bookmarkEnd w:id="21"/>
    <w:bookmarkStart w:name="z31" w:id="2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2023 года.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35" w:id="23"/>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23"/>
    <w:bookmarkStart w:name="z36" w:id="24"/>
    <w:p>
      <w:pPr>
        <w:spacing w:after="0"/>
        <w:ind w:left="0"/>
        <w:jc w:val="left"/>
      </w:pPr>
      <w:r>
        <w:rPr>
          <w:rFonts w:ascii="Times New Roman"/>
          <w:b/>
          <w:i w:val="false"/>
          <w:color w:val="000000"/>
        </w:rPr>
        <w:t xml:space="preserve"> Глава 1.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24"/>
    <w:bookmarkStart w:name="z37" w:id="25"/>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низкорентабельных</w:t>
      </w:r>
    </w:p>
    <w:bookmarkEnd w:id="25"/>
    <w:bookmarkStart w:name="z38" w:id="26"/>
    <w:p>
      <w:pPr>
        <w:spacing w:after="0"/>
        <w:ind w:left="0"/>
        <w:jc w:val="both"/>
      </w:pPr>
      <w:r>
        <w:rPr>
          <w:rFonts w:ascii="Times New Roman"/>
          <w:b w:val="false"/>
          <w:i w:val="false"/>
          <w:color w:val="000000"/>
          <w:sz w:val="28"/>
        </w:rPr>
        <w:t>
      1.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подразделом 2 настоящего раздела, обращается в уполномоченный орган по государственному планированию (далее – уполномоченный орган) с заявлением.</w:t>
      </w:r>
    </w:p>
    <w:bookmarkEnd w:id="26"/>
    <w:bookmarkStart w:name="z39" w:id="27"/>
    <w:p>
      <w:pPr>
        <w:spacing w:after="0"/>
        <w:ind w:left="0"/>
        <w:jc w:val="both"/>
      </w:pPr>
      <w:r>
        <w:rPr>
          <w:rFonts w:ascii="Times New Roman"/>
          <w:b w:val="false"/>
          <w:i w:val="false"/>
          <w:color w:val="000000"/>
          <w:sz w:val="28"/>
        </w:rPr>
        <w:t>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1 к настоящим Правилам, в срок не позднее 1 сентября данного календарного года. К заявлению прилагаются копии следующих документов на электронных носителях:</w:t>
      </w:r>
    </w:p>
    <w:bookmarkEnd w:id="27"/>
    <w:bookmarkStart w:name="z40" w:id="28"/>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28"/>
    <w:bookmarkStart w:name="z41" w:id="29"/>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29"/>
    <w:bookmarkStart w:name="z42" w:id="30"/>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30"/>
    <w:bookmarkStart w:name="z43" w:id="31"/>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31"/>
    <w:bookmarkStart w:name="z44" w:id="32"/>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32"/>
    <w:bookmarkStart w:name="z45" w:id="33"/>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33"/>
    <w:bookmarkStart w:name="z46" w:id="34"/>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34"/>
    <w:bookmarkStart w:name="z47" w:id="35"/>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35"/>
    <w:bookmarkStart w:name="z48" w:id="36"/>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36"/>
    <w:bookmarkStart w:name="z49" w:id="37"/>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37"/>
    <w:bookmarkStart w:name="z50" w:id="38"/>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38"/>
    <w:bookmarkStart w:name="z51" w:id="39"/>
    <w:p>
      <w:pPr>
        <w:spacing w:after="0"/>
        <w:ind w:left="0"/>
        <w:jc w:val="both"/>
      </w:pPr>
      <w:r>
        <w:rPr>
          <w:rFonts w:ascii="Times New Roman"/>
          <w:b w:val="false"/>
          <w:i w:val="false"/>
          <w:color w:val="000000"/>
          <w:sz w:val="28"/>
        </w:rPr>
        <w:t>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1 к настоящим Правилам, не ранее 30 сентября текущего года, но не позднее 31 декабря текущего года. К заявлению помимо документов, указанных в пункте 2 настоящих Правил, прилагаются копии следующих документов на электронных носителях:</w:t>
      </w:r>
    </w:p>
    <w:bookmarkEnd w:id="39"/>
    <w:bookmarkStart w:name="z52" w:id="40"/>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40"/>
    <w:bookmarkStart w:name="z53" w:id="41"/>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41"/>
    <w:bookmarkStart w:name="z54" w:id="42"/>
    <w:p>
      <w:pPr>
        <w:spacing w:after="0"/>
        <w:ind w:left="0"/>
        <w:jc w:val="both"/>
      </w:pPr>
      <w:r>
        <w:rPr>
          <w:rFonts w:ascii="Times New Roman"/>
          <w:b w:val="false"/>
          <w:i w:val="false"/>
          <w:color w:val="000000"/>
          <w:sz w:val="28"/>
        </w:rPr>
        <w:t>
      При этом сведения, указанные в подпунктах 3) и 6) пункта 2 настоящих Правил, представляются за девять истекших месяцев текущего календарного года.</w:t>
      </w:r>
    </w:p>
    <w:bookmarkEnd w:id="42"/>
    <w:bookmarkStart w:name="z55" w:id="43"/>
    <w:p>
      <w:pPr>
        <w:spacing w:after="0"/>
        <w:ind w:left="0"/>
        <w:jc w:val="both"/>
      </w:pPr>
      <w:r>
        <w:rPr>
          <w:rFonts w:ascii="Times New Roman"/>
          <w:b w:val="false"/>
          <w:i w:val="false"/>
          <w:color w:val="000000"/>
          <w:sz w:val="28"/>
        </w:rPr>
        <w:t>
      4.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2 и 3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43"/>
    <w:bookmarkStart w:name="z56" w:id="44"/>
    <w:p>
      <w:pPr>
        <w:spacing w:after="0"/>
        <w:ind w:left="0"/>
        <w:jc w:val="both"/>
      </w:pPr>
      <w:r>
        <w:rPr>
          <w:rFonts w:ascii="Times New Roman"/>
          <w:b w:val="false"/>
          <w:i w:val="false"/>
          <w:color w:val="000000"/>
          <w:sz w:val="28"/>
        </w:rPr>
        <w:t>
      5.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44"/>
    <w:bookmarkStart w:name="z57" w:id="45"/>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45"/>
    <w:bookmarkStart w:name="z58" w:id="46"/>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bookmarkEnd w:id="46"/>
    <w:bookmarkStart w:name="z59" w:id="47"/>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НДПИ.</w:t>
      </w:r>
    </w:p>
    <w:bookmarkEnd w:id="47"/>
    <w:bookmarkStart w:name="z60" w:id="48"/>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НДПИ.</w:t>
      </w:r>
    </w:p>
    <w:bookmarkEnd w:id="48"/>
    <w:bookmarkStart w:name="z61" w:id="49"/>
    <w:p>
      <w:pPr>
        <w:spacing w:after="0"/>
        <w:ind w:left="0"/>
        <w:jc w:val="both"/>
      </w:pPr>
      <w:r>
        <w:rPr>
          <w:rFonts w:ascii="Times New Roman"/>
          <w:b w:val="false"/>
          <w:i w:val="false"/>
          <w:color w:val="000000"/>
          <w:sz w:val="28"/>
        </w:rPr>
        <w:t>
      6. В срок не позднее семи рабочих дней с даты получения всех заключений государственных органов, указанных в пункте 6 настоящих Правил, уполномоченный орган вносит заявление с приложением заключений государственных органов на рассмотрение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 (далее – комиссия), которая вырабатывает рекомендации по отнесению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за исключением общераспространенных полезных ископаемых.</w:t>
      </w:r>
    </w:p>
    <w:bookmarkEnd w:id="49"/>
    <w:bookmarkStart w:name="z62" w:id="50"/>
    <w:p>
      <w:pPr>
        <w:spacing w:after="0"/>
        <w:ind w:left="0"/>
        <w:jc w:val="both"/>
      </w:pPr>
      <w:r>
        <w:rPr>
          <w:rFonts w:ascii="Times New Roman"/>
          <w:b w:val="false"/>
          <w:i w:val="false"/>
          <w:color w:val="000000"/>
          <w:sz w:val="28"/>
        </w:rPr>
        <w:t>
      В срок не позднее десяти рабочих дней комиссия рассматривает заявление и заключения государственных органов и вырабатывает предложение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50"/>
    <w:bookmarkStart w:name="z63" w:id="51"/>
    <w:p>
      <w:pPr>
        <w:spacing w:after="0"/>
        <w:ind w:left="0"/>
        <w:jc w:val="both"/>
      </w:pPr>
      <w:r>
        <w:rPr>
          <w:rFonts w:ascii="Times New Roman"/>
          <w:b w:val="false"/>
          <w:i w:val="false"/>
          <w:color w:val="000000"/>
          <w:sz w:val="28"/>
        </w:rPr>
        <w:t>
      7. В случае выработки комиссией предложения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углеводородов, отнесенных к категории низкорентабельных, с приложением ставок НДПИ, устанавливаемых в соответствии с пунктом 12 настоящих Правил, и указанием календарного года, в течение которого применяются такие ставки.</w:t>
      </w:r>
    </w:p>
    <w:bookmarkEnd w:id="51"/>
    <w:bookmarkStart w:name="z64" w:id="52"/>
    <w:p>
      <w:pPr>
        <w:spacing w:after="0"/>
        <w:ind w:left="0"/>
        <w:jc w:val="both"/>
      </w:pPr>
      <w:r>
        <w:rPr>
          <w:rFonts w:ascii="Times New Roman"/>
          <w:b w:val="false"/>
          <w:i w:val="false"/>
          <w:color w:val="000000"/>
          <w:sz w:val="28"/>
        </w:rPr>
        <w:t>
      8.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52"/>
    <w:bookmarkStart w:name="z65" w:id="53"/>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53"/>
    <w:bookmarkStart w:name="z66" w:id="54"/>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54"/>
    <w:bookmarkStart w:name="z67" w:id="55"/>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11 настоящих Правил;</w:t>
      </w:r>
    </w:p>
    <w:bookmarkEnd w:id="55"/>
    <w:bookmarkStart w:name="z68" w:id="56"/>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56"/>
    <w:bookmarkStart w:name="z69" w:id="57"/>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57"/>
    <w:bookmarkStart w:name="z70" w:id="58"/>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58"/>
    <w:bookmarkStart w:name="z71" w:id="59"/>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59"/>
    <w:bookmarkStart w:name="z72" w:id="60"/>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он вправе направить повторно заявление в уполномоченный орган в порядке, установленном настоящей главой.</w:t>
      </w:r>
    </w:p>
    <w:bookmarkEnd w:id="60"/>
    <w:bookmarkStart w:name="z73" w:id="61"/>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низкорентабельных</w:t>
      </w:r>
    </w:p>
    <w:bookmarkEnd w:id="61"/>
    <w:bookmarkStart w:name="z74" w:id="62"/>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62"/>
    <w:bookmarkStart w:name="z75" w:id="63"/>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63"/>
    <w:bookmarkStart w:name="z76" w:id="64"/>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64"/>
    <w:bookmarkStart w:name="z7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58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РПк – рентабельность продаж по месторождению (группе месторождений, части месторождения) углеводородов в процентах;</w:t>
      </w:r>
    </w:p>
    <w:bookmarkEnd w:id="66"/>
    <w:bookmarkStart w:name="z79" w:id="67"/>
    <w:p>
      <w:pPr>
        <w:spacing w:after="0"/>
        <w:ind w:left="0"/>
        <w:jc w:val="both"/>
      </w:pPr>
      <w:r>
        <w:rPr>
          <w:rFonts w:ascii="Times New Roman"/>
          <w:b w:val="false"/>
          <w:i w:val="false"/>
          <w:color w:val="000000"/>
          <w:sz w:val="28"/>
        </w:rPr>
        <w:t>
      ЧДк – чистый доход по месторождению (группе месторождений, части месторождения) углеводородов, исчисленный в соответствии с настоящим пунктом и методикой ведения раздельного налогового учета недропользователя, утвержденной в налоговой учетной политике в соответствии с условиями статьи 723 Налогового кодекса Республики Казахстан (далее – методика недропользователя);</w:t>
      </w:r>
    </w:p>
    <w:bookmarkEnd w:id="67"/>
    <w:bookmarkStart w:name="z80" w:id="68"/>
    <w:p>
      <w:pPr>
        <w:spacing w:after="0"/>
        <w:ind w:left="0"/>
        <w:jc w:val="both"/>
      </w:pPr>
      <w:r>
        <w:rPr>
          <w:rFonts w:ascii="Times New Roman"/>
          <w:b w:val="false"/>
          <w:i w:val="false"/>
          <w:color w:val="000000"/>
          <w:sz w:val="28"/>
        </w:rPr>
        <w:t>
      Ук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31 Налогового кодекса Республики Казахстан, возникших после 31 декабря 2008 года;</w:t>
      </w:r>
    </w:p>
    <w:bookmarkEnd w:id="68"/>
    <w:bookmarkStart w:name="z81" w:id="69"/>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69"/>
    <w:bookmarkStart w:name="z82" w:id="70"/>
    <w:p>
      <w:pPr>
        <w:spacing w:after="0"/>
        <w:ind w:left="0"/>
        <w:jc w:val="both"/>
      </w:pPr>
      <w:r>
        <w:rPr>
          <w:rFonts w:ascii="Times New Roman"/>
          <w:b w:val="false"/>
          <w:i w:val="false"/>
          <w:color w:val="000000"/>
          <w:sz w:val="28"/>
        </w:rPr>
        <w:t xml:space="preserve">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 </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58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8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КПНк – корпоративный подоходный налог по месторождению (группе месторождений, части месторождения) углеводородов, исчисленный в соответствии с методикой недропользователя;</w:t>
      </w:r>
    </w:p>
    <w:bookmarkEnd w:id="72"/>
    <w:bookmarkStart w:name="z85" w:id="73"/>
    <w:p>
      <w:pPr>
        <w:spacing w:after="0"/>
        <w:ind w:left="0"/>
        <w:jc w:val="both"/>
      </w:pPr>
      <w:r>
        <w:rPr>
          <w:rFonts w:ascii="Times New Roman"/>
          <w:b w:val="false"/>
          <w:i w:val="false"/>
          <w:color w:val="000000"/>
          <w:sz w:val="28"/>
        </w:rPr>
        <w:t>
      НДк – налогооблагаемый доход по месторождению (группе месторождений, части месторождения) углеводородов, исчисленный в соответствии с методикой недропользователя, уменьшенный на сумму доходов и расходов, предусмотренных статьей 28 Налогового кодекса Республики Казахстан.</w:t>
      </w:r>
    </w:p>
    <w:bookmarkEnd w:id="73"/>
    <w:bookmarkStart w:name="z86" w:id="74"/>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74"/>
    <w:bookmarkStart w:name="z87" w:id="75"/>
    <w:p>
      <w:pPr>
        <w:spacing w:after="0"/>
        <w:ind w:left="0"/>
        <w:jc w:val="both"/>
      </w:pPr>
      <w:r>
        <w:rPr>
          <w:rFonts w:ascii="Times New Roman"/>
          <w:b w:val="false"/>
          <w:i w:val="false"/>
          <w:color w:val="000000"/>
          <w:sz w:val="28"/>
        </w:rPr>
        <w:t>
      12. Ставки НДПИ для месторождения (группы месторождений, части месторождения) углеводородов,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75"/>
    <w:bookmarkStart w:name="z88" w:id="76"/>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ставки НДПИ,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НДПИ, действующих в соответствующем налоговом периоде.</w:t>
      </w:r>
    </w:p>
    <w:bookmarkEnd w:id="76"/>
    <w:bookmarkStart w:name="z89" w:id="77"/>
    <w:p>
      <w:pPr>
        <w:spacing w:after="0"/>
        <w:ind w:left="0"/>
        <w:jc w:val="both"/>
      </w:pPr>
      <w:r>
        <w:rPr>
          <w:rFonts w:ascii="Times New Roman"/>
          <w:b w:val="false"/>
          <w:i w:val="false"/>
          <w:color w:val="000000"/>
          <w:sz w:val="28"/>
        </w:rPr>
        <w:t>
      В случае, если ставки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устанавливаются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77"/>
    <w:bookmarkStart w:name="z90" w:id="78"/>
    <w:p>
      <w:pPr>
        <w:spacing w:after="0"/>
        <w:ind w:left="0"/>
        <w:jc w:val="both"/>
      </w:pPr>
      <w:r>
        <w:rPr>
          <w:rFonts w:ascii="Times New Roman"/>
          <w:b w:val="false"/>
          <w:i w:val="false"/>
          <w:color w:val="000000"/>
          <w:sz w:val="28"/>
        </w:rPr>
        <w:t>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статьей 741 Налогового кодекса Республики Казахстан.</w:t>
      </w:r>
    </w:p>
    <w:bookmarkEnd w:id="78"/>
    <w:bookmarkStart w:name="z91" w:id="79"/>
    <w:p>
      <w:pPr>
        <w:spacing w:after="0"/>
        <w:ind w:left="0"/>
        <w:jc w:val="both"/>
      </w:pPr>
      <w:r>
        <w:rPr>
          <w:rFonts w:ascii="Times New Roman"/>
          <w:b w:val="false"/>
          <w:i w:val="false"/>
          <w:color w:val="000000"/>
          <w:sz w:val="28"/>
        </w:rPr>
        <w:t>
      13.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12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79"/>
    <w:bookmarkStart w:name="z92" w:id="80"/>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СНк – ставка НДПИ по месторождению (группе месторождений, части месторождения) углеводородов в процентах;</w:t>
      </w:r>
    </w:p>
    <w:bookmarkEnd w:id="82"/>
    <w:bookmarkStart w:name="z95" w:id="83"/>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83"/>
    <w:bookmarkStart w:name="z96" w:id="84"/>
    <w:p>
      <w:pPr>
        <w:spacing w:after="0"/>
        <w:ind w:left="0"/>
        <w:jc w:val="both"/>
      </w:pPr>
      <w:r>
        <w:rPr>
          <w:rFonts w:ascii="Times New Roman"/>
          <w:b w:val="false"/>
          <w:i w:val="false"/>
          <w:color w:val="000000"/>
          <w:sz w:val="28"/>
        </w:rPr>
        <w:t>
      Вк – вычеты по месторождению (группе месторождений, части месторождения) углеводородов, не включая НДПИ, исчисленные в соответствии с методикой недропользователя;</w:t>
      </w:r>
    </w:p>
    <w:bookmarkEnd w:id="84"/>
    <w:bookmarkStart w:name="z97" w:id="85"/>
    <w:p>
      <w:pPr>
        <w:spacing w:after="0"/>
        <w:ind w:left="0"/>
        <w:jc w:val="both"/>
      </w:pPr>
      <w:r>
        <w:rPr>
          <w:rFonts w:ascii="Times New Roman"/>
          <w:b w:val="false"/>
          <w:i w:val="false"/>
          <w:color w:val="000000"/>
          <w:sz w:val="28"/>
        </w:rPr>
        <w:t>
      НБк – налоговая база НДПИ по месторождению (группе месторождений, части месторождения) углеводородов, исчисленная в соответствии с методикой недропользователя.</w:t>
      </w:r>
    </w:p>
    <w:bookmarkEnd w:id="85"/>
    <w:bookmarkStart w:name="z98" w:id="86"/>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13 настоящих Правил.</w:t>
      </w:r>
    </w:p>
    <w:bookmarkEnd w:id="86"/>
    <w:bookmarkStart w:name="z99" w:id="87"/>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13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12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87"/>
    <w:bookmarkStart w:name="z100" w:id="88"/>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высоковязких, обводненных, малодебитных и выработанных и порядок налогообложения в части налога на добычу полезных ископаемых</w:t>
      </w:r>
    </w:p>
    <w:bookmarkEnd w:id="88"/>
    <w:bookmarkStart w:name="z101" w:id="89"/>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89"/>
    <w:bookmarkStart w:name="z102" w:id="90"/>
    <w:p>
      <w:pPr>
        <w:spacing w:after="0"/>
        <w:ind w:left="0"/>
        <w:jc w:val="both"/>
      </w:pPr>
      <w:r>
        <w:rPr>
          <w:rFonts w:ascii="Times New Roman"/>
          <w:b w:val="false"/>
          <w:i w:val="false"/>
          <w:color w:val="000000"/>
          <w:sz w:val="28"/>
        </w:rPr>
        <w:t>
      14. Недропользователь, осуществляющий разработку месторождения (группы месторождений, части месторождения) углеводорода, обращается с заявлением в уполномоченный орган об отнесении данного месторождения (группы месторождений, части месторождения) к категории высоковязких, обводненных, малодебитных или выработанных при одновременном выполнении следующих условий:</w:t>
      </w:r>
    </w:p>
    <w:bookmarkEnd w:id="90"/>
    <w:bookmarkStart w:name="z103" w:id="91"/>
    <w:p>
      <w:pPr>
        <w:spacing w:after="0"/>
        <w:ind w:left="0"/>
        <w:jc w:val="both"/>
      </w:pPr>
      <w:r>
        <w:rPr>
          <w:rFonts w:ascii="Times New Roman"/>
          <w:b w:val="false"/>
          <w:i w:val="false"/>
          <w:color w:val="000000"/>
          <w:sz w:val="28"/>
        </w:rPr>
        <w:t>
      1) месторождение соответствует одному из критериев, указанных в пункте 27 настоящих Правил;</w:t>
      </w:r>
    </w:p>
    <w:bookmarkEnd w:id="91"/>
    <w:bookmarkStart w:name="z104" w:id="92"/>
    <w:p>
      <w:pPr>
        <w:spacing w:after="0"/>
        <w:ind w:left="0"/>
        <w:jc w:val="both"/>
      </w:pPr>
      <w:r>
        <w:rPr>
          <w:rFonts w:ascii="Times New Roman"/>
          <w:b w:val="false"/>
          <w:i w:val="false"/>
          <w:color w:val="000000"/>
          <w:sz w:val="28"/>
        </w:rPr>
        <w:t>
      2) объем добычи углеводородов по месторождению (группе месторождений, части месторождения) не превышает 3 (три) миллионов тонн в год;</w:t>
      </w:r>
    </w:p>
    <w:bookmarkEnd w:id="92"/>
    <w:bookmarkStart w:name="z105" w:id="93"/>
    <w:p>
      <w:pPr>
        <w:spacing w:after="0"/>
        <w:ind w:left="0"/>
        <w:jc w:val="both"/>
      </w:pPr>
      <w:r>
        <w:rPr>
          <w:rFonts w:ascii="Times New Roman"/>
          <w:b w:val="false"/>
          <w:i w:val="false"/>
          <w:color w:val="000000"/>
          <w:sz w:val="28"/>
        </w:rPr>
        <w:t>
      3)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равен или менее 25 %.</w:t>
      </w:r>
    </w:p>
    <w:bookmarkEnd w:id="93"/>
    <w:bookmarkStart w:name="z106" w:id="94"/>
    <w:p>
      <w:pPr>
        <w:spacing w:after="0"/>
        <w:ind w:left="0"/>
        <w:jc w:val="both"/>
      </w:pPr>
      <w:r>
        <w:rPr>
          <w:rFonts w:ascii="Times New Roman"/>
          <w:b w:val="false"/>
          <w:i w:val="false"/>
          <w:color w:val="000000"/>
          <w:sz w:val="28"/>
        </w:rPr>
        <w:t>
      Для целей настоящего пункта расчет рентабельности по месторождению (группе месторождений, части месторождения) производится в соответствии с пунктом 11 настоящих Правил на основе показателей по месторождению (группе месторождений, части месторождения).</w:t>
      </w:r>
    </w:p>
    <w:bookmarkEnd w:id="94"/>
    <w:bookmarkStart w:name="z107" w:id="95"/>
    <w:p>
      <w:pPr>
        <w:spacing w:after="0"/>
        <w:ind w:left="0"/>
        <w:jc w:val="both"/>
      </w:pPr>
      <w:r>
        <w:rPr>
          <w:rFonts w:ascii="Times New Roman"/>
          <w:b w:val="false"/>
          <w:i w:val="false"/>
          <w:color w:val="000000"/>
          <w:sz w:val="28"/>
        </w:rPr>
        <w:t>
      15. Заявление недропользователя об отнесении месторождения (группы месторождений, части месторождения) к категории высоковязких, обводненных, малодебитных или выработанных подается по форме согласно приложению 1 к настоящим Правилам. К заявлению прилагаются копии следующих документов на электронных носителях:</w:t>
      </w:r>
    </w:p>
    <w:bookmarkEnd w:id="95"/>
    <w:bookmarkStart w:name="z108" w:id="96"/>
    <w:p>
      <w:pPr>
        <w:spacing w:after="0"/>
        <w:ind w:left="0"/>
        <w:jc w:val="both"/>
      </w:pPr>
      <w:r>
        <w:rPr>
          <w:rFonts w:ascii="Times New Roman"/>
          <w:b w:val="false"/>
          <w:i w:val="false"/>
          <w:color w:val="000000"/>
          <w:sz w:val="28"/>
        </w:rPr>
        <w:t>
      1) отчет о соответствии достигнутых технологических показателей месторождения (группы месторождений, части месторождения) утвержденным проектным решениям;</w:t>
      </w:r>
    </w:p>
    <w:bookmarkEnd w:id="96"/>
    <w:bookmarkStart w:name="z109" w:id="97"/>
    <w:p>
      <w:pPr>
        <w:spacing w:after="0"/>
        <w:ind w:left="0"/>
        <w:jc w:val="both"/>
      </w:pPr>
      <w:r>
        <w:rPr>
          <w:rFonts w:ascii="Times New Roman"/>
          <w:b w:val="false"/>
          <w:i w:val="false"/>
          <w:color w:val="000000"/>
          <w:sz w:val="28"/>
        </w:rPr>
        <w:t>
      2) протокол Государственной комиссии по запасам полезных ископаемых Республики Казахстан;</w:t>
      </w:r>
    </w:p>
    <w:bookmarkEnd w:id="97"/>
    <w:bookmarkStart w:name="z110" w:id="98"/>
    <w:p>
      <w:pPr>
        <w:spacing w:after="0"/>
        <w:ind w:left="0"/>
        <w:jc w:val="both"/>
      </w:pPr>
      <w:r>
        <w:rPr>
          <w:rFonts w:ascii="Times New Roman"/>
          <w:b w:val="false"/>
          <w:i w:val="false"/>
          <w:color w:val="000000"/>
          <w:sz w:val="28"/>
        </w:rPr>
        <w:t>
      3) отчет о выполнении контрактных (лицензионных) обязательств по состоянию на дату окончания последнего квартала, предшествующего дате подачи заявления;</w:t>
      </w:r>
    </w:p>
    <w:bookmarkEnd w:id="98"/>
    <w:bookmarkStart w:name="z111" w:id="99"/>
    <w:p>
      <w:pPr>
        <w:spacing w:after="0"/>
        <w:ind w:left="0"/>
        <w:jc w:val="both"/>
      </w:pPr>
      <w:r>
        <w:rPr>
          <w:rFonts w:ascii="Times New Roman"/>
          <w:b w:val="false"/>
          <w:i w:val="false"/>
          <w:color w:val="000000"/>
          <w:sz w:val="28"/>
        </w:rPr>
        <w:t>
      4) документы, указанные в пункте 2 настоящих Правил.</w:t>
      </w:r>
    </w:p>
    <w:bookmarkEnd w:id="99"/>
    <w:bookmarkStart w:name="z112" w:id="100"/>
    <w:p>
      <w:pPr>
        <w:spacing w:after="0"/>
        <w:ind w:left="0"/>
        <w:jc w:val="both"/>
      </w:pPr>
      <w:r>
        <w:rPr>
          <w:rFonts w:ascii="Times New Roman"/>
          <w:b w:val="false"/>
          <w:i w:val="false"/>
          <w:color w:val="000000"/>
          <w:sz w:val="28"/>
        </w:rPr>
        <w:t>
      16. При необходимости уполномоченный орган в срок не позднее пяти рабочих дней после поступления заявления запрашивает у заявителя другие документы и расчеты, обосновывающие сведения, содержащиеся в заявлении.</w:t>
      </w:r>
    </w:p>
    <w:bookmarkEnd w:id="100"/>
    <w:bookmarkStart w:name="z113" w:id="101"/>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 обосновывающие сведения, содержащиеся в заявлении, запрашиваемые согласно настоящему пункту Правил.</w:t>
      </w:r>
    </w:p>
    <w:bookmarkEnd w:id="101"/>
    <w:bookmarkStart w:name="z114" w:id="102"/>
    <w:p>
      <w:pPr>
        <w:spacing w:after="0"/>
        <w:ind w:left="0"/>
        <w:jc w:val="both"/>
      </w:pPr>
      <w:r>
        <w:rPr>
          <w:rFonts w:ascii="Times New Roman"/>
          <w:b w:val="false"/>
          <w:i w:val="false"/>
          <w:color w:val="000000"/>
          <w:sz w:val="28"/>
        </w:rPr>
        <w:t>
      17.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15 и 16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102"/>
    <w:bookmarkStart w:name="z115" w:id="103"/>
    <w:p>
      <w:pPr>
        <w:spacing w:after="0"/>
        <w:ind w:left="0"/>
        <w:jc w:val="both"/>
      </w:pPr>
      <w:r>
        <w:rPr>
          <w:rFonts w:ascii="Times New Roman"/>
          <w:b w:val="false"/>
          <w:i w:val="false"/>
          <w:color w:val="000000"/>
          <w:sz w:val="28"/>
        </w:rPr>
        <w:t>
      18.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 указанные в пункте 4 настоящих Правил, а также в уполномоченный орган в области нефти и газа для подготовки заключения о соответствии или несоответствии месторождения (группы месторождений, части месторождения) критериям высоковязких, обводненных, малодебитных или выработанных и соблюдении заявителем утвержденных проектных решений.</w:t>
      </w:r>
    </w:p>
    <w:bookmarkEnd w:id="103"/>
    <w:bookmarkStart w:name="z116" w:id="104"/>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w:t>
      </w:r>
    </w:p>
    <w:bookmarkEnd w:id="104"/>
    <w:bookmarkStart w:name="z117" w:id="105"/>
    <w:p>
      <w:pPr>
        <w:spacing w:after="0"/>
        <w:ind w:left="0"/>
        <w:jc w:val="both"/>
      </w:pPr>
      <w:r>
        <w:rPr>
          <w:rFonts w:ascii="Times New Roman"/>
          <w:b w:val="false"/>
          <w:i w:val="false"/>
          <w:color w:val="000000"/>
          <w:sz w:val="28"/>
        </w:rPr>
        <w:t>
      19.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w:t>
      </w:r>
    </w:p>
    <w:bookmarkEnd w:id="105"/>
    <w:bookmarkStart w:name="z118" w:id="106"/>
    <w:p>
      <w:pPr>
        <w:spacing w:after="0"/>
        <w:ind w:left="0"/>
        <w:jc w:val="both"/>
      </w:pPr>
      <w:r>
        <w:rPr>
          <w:rFonts w:ascii="Times New Roman"/>
          <w:b w:val="false"/>
          <w:i w:val="false"/>
          <w:color w:val="000000"/>
          <w:sz w:val="28"/>
        </w:rPr>
        <w:t>
      20. В срок не позднее десяти рабочих дней комиссия рассматривает заявление и вырабатывает предложение об отнесении или отказе в отнесении месторождения (группы месторождений, части месторождения) к категории высоковязких, обводненных, малодебитных или выработанных.</w:t>
      </w:r>
    </w:p>
    <w:bookmarkEnd w:id="106"/>
    <w:bookmarkStart w:name="z119" w:id="107"/>
    <w:p>
      <w:pPr>
        <w:spacing w:after="0"/>
        <w:ind w:left="0"/>
        <w:jc w:val="both"/>
      </w:pPr>
      <w:r>
        <w:rPr>
          <w:rFonts w:ascii="Times New Roman"/>
          <w:b w:val="false"/>
          <w:i w:val="false"/>
          <w:color w:val="000000"/>
          <w:sz w:val="28"/>
        </w:rPr>
        <w:t>
      21. В случае вынесения комиссией предложения об отнесении месторождения (группы месторождений, части месторождения) к категории высоковязких, обводненных, малодебитных или выработанных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в перечень высоковязких, обводненных, малодебитных или выработанных месторождений, в котором содержатся следующие сведения:</w:t>
      </w:r>
    </w:p>
    <w:bookmarkEnd w:id="107"/>
    <w:bookmarkStart w:name="z120" w:id="108"/>
    <w:p>
      <w:pPr>
        <w:spacing w:after="0"/>
        <w:ind w:left="0"/>
        <w:jc w:val="both"/>
      </w:pPr>
      <w:r>
        <w:rPr>
          <w:rFonts w:ascii="Times New Roman"/>
          <w:b w:val="false"/>
          <w:i w:val="false"/>
          <w:color w:val="000000"/>
          <w:sz w:val="28"/>
        </w:rPr>
        <w:t>
      1) наименование и координаты месторождения (группы месторождений, части месторождения) в соответствии с горным отводом;</w:t>
      </w:r>
    </w:p>
    <w:bookmarkEnd w:id="108"/>
    <w:bookmarkStart w:name="z121" w:id="109"/>
    <w:p>
      <w:pPr>
        <w:spacing w:after="0"/>
        <w:ind w:left="0"/>
        <w:jc w:val="both"/>
      </w:pPr>
      <w:r>
        <w:rPr>
          <w:rFonts w:ascii="Times New Roman"/>
          <w:b w:val="false"/>
          <w:i w:val="false"/>
          <w:color w:val="000000"/>
          <w:sz w:val="28"/>
        </w:rPr>
        <w:t>
      2) дата и регистрационный номер контракта на недропользование и лицензии (при наличии);</w:t>
      </w:r>
    </w:p>
    <w:bookmarkEnd w:id="109"/>
    <w:bookmarkStart w:name="z122" w:id="110"/>
    <w:p>
      <w:pPr>
        <w:spacing w:after="0"/>
        <w:ind w:left="0"/>
        <w:jc w:val="both"/>
      </w:pPr>
      <w:r>
        <w:rPr>
          <w:rFonts w:ascii="Times New Roman"/>
          <w:b w:val="false"/>
          <w:i w:val="false"/>
          <w:color w:val="000000"/>
          <w:sz w:val="28"/>
        </w:rPr>
        <w:t>
      3) один или несколько критериев, указанных в пункте 28 настоящих Правил, которому (которым) соответствует месторождение (группа месторождений, часть месторождения).</w:t>
      </w:r>
    </w:p>
    <w:bookmarkEnd w:id="110"/>
    <w:bookmarkStart w:name="z123" w:id="111"/>
    <w:p>
      <w:pPr>
        <w:spacing w:after="0"/>
        <w:ind w:left="0"/>
        <w:jc w:val="both"/>
      </w:pPr>
      <w:r>
        <w:rPr>
          <w:rFonts w:ascii="Times New Roman"/>
          <w:b w:val="false"/>
          <w:i w:val="false"/>
          <w:color w:val="000000"/>
          <w:sz w:val="28"/>
        </w:rPr>
        <w:t>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НДПИ, уплаченный с начала календарного года, в котором принято соответствующее решение Правительства Республики Казахстан, пересчитывается по ставкам согласно приложению 2 к настоящим Правилам, исходя из фактически сложившихся цен за истекшие налоговые периоды, определяемых в порядке, установленном статьей 741 Налогового кодекса Республики Казахстан, путем подачи дополнительных деклараций.</w:t>
      </w:r>
    </w:p>
    <w:bookmarkEnd w:id="111"/>
    <w:bookmarkStart w:name="z124" w:id="112"/>
    <w:p>
      <w:pPr>
        <w:spacing w:after="0"/>
        <w:ind w:left="0"/>
        <w:jc w:val="both"/>
      </w:pPr>
      <w:r>
        <w:rPr>
          <w:rFonts w:ascii="Times New Roman"/>
          <w:b w:val="false"/>
          <w:i w:val="false"/>
          <w:color w:val="000000"/>
          <w:sz w:val="28"/>
        </w:rPr>
        <w:t>
      В случае, если месторождение (группа месторождений, часть месторождения) соответствует нескольким критериям, указанным в пункте 27 настоящих Правил, для которых установлены различные ставки НДПИ, для целей исчисления и уплаты указанного налога применяется ставка с наименьшим значением.</w:t>
      </w:r>
    </w:p>
    <w:bookmarkEnd w:id="112"/>
    <w:bookmarkStart w:name="z125" w:id="113"/>
    <w:p>
      <w:pPr>
        <w:spacing w:after="0"/>
        <w:ind w:left="0"/>
        <w:jc w:val="both"/>
      </w:pPr>
      <w:r>
        <w:rPr>
          <w:rFonts w:ascii="Times New Roman"/>
          <w:b w:val="false"/>
          <w:i w:val="false"/>
          <w:color w:val="000000"/>
          <w:sz w:val="28"/>
        </w:rPr>
        <w:t>
      В случае отнесения части месторождения к категории высоковязких, обводненных, малодебитных или выработанных для определения пониженной ставки НДПИ учитывается весь объем добычи по контракту.</w:t>
      </w:r>
    </w:p>
    <w:bookmarkEnd w:id="113"/>
    <w:bookmarkStart w:name="z126" w:id="114"/>
    <w:p>
      <w:pPr>
        <w:spacing w:after="0"/>
        <w:ind w:left="0"/>
        <w:jc w:val="both"/>
      </w:pPr>
      <w:r>
        <w:rPr>
          <w:rFonts w:ascii="Times New Roman"/>
          <w:b w:val="false"/>
          <w:i w:val="false"/>
          <w:color w:val="000000"/>
          <w:sz w:val="28"/>
        </w:rPr>
        <w:t>
      22. В случае отнесения месторождения (группы месторождений, части месторождения) к категории высоковязких, обводненных, малодебитных или выработанных пониженные ставки НДПИ, указанные в приложении 2 к настоящим Правилам, по решениям Правительства Республики Казахстан, принятым после 1 января 2019 года, действуют в течение трех календарных лет, начиная с 1 января года, в котором принято такое решение.</w:t>
      </w:r>
    </w:p>
    <w:bookmarkEnd w:id="114"/>
    <w:bookmarkStart w:name="z127" w:id="115"/>
    <w:p>
      <w:pPr>
        <w:spacing w:after="0"/>
        <w:ind w:left="0"/>
        <w:jc w:val="both"/>
      </w:pPr>
      <w:r>
        <w:rPr>
          <w:rFonts w:ascii="Times New Roman"/>
          <w:b w:val="false"/>
          <w:i w:val="false"/>
          <w:color w:val="000000"/>
          <w:sz w:val="28"/>
        </w:rPr>
        <w:t>
      До истечения срока действия пониженных ставок НДПИ недропользователь повторно обращается с заявлением в уполномоченный орган в соответствии с положениями настоящих Правил.</w:t>
      </w:r>
    </w:p>
    <w:bookmarkEnd w:id="115"/>
    <w:bookmarkStart w:name="z128" w:id="116"/>
    <w:p>
      <w:pPr>
        <w:spacing w:after="0"/>
        <w:ind w:left="0"/>
        <w:jc w:val="both"/>
      </w:pPr>
      <w:r>
        <w:rPr>
          <w:rFonts w:ascii="Times New Roman"/>
          <w:b w:val="false"/>
          <w:i w:val="false"/>
          <w:color w:val="000000"/>
          <w:sz w:val="28"/>
        </w:rPr>
        <w:t>
      При этом трехлетний срок ограничения действия пониженных ставок НДПИ, установленный в части первой настоящего пункта, не применяется в отношении юридического лица, контрольный пакет акций которого принадлежит национальной компании и (или) юридическим лицам, 70 и более процентов голосующих акций которых принадлежат национальной компании.</w:t>
      </w:r>
    </w:p>
    <w:bookmarkEnd w:id="116"/>
    <w:bookmarkStart w:name="z129" w:id="117"/>
    <w:p>
      <w:pPr>
        <w:spacing w:after="0"/>
        <w:ind w:left="0"/>
        <w:jc w:val="both"/>
      </w:pPr>
      <w:r>
        <w:rPr>
          <w:rFonts w:ascii="Times New Roman"/>
          <w:b w:val="false"/>
          <w:i w:val="false"/>
          <w:color w:val="000000"/>
          <w:sz w:val="28"/>
        </w:rPr>
        <w:t>
      23. Налогоплательщик, применявший ставки НДПИ в соответствии с частью второй пункта 21 настоящих Правил, в срок не позднее 15-го февраля года, следующего за истекшим календарным годом, в котором применялись данные ставки НДПИ,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пункта 11 настоящих Правил, на основе показателей по месторождению (группе месторождений, части месторождения) с применением ставок НДПИ согласно приложению 2 к настоящим Правилам.</w:t>
      </w:r>
    </w:p>
    <w:bookmarkEnd w:id="117"/>
    <w:bookmarkStart w:name="z130" w:id="118"/>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20%, но не более 25%, недропользователь производит перерасчет налоговых обязательств по НДПИ по ставке согласно приложению 2 к настоящим Правилам, увеличенной на 5% от базовой ставки НДПИ, установленной Налоговым кодексом Республики Казахстан на соответствующий год.</w:t>
      </w:r>
    </w:p>
    <w:bookmarkEnd w:id="118"/>
    <w:bookmarkStart w:name="z131" w:id="119"/>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25%, недропользователь производит перерасчет налоговых обязательств по НДПИ по ставке, рассчитываемой по следующей формуле:</w:t>
      </w:r>
    </w:p>
    <w:bookmarkEnd w:id="119"/>
    <w:bookmarkStart w:name="z132"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642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в процентах;</w:t>
      </w:r>
    </w:p>
    <w:bookmarkEnd w:id="121"/>
    <w:bookmarkStart w:name="z134" w:id="122"/>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исчисленный в соответствии с методикой недропользователя;</w:t>
      </w:r>
    </w:p>
    <w:bookmarkEnd w:id="122"/>
    <w:bookmarkStart w:name="z135" w:id="123"/>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не включая НДПИ, исчисленные в соответствии с методикой недропользователя;</w:t>
      </w:r>
    </w:p>
    <w:bookmarkEnd w:id="123"/>
    <w:bookmarkStart w:name="z136" w:id="124"/>
    <w:p>
      <w:pPr>
        <w:spacing w:after="0"/>
        <w:ind w:left="0"/>
        <w:jc w:val="both"/>
      </w:pPr>
      <w:r>
        <w:rPr>
          <w:rFonts w:ascii="Times New Roman"/>
          <w:b w:val="false"/>
          <w:i w:val="false"/>
          <w:color w:val="000000"/>
          <w:sz w:val="28"/>
        </w:rPr>
        <w:t>
      НБм – налоговая база НДПИ по месторождению (группе месторождений, части месторождения), исчисленная в соответствии с методикой недропользователя;</w:t>
      </w:r>
    </w:p>
    <w:bookmarkEnd w:id="124"/>
    <w:bookmarkStart w:name="z137" w:id="125"/>
    <w:p>
      <w:pPr>
        <w:spacing w:after="0"/>
        <w:ind w:left="0"/>
        <w:jc w:val="both"/>
      </w:pPr>
      <w:r>
        <w:rPr>
          <w:rFonts w:ascii="Times New Roman"/>
          <w:b w:val="false"/>
          <w:i w:val="false"/>
          <w:color w:val="000000"/>
          <w:sz w:val="28"/>
        </w:rPr>
        <w:t>
      К – значение ставки КПН, установленной налоговым законодательством Республики Казахстан на соответствующий налоговый период, переведенное в десятичную дробь путем деления ставки в процентах на 100.</w:t>
      </w:r>
    </w:p>
    <w:bookmarkEnd w:id="125"/>
    <w:bookmarkStart w:name="z138" w:id="126"/>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126"/>
    <w:bookmarkStart w:name="z139" w:id="127"/>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w:t>
      </w:r>
    </w:p>
    <w:bookmarkEnd w:id="127"/>
    <w:bookmarkStart w:name="z140" w:id="128"/>
    <w:p>
      <w:pPr>
        <w:spacing w:after="0"/>
        <w:ind w:left="0"/>
        <w:jc w:val="both"/>
      </w:pPr>
      <w:r>
        <w:rPr>
          <w:rFonts w:ascii="Times New Roman"/>
          <w:b w:val="false"/>
          <w:i w:val="false"/>
          <w:color w:val="000000"/>
          <w:sz w:val="28"/>
        </w:rPr>
        <w:t>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приложению 2 к настоящим Правилам,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производится перерасчет налоговых обязательств в соответствии с настоящим пунктом.</w:t>
      </w:r>
    </w:p>
    <w:bookmarkEnd w:id="128"/>
    <w:bookmarkStart w:name="z141" w:id="129"/>
    <w:p>
      <w:pPr>
        <w:spacing w:after="0"/>
        <w:ind w:left="0"/>
        <w:jc w:val="both"/>
      </w:pPr>
      <w:r>
        <w:rPr>
          <w:rFonts w:ascii="Times New Roman"/>
          <w:b w:val="false"/>
          <w:i w:val="false"/>
          <w:color w:val="000000"/>
          <w:sz w:val="28"/>
        </w:rPr>
        <w:t>
      24. Решение об отказе в отнесении месторождения (группы месторождений, части месторождения) к категории высоковязких, обводненных, малодебитных или выработанных,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с указанием причин отказа.</w:t>
      </w:r>
    </w:p>
    <w:bookmarkEnd w:id="129"/>
    <w:bookmarkStart w:name="z142" w:id="130"/>
    <w:p>
      <w:pPr>
        <w:spacing w:after="0"/>
        <w:ind w:left="0"/>
        <w:jc w:val="both"/>
      </w:pPr>
      <w:r>
        <w:rPr>
          <w:rFonts w:ascii="Times New Roman"/>
          <w:b w:val="false"/>
          <w:i w:val="false"/>
          <w:color w:val="000000"/>
          <w:sz w:val="28"/>
        </w:rPr>
        <w:t>
      25. Основания для отказа в отнесении месторождения (группы месторождений, части месторождения) к категории высоковязких, обводненных, малодебитных или выработанных включают:</w:t>
      </w:r>
    </w:p>
    <w:bookmarkEnd w:id="130"/>
    <w:bookmarkStart w:name="z143" w:id="131"/>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КПН, а также расчета чистого дохода, рентабельности продаж по контракту на соответствующий календарный год налоговому законодательству Республики Казахстан, в том числе пункту 11 настоящих Правил;</w:t>
      </w:r>
    </w:p>
    <w:bookmarkEnd w:id="131"/>
    <w:bookmarkStart w:name="z144" w:id="132"/>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заявителем для расчета уровня рентабельности;</w:t>
      </w:r>
    </w:p>
    <w:bookmarkEnd w:id="132"/>
    <w:bookmarkStart w:name="z145" w:id="133"/>
    <w:p>
      <w:pPr>
        <w:spacing w:after="0"/>
        <w:ind w:left="0"/>
        <w:jc w:val="both"/>
      </w:pPr>
      <w:r>
        <w:rPr>
          <w:rFonts w:ascii="Times New Roman"/>
          <w:b w:val="false"/>
          <w:i w:val="false"/>
          <w:color w:val="000000"/>
          <w:sz w:val="28"/>
        </w:rPr>
        <w:t>
      3) несоответствие заявленных объемов добычи планируемым объемам добычи на соответствующий календарный год;</w:t>
      </w:r>
    </w:p>
    <w:bookmarkEnd w:id="133"/>
    <w:bookmarkStart w:name="z146" w:id="134"/>
    <w:p>
      <w:pPr>
        <w:spacing w:after="0"/>
        <w:ind w:left="0"/>
        <w:jc w:val="both"/>
      </w:pPr>
      <w:r>
        <w:rPr>
          <w:rFonts w:ascii="Times New Roman"/>
          <w:b w:val="false"/>
          <w:i w:val="false"/>
          <w:color w:val="000000"/>
          <w:sz w:val="28"/>
        </w:rPr>
        <w:t>
      4)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превышает 25%;</w:t>
      </w:r>
    </w:p>
    <w:bookmarkEnd w:id="134"/>
    <w:bookmarkStart w:name="z147" w:id="135"/>
    <w:p>
      <w:pPr>
        <w:spacing w:after="0"/>
        <w:ind w:left="0"/>
        <w:jc w:val="both"/>
      </w:pPr>
      <w:r>
        <w:rPr>
          <w:rFonts w:ascii="Times New Roman"/>
          <w:b w:val="false"/>
          <w:i w:val="false"/>
          <w:color w:val="000000"/>
          <w:sz w:val="28"/>
        </w:rPr>
        <w:t>
      5) несоответствие месторождения (группы месторождений, части месторождения) ни одному из заявленных критериев, указанных в пункте 28 настоящих Правил;</w:t>
      </w:r>
    </w:p>
    <w:bookmarkEnd w:id="135"/>
    <w:bookmarkStart w:name="z148" w:id="136"/>
    <w:p>
      <w:pPr>
        <w:spacing w:after="0"/>
        <w:ind w:left="0"/>
        <w:jc w:val="both"/>
      </w:pPr>
      <w:r>
        <w:rPr>
          <w:rFonts w:ascii="Times New Roman"/>
          <w:b w:val="false"/>
          <w:i w:val="false"/>
          <w:color w:val="000000"/>
          <w:sz w:val="28"/>
        </w:rPr>
        <w:t>
      6) заявленный критерий (критерии) достигнут в результате нарушения заявителем утвержденных проектных решений (документов).</w:t>
      </w:r>
    </w:p>
    <w:bookmarkEnd w:id="136"/>
    <w:bookmarkStart w:name="z149" w:id="137"/>
    <w:p>
      <w:pPr>
        <w:spacing w:after="0"/>
        <w:ind w:left="0"/>
        <w:jc w:val="both"/>
      </w:pPr>
      <w:r>
        <w:rPr>
          <w:rFonts w:ascii="Times New Roman"/>
          <w:b w:val="false"/>
          <w:i w:val="false"/>
          <w:color w:val="000000"/>
          <w:sz w:val="28"/>
        </w:rPr>
        <w:t>
      26. Изменение параметров месторождения (группы месторождений, части месторождения), указанных в заявлении, произошедшее после принятия решения об отнесении месторождения (группы месторождений, части месторождения) к категории высоковязких, обводненных, малодебитных или выработанных, в результате принятия мер, направленных на увеличение отдачи месторождения (группы месторождений, части месторождения) в соответствии с утвержденными в установленном законодательством Республики Казахстан порядке проектными решениями (документами), не являются основанием для пересмотра ранее принятого решения.</w:t>
      </w:r>
    </w:p>
    <w:bookmarkEnd w:id="137"/>
    <w:bookmarkStart w:name="z150" w:id="138"/>
    <w:p>
      <w:pPr>
        <w:spacing w:after="0"/>
        <w:ind w:left="0"/>
        <w:jc w:val="both"/>
      </w:pPr>
      <w:r>
        <w:rPr>
          <w:rFonts w:ascii="Times New Roman"/>
          <w:b w:val="false"/>
          <w:i w:val="false"/>
          <w:color w:val="000000"/>
          <w:sz w:val="28"/>
        </w:rPr>
        <w:t>
      В случае увеличения первоначальных утвержденных запасов по месторождению, включенному в перечень высоковязких, обводненных, малодебитных или выработанных по критерию выработанности, комиссия пересматривает ранее принятое решение, если в результате такого увеличения месторождение (группа месторождений, часть месторождения) не соответствует указанному критерию, при условии, что изменение критерия не связано с принятием недропользователем мер, направленных на увеличение отдачи месторождения (группы месторождений, части месторождения).</w:t>
      </w:r>
    </w:p>
    <w:bookmarkEnd w:id="138"/>
    <w:bookmarkStart w:name="z151" w:id="139"/>
    <w:p>
      <w:pPr>
        <w:spacing w:after="0"/>
        <w:ind w:left="0"/>
        <w:jc w:val="both"/>
      </w:pPr>
      <w:r>
        <w:rPr>
          <w:rFonts w:ascii="Times New Roman"/>
          <w:b w:val="false"/>
          <w:i w:val="false"/>
          <w:color w:val="000000"/>
          <w:sz w:val="28"/>
        </w:rPr>
        <w:t>
      Уполномоченный орган в области углеводородов ежегодно представляет по месторождениям (группе месторождений, части месторождения), включенным в перечень высоковязких, обводненных, малодебитных или выработанных, данные об извлекаемых запасах в уполномоченный орган по бюджетному планированию по состоянию на 1 января текущего календарного года.</w:t>
      </w:r>
    </w:p>
    <w:bookmarkEnd w:id="139"/>
    <w:bookmarkStart w:name="z152" w:id="140"/>
    <w:p>
      <w:pPr>
        <w:spacing w:after="0"/>
        <w:ind w:left="0"/>
        <w:jc w:val="both"/>
      </w:pPr>
      <w:r>
        <w:rPr>
          <w:rFonts w:ascii="Times New Roman"/>
          <w:b w:val="false"/>
          <w:i w:val="false"/>
          <w:color w:val="000000"/>
          <w:sz w:val="28"/>
        </w:rPr>
        <w:t>
      Недропользователь обращается в уполномоченный орган с заявлением по изменению критерия (критериев), которому (которым) соответствует месторождение (группа месторождений, часть месторождения), указанное (указанные) в перечне высоковязких, обводненных, малодебитных или выработанных, в порядке, установленном настоящей главой.</w:t>
      </w:r>
    </w:p>
    <w:bookmarkEnd w:id="140"/>
    <w:bookmarkStart w:name="z153" w:id="141"/>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41"/>
    <w:bookmarkStart w:name="z154" w:id="142"/>
    <w:p>
      <w:pPr>
        <w:spacing w:after="0"/>
        <w:ind w:left="0"/>
        <w:jc w:val="both"/>
      </w:pPr>
      <w:r>
        <w:rPr>
          <w:rFonts w:ascii="Times New Roman"/>
          <w:b w:val="false"/>
          <w:i w:val="false"/>
          <w:color w:val="000000"/>
          <w:sz w:val="28"/>
        </w:rPr>
        <w:t>
      27. Месторождение (группа месторождений, часть месторождения) относится к категории высоковязких, обводненных, малодебитных или выработанных при условии, что на месторождении (группе месторождений, части месторождения) в ходе разработки в соответствии с утвержденными проектными решениями достигнут один из показателей по выработанности, обводненности, малодебитности либо месторождение (группа месторождений, часть месторождения) характеризуется высокой вязкостью нефти, которые соответствуют следующим значениям:</w:t>
      </w:r>
    </w:p>
    <w:bookmarkEnd w:id="142"/>
    <w:bookmarkStart w:name="z155" w:id="143"/>
    <w:p>
      <w:pPr>
        <w:spacing w:after="0"/>
        <w:ind w:left="0"/>
        <w:jc w:val="both"/>
      </w:pPr>
      <w:r>
        <w:rPr>
          <w:rFonts w:ascii="Times New Roman"/>
          <w:b w:val="false"/>
          <w:i w:val="false"/>
          <w:color w:val="000000"/>
          <w:sz w:val="28"/>
        </w:rPr>
        <w:t>
      1) выработанность месторождения (каждого месторождения в отдельности по группе месторождений, части месторождения) углеводородов составляет 80 и более процентов от утвержденных в установленном порядке извлекаемых запасов.</w:t>
      </w:r>
    </w:p>
    <w:bookmarkEnd w:id="143"/>
    <w:bookmarkStart w:name="z156" w:id="144"/>
    <w:p>
      <w:pPr>
        <w:spacing w:after="0"/>
        <w:ind w:left="0"/>
        <w:jc w:val="both"/>
      </w:pPr>
      <w:r>
        <w:rPr>
          <w:rFonts w:ascii="Times New Roman"/>
          <w:b w:val="false"/>
          <w:i w:val="false"/>
          <w:color w:val="000000"/>
          <w:sz w:val="28"/>
        </w:rPr>
        <w:t>
      Степень выработанности месторождения (группы месторождений, части месторождения) рассчитывается по следующей формуле:</w:t>
      </w:r>
    </w:p>
    <w:bookmarkEnd w:id="144"/>
    <w:bookmarkStart w:name="z157"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3416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Св – степень выработанности запасов нефти, выраженная в процентах от утвержденных извлекаемых запасов нефти;</w:t>
      </w:r>
    </w:p>
    <w:bookmarkEnd w:id="146"/>
    <w:bookmarkStart w:name="z159" w:id="147"/>
    <w:p>
      <w:pPr>
        <w:spacing w:after="0"/>
        <w:ind w:left="0"/>
        <w:jc w:val="both"/>
      </w:pPr>
      <w:r>
        <w:rPr>
          <w:rFonts w:ascii="Times New Roman"/>
          <w:b w:val="false"/>
          <w:i w:val="false"/>
          <w:color w:val="000000"/>
          <w:sz w:val="28"/>
        </w:rPr>
        <w:t>
      Qн – накопленная добыча нефти на месторождении (части месторождения) в целом в тоннах;</w:t>
      </w:r>
    </w:p>
    <w:bookmarkEnd w:id="147"/>
    <w:bookmarkStart w:name="z160" w:id="148"/>
    <w:p>
      <w:pPr>
        <w:spacing w:after="0"/>
        <w:ind w:left="0"/>
        <w:jc w:val="both"/>
      </w:pPr>
      <w:r>
        <w:rPr>
          <w:rFonts w:ascii="Times New Roman"/>
          <w:b w:val="false"/>
          <w:i w:val="false"/>
          <w:color w:val="000000"/>
          <w:sz w:val="28"/>
        </w:rPr>
        <w:t>
      Qи – утвержденные извлекаемые запасы нефти в тоннах;</w:t>
      </w:r>
    </w:p>
    <w:bookmarkEnd w:id="148"/>
    <w:bookmarkStart w:name="z161" w:id="149"/>
    <w:p>
      <w:pPr>
        <w:spacing w:after="0"/>
        <w:ind w:left="0"/>
        <w:jc w:val="both"/>
      </w:pPr>
      <w:r>
        <w:rPr>
          <w:rFonts w:ascii="Times New Roman"/>
          <w:b w:val="false"/>
          <w:i w:val="false"/>
          <w:color w:val="000000"/>
          <w:sz w:val="28"/>
        </w:rPr>
        <w:t>
      2) обводненность продукции месторождения (каждого месторождения в отдельности по группе месторождений, части месторождения) углеводородов составляет 85 и более процентов.</w:t>
      </w:r>
    </w:p>
    <w:bookmarkEnd w:id="149"/>
    <w:bookmarkStart w:name="z162" w:id="150"/>
    <w:p>
      <w:pPr>
        <w:spacing w:after="0"/>
        <w:ind w:left="0"/>
        <w:jc w:val="both"/>
      </w:pPr>
      <w:r>
        <w:rPr>
          <w:rFonts w:ascii="Times New Roman"/>
          <w:b w:val="false"/>
          <w:i w:val="false"/>
          <w:color w:val="000000"/>
          <w:sz w:val="28"/>
        </w:rPr>
        <w:t>
      Обводненность месторождения (части месторождения) рассчитывается по следующей формуле:</w:t>
      </w:r>
    </w:p>
    <w:bookmarkEnd w:id="150"/>
    <w:bookmarkStart w:name="z163"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683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Ом – процент обводненности месторождения (части месторождения);</w:t>
      </w:r>
    </w:p>
    <w:bookmarkEnd w:id="152"/>
    <w:bookmarkStart w:name="z165" w:id="153"/>
    <w:p>
      <w:pPr>
        <w:spacing w:after="0"/>
        <w:ind w:left="0"/>
        <w:jc w:val="both"/>
      </w:pPr>
      <w:r>
        <w:rPr>
          <w:rFonts w:ascii="Times New Roman"/>
          <w:b w:val="false"/>
          <w:i w:val="false"/>
          <w:color w:val="000000"/>
          <w:sz w:val="28"/>
        </w:rPr>
        <w:t>
      QB – объем добытой воды за период не менее девяносто календарных дней, предшествующих дате подачи заявления;</w:t>
      </w:r>
    </w:p>
    <w:bookmarkEnd w:id="153"/>
    <w:bookmarkStart w:name="z166" w:id="154"/>
    <w:p>
      <w:pPr>
        <w:spacing w:after="0"/>
        <w:ind w:left="0"/>
        <w:jc w:val="both"/>
      </w:pPr>
      <w:r>
        <w:rPr>
          <w:rFonts w:ascii="Times New Roman"/>
          <w:b w:val="false"/>
          <w:i w:val="false"/>
          <w:color w:val="000000"/>
          <w:sz w:val="28"/>
        </w:rPr>
        <w:t>
      Qж – объем добытой жидкости за период не менее девяносто календарных дней, предшествующих дате подачи заявления;</w:t>
      </w:r>
    </w:p>
    <w:bookmarkEnd w:id="154"/>
    <w:bookmarkStart w:name="z167" w:id="155"/>
    <w:p>
      <w:pPr>
        <w:spacing w:after="0"/>
        <w:ind w:left="0"/>
        <w:jc w:val="both"/>
      </w:pPr>
      <w:r>
        <w:rPr>
          <w:rFonts w:ascii="Times New Roman"/>
          <w:b w:val="false"/>
          <w:i w:val="false"/>
          <w:color w:val="000000"/>
          <w:sz w:val="28"/>
        </w:rPr>
        <w:t>
      3) вязкость нефти месторождения (каждого месторождения в отдельности по группе месторождений, части месторождения) в пластовых условиях составляет 200 мПа*сек и более;</w:t>
      </w:r>
    </w:p>
    <w:bookmarkEnd w:id="155"/>
    <w:bookmarkStart w:name="z168" w:id="156"/>
    <w:p>
      <w:pPr>
        <w:spacing w:after="0"/>
        <w:ind w:left="0"/>
        <w:jc w:val="both"/>
      </w:pPr>
      <w:r>
        <w:rPr>
          <w:rFonts w:ascii="Times New Roman"/>
          <w:b w:val="false"/>
          <w:i w:val="false"/>
          <w:color w:val="000000"/>
          <w:sz w:val="28"/>
        </w:rPr>
        <w:t>
      4) средний дебит скважин месторождения (каждого месторождения в отдельности по группе месторождений, части месторождения) составляет менее трех тонн в сутки.</w:t>
      </w:r>
    </w:p>
    <w:bookmarkEnd w:id="156"/>
    <w:bookmarkStart w:name="z169" w:id="157"/>
    <w:p>
      <w:pPr>
        <w:spacing w:after="0"/>
        <w:ind w:left="0"/>
        <w:jc w:val="both"/>
      </w:pPr>
      <w:r>
        <w:rPr>
          <w:rFonts w:ascii="Times New Roman"/>
          <w:b w:val="false"/>
          <w:i w:val="false"/>
          <w:color w:val="000000"/>
          <w:sz w:val="28"/>
        </w:rPr>
        <w:t>
      Среднесуточный дебит нефти одной скважины по месторождению (части месторождения) рассчитывается по следующей формуле:</w:t>
      </w:r>
    </w:p>
    <w:bookmarkEnd w:id="157"/>
    <w:bookmarkStart w:name="z17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4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qH – среднесуточный дебит нефти одной скважины по месторождению (части месторождения);</w:t>
      </w:r>
    </w:p>
    <w:bookmarkEnd w:id="159"/>
    <w:bookmarkStart w:name="z172" w:id="160"/>
    <w:p>
      <w:pPr>
        <w:spacing w:after="0"/>
        <w:ind w:left="0"/>
        <w:jc w:val="both"/>
      </w:pPr>
      <w:r>
        <w:rPr>
          <w:rFonts w:ascii="Times New Roman"/>
          <w:b w:val="false"/>
          <w:i w:val="false"/>
          <w:color w:val="000000"/>
          <w:sz w:val="28"/>
        </w:rPr>
        <w:t>
      QH – объем среднесуточной добычи нефти по месторождению (части месторождения) в тоннах за период не менее девяносто календарных дней, предшествующих дате подачи заявления;</w:t>
      </w:r>
    </w:p>
    <w:bookmarkEnd w:id="160"/>
    <w:bookmarkStart w:name="z173" w:id="161"/>
    <w:p>
      <w:pPr>
        <w:spacing w:after="0"/>
        <w:ind w:left="0"/>
        <w:jc w:val="both"/>
      </w:pPr>
      <w:r>
        <w:rPr>
          <w:rFonts w:ascii="Times New Roman"/>
          <w:b w:val="false"/>
          <w:i w:val="false"/>
          <w:color w:val="000000"/>
          <w:sz w:val="28"/>
        </w:rPr>
        <w:t>
      N – среднее количество действующего добывающего фонда скважин месторождения (части месторождения) за соответствующий период.</w:t>
      </w:r>
    </w:p>
    <w:bookmarkEnd w:id="161"/>
    <w:bookmarkStart w:name="z174" w:id="162"/>
    <w:p>
      <w:pPr>
        <w:spacing w:after="0"/>
        <w:ind w:left="0"/>
        <w:jc w:val="both"/>
      </w:pPr>
      <w:r>
        <w:rPr>
          <w:rFonts w:ascii="Times New Roman"/>
          <w:b w:val="false"/>
          <w:i w:val="false"/>
          <w:color w:val="000000"/>
          <w:sz w:val="28"/>
        </w:rPr>
        <w:t>
      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 xml:space="preserve">месторождений, части </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176" w:id="163"/>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bookmarkEnd w:id="163"/>
    <w:p>
      <w:pPr>
        <w:spacing w:after="0"/>
        <w:ind w:left="0"/>
        <w:jc w:val="both"/>
      </w:pPr>
      <w:bookmarkStart w:name="z177" w:id="164"/>
      <w:r>
        <w:rPr>
          <w:rFonts w:ascii="Times New Roman"/>
          <w:b w:val="false"/>
          <w:i w:val="false"/>
          <w:color w:val="000000"/>
          <w:sz w:val="28"/>
        </w:rPr>
        <w:t>
      1. Полное наименование недропользователя (юридического либо физического лица)</w:t>
      </w:r>
    </w:p>
    <w:bookmarkEnd w:id="164"/>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углеводородов и предполагается применение порядка отнесения месторождения (группы </w:t>
      </w:r>
    </w:p>
    <w:p>
      <w:pPr>
        <w:spacing w:after="0"/>
        <w:ind w:left="0"/>
        <w:jc w:val="both"/>
      </w:pPr>
      <w:r>
        <w:rPr>
          <w:rFonts w:ascii="Times New Roman"/>
          <w:b w:val="false"/>
          <w:i w:val="false"/>
          <w:color w:val="000000"/>
          <w:sz w:val="28"/>
        </w:rPr>
        <w:t xml:space="preserve">месторождений, части месторождения) к категории низкорентабельных, высоковязких, </w:t>
      </w:r>
    </w:p>
    <w:p>
      <w:pPr>
        <w:spacing w:after="0"/>
        <w:ind w:left="0"/>
        <w:jc w:val="both"/>
      </w:pPr>
      <w:r>
        <w:rPr>
          <w:rFonts w:ascii="Times New Roman"/>
          <w:b w:val="false"/>
          <w:i w:val="false"/>
          <w:color w:val="000000"/>
          <w:sz w:val="28"/>
        </w:rPr>
        <w:t>обводненных, малодебитных или выработанных: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группы месторождений, части </w:t>
      </w:r>
    </w:p>
    <w:p>
      <w:pPr>
        <w:spacing w:after="0"/>
        <w:ind w:left="0"/>
        <w:jc w:val="both"/>
      </w:pPr>
      <w:r>
        <w:rPr>
          <w:rFonts w:ascii="Times New Roman"/>
          <w:b w:val="false"/>
          <w:i w:val="false"/>
          <w:color w:val="000000"/>
          <w:sz w:val="28"/>
        </w:rPr>
        <w:t>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части 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xml:space="preserve">       низкая рентабельность;</w:t>
      </w:r>
    </w:p>
    <w:p>
      <w:pPr>
        <w:spacing w:after="0"/>
        <w:ind w:left="0"/>
        <w:jc w:val="both"/>
      </w:pPr>
      <w:r>
        <w:rPr>
          <w:rFonts w:ascii="Times New Roman"/>
          <w:b w:val="false"/>
          <w:i w:val="false"/>
          <w:color w:val="000000"/>
          <w:sz w:val="28"/>
        </w:rPr>
        <w:t xml:space="preserve">       высокая вязкость;</w:t>
      </w:r>
    </w:p>
    <w:p>
      <w:pPr>
        <w:spacing w:after="0"/>
        <w:ind w:left="0"/>
        <w:jc w:val="both"/>
      </w:pPr>
      <w:r>
        <w:rPr>
          <w:rFonts w:ascii="Times New Roman"/>
          <w:b w:val="false"/>
          <w:i w:val="false"/>
          <w:color w:val="000000"/>
          <w:sz w:val="28"/>
        </w:rPr>
        <w:t xml:space="preserve">       обводненность;</w:t>
      </w:r>
    </w:p>
    <w:p>
      <w:pPr>
        <w:spacing w:after="0"/>
        <w:ind w:left="0"/>
        <w:jc w:val="both"/>
      </w:pPr>
      <w:r>
        <w:rPr>
          <w:rFonts w:ascii="Times New Roman"/>
          <w:b w:val="false"/>
          <w:i w:val="false"/>
          <w:color w:val="000000"/>
          <w:sz w:val="28"/>
        </w:rPr>
        <w:t xml:space="preserve">       малый дебит;</w:t>
      </w:r>
    </w:p>
    <w:p>
      <w:pPr>
        <w:spacing w:after="0"/>
        <w:ind w:left="0"/>
        <w:jc w:val="both"/>
      </w:pPr>
      <w:r>
        <w:rPr>
          <w:rFonts w:ascii="Times New Roman"/>
          <w:b w:val="false"/>
          <w:i w:val="false"/>
          <w:color w:val="000000"/>
          <w:sz w:val="28"/>
        </w:rPr>
        <w:t xml:space="preserve">       выработанность.</w:t>
      </w:r>
    </w:p>
    <w:p>
      <w:pPr>
        <w:spacing w:after="0"/>
        <w:ind w:left="0"/>
        <w:jc w:val="both"/>
      </w:pPr>
      <w:r>
        <w:rPr>
          <w:rFonts w:ascii="Times New Roman"/>
          <w:b w:val="false"/>
          <w:i w:val="false"/>
          <w:color w:val="000000"/>
          <w:sz w:val="28"/>
        </w:rPr>
        <w:t xml:space="preserve">       6. Контактное лицо (фамилия, имя и отчество (при его наличии), должность, телефон)</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Приложения: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Дата подачи заявки "___" ________ 20 __г.</w:t>
      </w:r>
    </w:p>
    <w:bookmarkStart w:name="z178" w:id="165"/>
    <w:p>
      <w:pPr>
        <w:spacing w:after="0"/>
        <w:ind w:left="0"/>
        <w:jc w:val="both"/>
      </w:pPr>
      <w:r>
        <w:rPr>
          <w:rFonts w:ascii="Times New Roman"/>
          <w:b w:val="false"/>
          <w:i w:val="false"/>
          <w:color w:val="000000"/>
          <w:sz w:val="28"/>
        </w:rPr>
        <w:t>
      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месторождений, части</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180" w:id="166"/>
    <w:p>
      <w:pPr>
        <w:spacing w:after="0"/>
        <w:ind w:left="0"/>
        <w:jc w:val="left"/>
      </w:pPr>
      <w:r>
        <w:rPr>
          <w:rFonts w:ascii="Times New Roman"/>
          <w:b/>
          <w:i w:val="false"/>
          <w:color w:val="000000"/>
        </w:rPr>
        <w:t xml:space="preserve"> Ставки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w:t>
      </w:r>
    </w:p>
    <w:bookmarkEnd w:id="166"/>
    <w:bookmarkStart w:name="z181" w:id="167"/>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3" w:id="169"/>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4" w:id="170"/>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5" w:id="171"/>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тонн до 3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тонны до 2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тонны в 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6" w:id="172"/>
    <w:p>
      <w:pPr>
        <w:spacing w:after="0"/>
        <w:ind w:left="0"/>
        <w:jc w:val="both"/>
      </w:pPr>
      <w:r>
        <w:rPr>
          <w:rFonts w:ascii="Times New Roman"/>
          <w:b w:val="false"/>
          <w:i w:val="false"/>
          <w:color w:val="000000"/>
          <w:sz w:val="28"/>
        </w:rPr>
        <w:t>
      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