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ca5d" w14:textId="870c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2022 года № 985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"197) участие в пределах своей компетенции в реализации государственной политики по обеспечению соблюдения принципов равных возможностей, толерантности и недопущения ущемления прав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а также предупреждению возникновения межэтнической и иной любой дискриминации в социально-трудовых отношениях;";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206-1)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"206-1) анализ и выявление системных проблем, поднимаемых заявителями, и принятие мер по их устранению;".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