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ca5d" w14:textId="870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2022 года № 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"197) участие в пределах своей компетенции в реализации государственной политики по обеспечению соблюдения принципов равных возможностей, толерантности и недопущения ущемления прав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жительства, а также предупреждению возникновения межэтнической и иной любой дискриминации в социально-трудовых отношениях;";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206-1)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"206-1) анализ и выявление системных проблем, поднимаемых заявителями, и принятие мер по их устранению;".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