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3a2a" w14:textId="35c3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пилотного национального проекта "Модернизация сельского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2022 года № 962.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пилотный </w:t>
      </w:r>
      <w:r>
        <w:rPr>
          <w:rFonts w:ascii="Times New Roman"/>
          <w:b w:val="false"/>
          <w:i w:val="false"/>
          <w:color w:val="000000"/>
          <w:sz w:val="28"/>
        </w:rPr>
        <w:t>национальный проект</w:t>
      </w:r>
      <w:r>
        <w:rPr>
          <w:rFonts w:ascii="Times New Roman"/>
          <w:b w:val="false"/>
          <w:i w:val="false"/>
          <w:color w:val="000000"/>
          <w:sz w:val="28"/>
        </w:rPr>
        <w:t xml:space="preserve"> "Модернизация сельского здравоохранения" (далее – национальный проект).</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национального проекта:</w:t>
      </w:r>
    </w:p>
    <w:bookmarkEnd w:id="2"/>
    <w:bookmarkStart w:name="z6"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исполнения национального проекта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Акимам областей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финансирование мероприятий национального проекта, предусмотренных за счет средств местных бюджетов;</w:t>
      </w:r>
    </w:p>
    <w:bookmarkEnd w:id="6"/>
    <w:bookmarkStart w:name="z10" w:id="7"/>
    <w:p>
      <w:pPr>
        <w:spacing w:after="0"/>
        <w:ind w:left="0"/>
        <w:jc w:val="both"/>
      </w:pPr>
      <w:r>
        <w:rPr>
          <w:rFonts w:ascii="Times New Roman"/>
          <w:b w:val="false"/>
          <w:i w:val="false"/>
          <w:color w:val="000000"/>
          <w:sz w:val="28"/>
        </w:rPr>
        <w:t>
      2) совместно с Министерством здравоохранения Республики Казахстан разработку проектно-сметной документации (в том числе повторного применения) на строительство объектов первичной медико-санитарной помощи (далее – ПМСП);</w:t>
      </w:r>
    </w:p>
    <w:bookmarkEnd w:id="7"/>
    <w:bookmarkStart w:name="z11" w:id="8"/>
    <w:p>
      <w:pPr>
        <w:spacing w:after="0"/>
        <w:ind w:left="0"/>
        <w:jc w:val="both"/>
      </w:pPr>
      <w:r>
        <w:rPr>
          <w:rFonts w:ascii="Times New Roman"/>
          <w:b w:val="false"/>
          <w:i w:val="false"/>
          <w:color w:val="000000"/>
          <w:sz w:val="28"/>
        </w:rPr>
        <w:t>
      3) разработку проектно-сметной документации на капитальный ремонт и реконструкцию многопрофильных центральных районных больниц;</w:t>
      </w:r>
    </w:p>
    <w:bookmarkEnd w:id="8"/>
    <w:bookmarkStart w:name="z12" w:id="9"/>
    <w:p>
      <w:pPr>
        <w:spacing w:after="0"/>
        <w:ind w:left="0"/>
        <w:jc w:val="both"/>
      </w:pPr>
      <w:r>
        <w:rPr>
          <w:rFonts w:ascii="Times New Roman"/>
          <w:b w:val="false"/>
          <w:i w:val="false"/>
          <w:color w:val="000000"/>
          <w:sz w:val="28"/>
        </w:rPr>
        <w:t>
      4) своевременное выделение земельных участков для строительства объектов ПМСП с необходимой инженерно-коммуникационной инфраструктурой, а также выступление заказчиками строительства объектов здравоохранения с обеспечением казахстанского содержания не менее 80 %;</w:t>
      </w:r>
    </w:p>
    <w:bookmarkEnd w:id="9"/>
    <w:bookmarkStart w:name="z13" w:id="10"/>
    <w:p>
      <w:pPr>
        <w:spacing w:after="0"/>
        <w:ind w:left="0"/>
        <w:jc w:val="both"/>
      </w:pPr>
      <w:r>
        <w:rPr>
          <w:rFonts w:ascii="Times New Roman"/>
          <w:b w:val="false"/>
          <w:i w:val="false"/>
          <w:color w:val="000000"/>
          <w:sz w:val="28"/>
        </w:rPr>
        <w:t>
      5) функционирование и качественное оказание услуг всех медицинских объектов после ввода в эксплуатацию.</w:t>
      </w:r>
    </w:p>
    <w:bookmarkEnd w:id="10"/>
    <w:bookmarkStart w:name="z14" w:id="11"/>
    <w:p>
      <w:pPr>
        <w:spacing w:after="0"/>
        <w:ind w:left="0"/>
        <w:jc w:val="both"/>
      </w:pPr>
      <w:r>
        <w:rPr>
          <w:rFonts w:ascii="Times New Roman"/>
          <w:b w:val="false"/>
          <w:i w:val="false"/>
          <w:color w:val="000000"/>
          <w:sz w:val="28"/>
        </w:rPr>
        <w:t>
      4. Министерству здравоохранения Республики Казахстан:</w:t>
      </w:r>
    </w:p>
    <w:bookmarkEnd w:id="11"/>
    <w:bookmarkStart w:name="z15" w:id="12"/>
    <w:p>
      <w:pPr>
        <w:spacing w:after="0"/>
        <w:ind w:left="0"/>
        <w:jc w:val="both"/>
      </w:pPr>
      <w:r>
        <w:rPr>
          <w:rFonts w:ascii="Times New Roman"/>
          <w:b w:val="false"/>
          <w:i w:val="false"/>
          <w:color w:val="000000"/>
          <w:sz w:val="28"/>
        </w:rPr>
        <w:t xml:space="preserve">
      1) обеспечить координацию, мониторинг и методологическое сопровождение национального проекта; </w:t>
      </w:r>
    </w:p>
    <w:bookmarkEnd w:id="12"/>
    <w:bookmarkStart w:name="z16" w:id="13"/>
    <w:p>
      <w:pPr>
        <w:spacing w:after="0"/>
        <w:ind w:left="0"/>
        <w:jc w:val="both"/>
      </w:pPr>
      <w:r>
        <w:rPr>
          <w:rFonts w:ascii="Times New Roman"/>
          <w:b w:val="false"/>
          <w:i w:val="false"/>
          <w:color w:val="000000"/>
          <w:sz w:val="28"/>
        </w:rPr>
        <w:t>
      2) ежегодно к декабрю в течение трех лет после завершения реализации национального проекта представлять в Правительство Республики Казахстан информацию о функционировании введенных объектов здравоохранения.</w:t>
      </w:r>
    </w:p>
    <w:bookmarkEnd w:id="13"/>
    <w:bookmarkStart w:name="z17" w:id="14"/>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30 " ноября 2022 года № 962</w:t>
            </w:r>
          </w:p>
        </w:tc>
      </w:tr>
    </w:tbl>
    <w:bookmarkStart w:name="z20" w:id="15"/>
    <w:p>
      <w:pPr>
        <w:spacing w:after="0"/>
        <w:ind w:left="0"/>
        <w:jc w:val="left"/>
      </w:pPr>
      <w:r>
        <w:rPr>
          <w:rFonts w:ascii="Times New Roman"/>
          <w:b/>
          <w:i w:val="false"/>
          <w:color w:val="000000"/>
        </w:rPr>
        <w:t xml:space="preserve"> ПИЛОТНЫЙ НАЦИОНАЛЬНЫЙ ПРОЕКТ</w:t>
      </w:r>
      <w:r>
        <w:br/>
      </w:r>
      <w:r>
        <w:rPr>
          <w:rFonts w:ascii="Times New Roman"/>
          <w:b/>
          <w:i w:val="false"/>
          <w:color w:val="000000"/>
        </w:rPr>
        <w:t>"МОДЕРНИЗАЦИЯ СЕЛЬСКОГО ЗДРАВООХРАНЕНИЯ"</w:t>
      </w:r>
    </w:p>
    <w:bookmarkEnd w:id="15"/>
    <w:p>
      <w:pPr>
        <w:spacing w:after="0"/>
        <w:ind w:left="0"/>
        <w:jc w:val="both"/>
      </w:pPr>
      <w:r>
        <w:rPr>
          <w:rFonts w:ascii="Times New Roman"/>
          <w:b w:val="false"/>
          <w:i w:val="false"/>
          <w:color w:val="ff0000"/>
          <w:sz w:val="28"/>
        </w:rPr>
        <w:t xml:space="preserve">
      Сноска. Пилотный национальный проект – в редакции постановления Правительства РК от 21.09.2023 </w:t>
      </w:r>
      <w:r>
        <w:rPr>
          <w:rFonts w:ascii="Times New Roman"/>
          <w:b w:val="false"/>
          <w:i w:val="false"/>
          <w:color w:val="ff0000"/>
          <w:sz w:val="28"/>
        </w:rPr>
        <w:t>№ 823</w:t>
      </w:r>
      <w:r>
        <w:rPr>
          <w:rFonts w:ascii="Times New Roman"/>
          <w:b w:val="false"/>
          <w:i w:val="false"/>
          <w:color w:val="ff0000"/>
          <w:sz w:val="28"/>
        </w:rPr>
        <w:t xml:space="preserve">; с изменениями, внесенными постановлениями Правительства РК от 25.03.2024 </w:t>
      </w:r>
      <w:r>
        <w:rPr>
          <w:rFonts w:ascii="Times New Roman"/>
          <w:b w:val="false"/>
          <w:i w:val="false"/>
          <w:color w:val="ff0000"/>
          <w:sz w:val="28"/>
        </w:rPr>
        <w:t>№ 221</w:t>
      </w:r>
      <w:r>
        <w:rPr>
          <w:rFonts w:ascii="Times New Roman"/>
          <w:b w:val="false"/>
          <w:i w:val="false"/>
          <w:color w:val="ff0000"/>
          <w:sz w:val="28"/>
        </w:rPr>
        <w:t xml:space="preserve">; от 18.12.2024 </w:t>
      </w:r>
      <w:r>
        <w:rPr>
          <w:rFonts w:ascii="Times New Roman"/>
          <w:b w:val="false"/>
          <w:i w:val="false"/>
          <w:color w:val="ff0000"/>
          <w:sz w:val="28"/>
        </w:rPr>
        <w:t>№ 1071</w:t>
      </w:r>
      <w:r>
        <w:rPr>
          <w:rFonts w:ascii="Times New Roman"/>
          <w:b w:val="false"/>
          <w:i w:val="false"/>
          <w:color w:val="ff0000"/>
          <w:sz w:val="28"/>
        </w:rPr>
        <w:t xml:space="preserve">; от 29.04.2025 </w:t>
      </w:r>
      <w:r>
        <w:rPr>
          <w:rFonts w:ascii="Times New Roman"/>
          <w:b w:val="false"/>
          <w:i w:val="false"/>
          <w:color w:val="ff0000"/>
          <w:sz w:val="28"/>
        </w:rPr>
        <w:t>№ 288</w:t>
      </w:r>
      <w:r>
        <w:rPr>
          <w:rFonts w:ascii="Times New Roman"/>
          <w:b w:val="false"/>
          <w:i w:val="false"/>
          <w:color w:val="ff0000"/>
          <w:sz w:val="28"/>
        </w:rPr>
        <w:t>.</w:t>
      </w:r>
    </w:p>
    <w:bookmarkStart w:name="z21" w:id="16"/>
    <w:p>
      <w:pPr>
        <w:spacing w:after="0"/>
        <w:ind w:left="0"/>
        <w:jc w:val="left"/>
      </w:pPr>
      <w:r>
        <w:rPr>
          <w:rFonts w:ascii="Times New Roman"/>
          <w:b/>
          <w:i w:val="false"/>
          <w:color w:val="000000"/>
        </w:rPr>
        <w:t xml:space="preserve"> Раздел 1. Паспорт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Пилотный национальный проект "Модернизация сельского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оказания медицинской помощи сельскому населению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к 2026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100 % сельских населенных пунктов медицинской помощью согласно нормативам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более 4 млн сельских жителей специализированной медицинской помощью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"золотой час" для своевременного оказания экстренной медицинской помощи сельскому населению при инфарктах, инсультах, травмах и других состояниях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 20 % смертности от болезней системы кровообращения (от уровня 2021 года – 163,7 на 100 тысяч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сельских населенных пунктов медицинскими кадрами – 85 % (показатель на 2021 год – 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13741 рабочего места, из них:</w:t>
            </w:r>
          </w:p>
          <w:p>
            <w:pPr>
              <w:spacing w:after="20"/>
              <w:ind w:left="20"/>
              <w:jc w:val="both"/>
            </w:pPr>
            <w:r>
              <w:rPr>
                <w:rFonts w:ascii="Times New Roman"/>
                <w:b w:val="false"/>
                <w:i w:val="false"/>
                <w:color w:val="000000"/>
                <w:sz w:val="20"/>
              </w:rPr>
              <w:t>
постоянные – 1100 единиц (медицинский персонал), временные – 12641 человек (на период строительно-монтажных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необходимый для реализации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 млрд тенге за счет республиканского бюджета и частных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государственных органов и организаций, ответственных за реализацию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 (далее – МЗ), Министерство финансов Республики Казахстан (далее – МФ), акиматы областей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национального проекта,</w:t>
            </w:r>
          </w:p>
          <w:p>
            <w:pPr>
              <w:spacing w:after="20"/>
              <w:ind w:left="20"/>
              <w:jc w:val="both"/>
            </w:pPr>
            <w:r>
              <w:rPr>
                <w:rFonts w:ascii="Times New Roman"/>
                <w:b w:val="false"/>
                <w:i w:val="false"/>
                <w:color w:val="000000"/>
                <w:sz w:val="20"/>
              </w:rPr>
              <w:t>
куратор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Альназарова А.Ш. – Министр здравоохранения Республики Казахстан; </w:t>
            </w:r>
          </w:p>
          <w:p>
            <w:pPr>
              <w:spacing w:after="20"/>
              <w:ind w:left="20"/>
              <w:jc w:val="both"/>
            </w:pPr>
            <w:r>
              <w:rPr>
                <w:rFonts w:ascii="Times New Roman"/>
                <w:b w:val="false"/>
                <w:i w:val="false"/>
                <w:color w:val="000000"/>
                <w:sz w:val="20"/>
              </w:rPr>
              <w:t>
Кошербаев Е.Б.– Заместитель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являющиеся неотъемлемой частью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 ввода в эксплуатацию объектов первичной медико-санитарной помощи в сельских населенных пунктах.</w:t>
            </w:r>
          </w:p>
          <w:p>
            <w:pPr>
              <w:spacing w:after="20"/>
              <w:ind w:left="20"/>
              <w:jc w:val="both"/>
            </w:pPr>
            <w:r>
              <w:rPr>
                <w:rFonts w:ascii="Times New Roman"/>
                <w:b w:val="false"/>
                <w:i w:val="false"/>
                <w:color w:val="000000"/>
                <w:sz w:val="20"/>
              </w:rPr>
              <w:t>
2. Задание на проектирование для разработки проектно-сметной документации объектов.</w:t>
            </w:r>
          </w:p>
          <w:p>
            <w:pPr>
              <w:spacing w:after="20"/>
              <w:ind w:left="20"/>
              <w:jc w:val="both"/>
            </w:pPr>
            <w:r>
              <w:rPr>
                <w:rFonts w:ascii="Times New Roman"/>
                <w:b w:val="false"/>
                <w:i w:val="false"/>
                <w:color w:val="000000"/>
                <w:sz w:val="20"/>
              </w:rPr>
              <w:t>
3. План по модернизации многопрофильных центральных районных больниц.</w:t>
            </w:r>
          </w:p>
          <w:p>
            <w:pPr>
              <w:spacing w:after="20"/>
              <w:ind w:left="20"/>
              <w:jc w:val="both"/>
            </w:pPr>
            <w:r>
              <w:rPr>
                <w:rFonts w:ascii="Times New Roman"/>
                <w:b w:val="false"/>
                <w:i w:val="false"/>
                <w:color w:val="000000"/>
                <w:sz w:val="20"/>
              </w:rPr>
              <w:t>
4. Базовые параметры для реализации государственно-частного партнерства (далее – ГЧП) в рамках национального проекта "Модернизация сельского здравоохранения"</w:t>
            </w:r>
          </w:p>
        </w:tc>
      </w:tr>
    </w:tbl>
    <w:bookmarkStart w:name="z22" w:id="17"/>
    <w:p>
      <w:pPr>
        <w:spacing w:after="0"/>
        <w:ind w:left="0"/>
        <w:jc w:val="left"/>
      </w:pPr>
      <w:r>
        <w:rPr>
          <w:rFonts w:ascii="Times New Roman"/>
          <w:b/>
          <w:i w:val="false"/>
          <w:color w:val="000000"/>
        </w:rPr>
        <w:t xml:space="preserve"> Раздел 2. Текущая ситуация</w:t>
      </w:r>
    </w:p>
    <w:bookmarkEnd w:id="17"/>
    <w:bookmarkStart w:name="z23" w:id="18"/>
    <w:p>
      <w:pPr>
        <w:spacing w:after="0"/>
        <w:ind w:left="0"/>
        <w:jc w:val="both"/>
      </w:pPr>
      <w:r>
        <w:rPr>
          <w:rFonts w:ascii="Times New Roman"/>
          <w:b w:val="false"/>
          <w:i w:val="false"/>
          <w:color w:val="000000"/>
          <w:sz w:val="28"/>
        </w:rPr>
        <w:t>
      В здравоохранении проблемными остаются некоторые показатели здоровья населения, в том числе сельского, – это высокая смертность от болезней системы кровообращения: острого инфаркта миокарда, инсультов; болезней органов дыхания. Также отмечается рост смертности от травм.</w:t>
      </w:r>
    </w:p>
    <w:bookmarkEnd w:id="18"/>
    <w:p>
      <w:pPr>
        <w:spacing w:after="0"/>
        <w:ind w:left="0"/>
        <w:jc w:val="both"/>
      </w:pPr>
      <w:bookmarkStart w:name="z24" w:id="19"/>
      <w:r>
        <w:rPr>
          <w:rFonts w:ascii="Times New Roman"/>
          <w:b w:val="false"/>
          <w:i w:val="false"/>
          <w:color w:val="000000"/>
          <w:sz w:val="28"/>
        </w:rPr>
        <w:t>
      В настоящее время на селе проживают 41 % или более</w:t>
      </w:r>
    </w:p>
    <w:bookmarkEnd w:id="19"/>
    <w:p>
      <w:pPr>
        <w:spacing w:after="0"/>
        <w:ind w:left="0"/>
        <w:jc w:val="both"/>
      </w:pPr>
      <w:r>
        <w:rPr>
          <w:rFonts w:ascii="Times New Roman"/>
          <w:b w:val="false"/>
          <w:i w:val="false"/>
          <w:color w:val="000000"/>
          <w:sz w:val="28"/>
        </w:rPr>
        <w:t xml:space="preserve">7,8 млн жителей, для которых важны вопросы обеспечения доступной и качественной медицинской помощью. </w:t>
      </w:r>
    </w:p>
    <w:p>
      <w:pPr>
        <w:spacing w:after="0"/>
        <w:ind w:left="0"/>
        <w:jc w:val="both"/>
      </w:pPr>
      <w:bookmarkStart w:name="z25" w:id="20"/>
      <w:r>
        <w:rPr>
          <w:rFonts w:ascii="Times New Roman"/>
          <w:b w:val="false"/>
          <w:i w:val="false"/>
          <w:color w:val="000000"/>
          <w:sz w:val="28"/>
        </w:rPr>
        <w:t xml:space="preserve">
      Медицинскую помощь сельскому населению оказывают </w:t>
      </w:r>
    </w:p>
    <w:bookmarkEnd w:id="20"/>
    <w:p>
      <w:pPr>
        <w:spacing w:after="0"/>
        <w:ind w:left="0"/>
        <w:jc w:val="both"/>
      </w:pPr>
      <w:r>
        <w:rPr>
          <w:rFonts w:ascii="Times New Roman"/>
          <w:b w:val="false"/>
          <w:i w:val="false"/>
          <w:color w:val="000000"/>
          <w:sz w:val="28"/>
        </w:rPr>
        <w:t xml:space="preserve">5397 медицинских организаций, в том числе 2895 медицинских пунктов, </w:t>
      </w:r>
    </w:p>
    <w:p>
      <w:pPr>
        <w:spacing w:after="0"/>
        <w:ind w:left="0"/>
        <w:jc w:val="both"/>
      </w:pPr>
      <w:r>
        <w:rPr>
          <w:rFonts w:ascii="Times New Roman"/>
          <w:b w:val="false"/>
          <w:i w:val="false"/>
          <w:color w:val="000000"/>
          <w:sz w:val="28"/>
        </w:rPr>
        <w:t xml:space="preserve">790 фельдшерско-акушерских пунктов, 1282 врачебные амбулатории, </w:t>
      </w:r>
    </w:p>
    <w:p>
      <w:pPr>
        <w:spacing w:after="0"/>
        <w:ind w:left="0"/>
        <w:jc w:val="both"/>
      </w:pPr>
      <w:r>
        <w:rPr>
          <w:rFonts w:ascii="Times New Roman"/>
          <w:b w:val="false"/>
          <w:i w:val="false"/>
          <w:color w:val="000000"/>
          <w:sz w:val="28"/>
        </w:rPr>
        <w:t>227 поликлиник и 203 больницы.</w:t>
      </w:r>
    </w:p>
    <w:bookmarkStart w:name="z26" w:id="21"/>
    <w:p>
      <w:pPr>
        <w:spacing w:after="0"/>
        <w:ind w:left="0"/>
        <w:jc w:val="both"/>
      </w:pPr>
      <w:r>
        <w:rPr>
          <w:rFonts w:ascii="Times New Roman"/>
          <w:b w:val="false"/>
          <w:i w:val="false"/>
          <w:color w:val="000000"/>
          <w:sz w:val="28"/>
        </w:rPr>
        <w:t xml:space="preserve">
      Для улучшения доступности медицинской помощи жителям отдаленных сел функционирует транспортная медицина. Более 1 млн жителей отдаленных сел силами передвижных медицинских комплексов оказываются медицинская помощь, консультативно-диагностические услуги и скрининговые исследования. </w:t>
      </w:r>
    </w:p>
    <w:bookmarkEnd w:id="21"/>
    <w:bookmarkStart w:name="z27" w:id="22"/>
    <w:p>
      <w:pPr>
        <w:spacing w:after="0"/>
        <w:ind w:left="0"/>
        <w:jc w:val="both"/>
      </w:pPr>
      <w:r>
        <w:rPr>
          <w:rFonts w:ascii="Times New Roman"/>
          <w:b w:val="false"/>
          <w:i w:val="false"/>
          <w:color w:val="000000"/>
          <w:sz w:val="28"/>
        </w:rPr>
        <w:t xml:space="preserve">
      Между тем за годы реформирования здравоохранения в селах были оптимизированы больницы, сократилось количество коек и медицинских работников. </w:t>
      </w:r>
    </w:p>
    <w:bookmarkEnd w:id="22"/>
    <w:bookmarkStart w:name="z28" w:id="23"/>
    <w:p>
      <w:pPr>
        <w:spacing w:after="0"/>
        <w:ind w:left="0"/>
        <w:jc w:val="both"/>
      </w:pPr>
      <w:r>
        <w:rPr>
          <w:rFonts w:ascii="Times New Roman"/>
          <w:b w:val="false"/>
          <w:i w:val="false"/>
          <w:color w:val="000000"/>
          <w:sz w:val="28"/>
        </w:rPr>
        <w:t>
      При этом 228 сельских населенных пунктов не имеют собственных зданий медицинских объектов, изношено свыше 50 % медицинской инфраструктуры организаций первичной медико-санитарной помощи (далее – ПМСП).</w:t>
      </w:r>
    </w:p>
    <w:bookmarkEnd w:id="23"/>
    <w:bookmarkStart w:name="z29" w:id="24"/>
    <w:p>
      <w:pPr>
        <w:spacing w:after="0"/>
        <w:ind w:left="0"/>
        <w:jc w:val="both"/>
      </w:pPr>
      <w:r>
        <w:rPr>
          <w:rFonts w:ascii="Times New Roman"/>
          <w:b w:val="false"/>
          <w:i w:val="false"/>
          <w:color w:val="000000"/>
          <w:sz w:val="28"/>
        </w:rPr>
        <w:t>
      Имеющиеся районные больницы не в полной мере могут оказывать экстренную медицинскую помощь при инфарктах, инсультах, травмах и других состояниях с соблюдением принципа "золотой час", а также предоставлять специализированную и высокотехнологичную медицинскую помощь без необходимости посещения крупных городов.</w:t>
      </w:r>
    </w:p>
    <w:bookmarkEnd w:id="24"/>
    <w:bookmarkStart w:name="z30" w:id="25"/>
    <w:p>
      <w:pPr>
        <w:spacing w:after="0"/>
        <w:ind w:left="0"/>
        <w:jc w:val="both"/>
      </w:pPr>
      <w:r>
        <w:rPr>
          <w:rFonts w:ascii="Times New Roman"/>
          <w:b w:val="false"/>
          <w:i w:val="false"/>
          <w:color w:val="000000"/>
          <w:sz w:val="28"/>
        </w:rPr>
        <w:t xml:space="preserve">
      Для улучшения качества медицинской помощи на селе внедряются проекты передовых практик ПМСП "человеко-ориентированный подход", одобренные Всемирной организацией здравоохранения. </w:t>
      </w:r>
    </w:p>
    <w:bookmarkEnd w:id="25"/>
    <w:bookmarkStart w:name="z31" w:id="26"/>
    <w:p>
      <w:pPr>
        <w:spacing w:after="0"/>
        <w:ind w:left="0"/>
        <w:jc w:val="both"/>
      </w:pPr>
      <w:r>
        <w:rPr>
          <w:rFonts w:ascii="Times New Roman"/>
          <w:b w:val="false"/>
          <w:i w:val="false"/>
          <w:color w:val="000000"/>
          <w:sz w:val="28"/>
        </w:rPr>
        <w:t>
      Такие лучшие практики, как служба поддержки пациента, механизм информированного общественного мониторинга и обратной связи с населением, раннее выявление неинфекционных заболеваний, программы управления заболеваниями, обучение здоровому питанию, образу жизни, универсальная прогрессивная модель патронажа, планирование семьи, улучшение мужского здоровья, кабинет развития ребенка сегодня успешно внедряются в Енбекшиказахском районе Алматинской области, Меркенском и Жамбылском районах Жамбылской области. Данная работа транслируется поэтапно в регионах страны.</w:t>
      </w:r>
    </w:p>
    <w:bookmarkEnd w:id="26"/>
    <w:bookmarkStart w:name="z32" w:id="27"/>
    <w:p>
      <w:pPr>
        <w:spacing w:after="0"/>
        <w:ind w:left="0"/>
        <w:jc w:val="both"/>
      </w:pPr>
      <w:r>
        <w:rPr>
          <w:rFonts w:ascii="Times New Roman"/>
          <w:b w:val="false"/>
          <w:i w:val="false"/>
          <w:color w:val="000000"/>
          <w:sz w:val="28"/>
        </w:rPr>
        <w:t>
      Расширены функции сестринского приема – медицинская сестра проводит динамическое наблюдение пациентов с хроническими заболеваниями.</w:t>
      </w:r>
    </w:p>
    <w:bookmarkEnd w:id="27"/>
    <w:bookmarkStart w:name="z33" w:id="28"/>
    <w:p>
      <w:pPr>
        <w:spacing w:after="0"/>
        <w:ind w:left="0"/>
        <w:jc w:val="both"/>
      </w:pPr>
      <w:r>
        <w:rPr>
          <w:rFonts w:ascii="Times New Roman"/>
          <w:b w:val="false"/>
          <w:i w:val="false"/>
          <w:color w:val="000000"/>
          <w:sz w:val="28"/>
        </w:rPr>
        <w:t xml:space="preserve">
      Наряду с этим в сельской местности отмечаются недостаточное качество динамического наблюдения, доступность консультативно-диагностических услуг и лекарств. Это в свою очередь отрицательно влияет на некоторые показатели здоровья сельского населения. </w:t>
      </w:r>
    </w:p>
    <w:bookmarkEnd w:id="28"/>
    <w:bookmarkStart w:name="z34" w:id="29"/>
    <w:p>
      <w:pPr>
        <w:spacing w:after="0"/>
        <w:ind w:left="0"/>
        <w:jc w:val="both"/>
      </w:pPr>
      <w:r>
        <w:rPr>
          <w:rFonts w:ascii="Times New Roman"/>
          <w:b w:val="false"/>
          <w:i w:val="false"/>
          <w:color w:val="000000"/>
          <w:sz w:val="28"/>
        </w:rPr>
        <w:t>
      В сельском здравоохранении работают более 67 тыс. медицинских работников, в том числе свыше 13 тыс. врачей, 54 тыс. средних медицинских работников. На сегодня имеется потребность порядка в 1 тыс. специалистов.</w:t>
      </w:r>
    </w:p>
    <w:bookmarkEnd w:id="29"/>
    <w:bookmarkStart w:name="z35" w:id="30"/>
    <w:p>
      <w:pPr>
        <w:spacing w:after="0"/>
        <w:ind w:left="0"/>
        <w:jc w:val="both"/>
      </w:pPr>
      <w:r>
        <w:rPr>
          <w:rFonts w:ascii="Times New Roman"/>
          <w:b w:val="false"/>
          <w:i w:val="false"/>
          <w:color w:val="000000"/>
          <w:sz w:val="28"/>
        </w:rPr>
        <w:t>
      Комиссией МЗ по персональному распределению выпускников/молодых специалистов и докторов философии (PhD), обучившихся на основе государственного образовательного заказа в медицинских организациях образования и науки Республики Казахстан, распределено для трудоустройства в сельскую местность 24 % (444 из 1872) выпускников, в 2021 году – 21 % от общего числа распределенных (630 из 3050), в 2020 году – 33 % (775 из 2326).</w:t>
      </w:r>
    </w:p>
    <w:bookmarkEnd w:id="30"/>
    <w:bookmarkStart w:name="z36" w:id="31"/>
    <w:p>
      <w:pPr>
        <w:spacing w:after="0"/>
        <w:ind w:left="0"/>
        <w:jc w:val="left"/>
      </w:pPr>
      <w:r>
        <w:rPr>
          <w:rFonts w:ascii="Times New Roman"/>
          <w:b/>
          <w:i w:val="false"/>
          <w:color w:val="000000"/>
        </w:rPr>
        <w:t xml:space="preserve"> Раздел 3. Цель и задачи национального проекта</w:t>
      </w:r>
    </w:p>
    <w:bookmarkEnd w:id="31"/>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национального проекта. </w:t>
      </w:r>
      <w:r>
        <w:rPr>
          <w:rFonts w:ascii="Times New Roman"/>
          <w:b w:val="false"/>
          <w:i w:val="false"/>
          <w:color w:val="000000"/>
          <w:sz w:val="28"/>
        </w:rPr>
        <w:t xml:space="preserve">Повышение уровня оказания медицинской помощи сельскому населению </w:t>
      </w:r>
    </w:p>
    <w:bookmarkEnd w:id="32"/>
    <w:bookmarkStart w:name="z38" w:id="33"/>
    <w:p>
      <w:pPr>
        <w:spacing w:after="0"/>
        <w:ind w:left="0"/>
        <w:jc w:val="both"/>
      </w:pPr>
      <w:r>
        <w:rPr>
          <w:rFonts w:ascii="Times New Roman"/>
          <w:b w:val="false"/>
          <w:i w:val="false"/>
          <w:color w:val="000000"/>
          <w:sz w:val="28"/>
        </w:rPr>
        <w:t>
      Для достижения поставленной цели будут решены следующие задачи.</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Обеспечение сельских населенных пунктов организациями ПМСП в соответствии с нормативами.</w:t>
      </w:r>
    </w:p>
    <w:bookmarkEnd w:id="34"/>
    <w:bookmarkStart w:name="z364" w:id="35"/>
    <w:p>
      <w:pPr>
        <w:spacing w:after="0"/>
        <w:ind w:left="0"/>
        <w:jc w:val="both"/>
      </w:pPr>
      <w:r>
        <w:rPr>
          <w:rFonts w:ascii="Times New Roman"/>
          <w:b w:val="false"/>
          <w:i w:val="false"/>
          <w:color w:val="000000"/>
          <w:sz w:val="28"/>
        </w:rPr>
        <w:t>
      В течение 2023 – 2025 годов будет построено и введено в эксплуатацию, в том числе за счет частных инвестиций, 655 объектов ПМСП, из них 260 медицинских пунктов (далее – МП), а также для населенных пунктов с численностью населения от 50 до 200 человек будут построены медицинские пункты с общей площадью не более 70 квадратных метров и следующим минимальным основным составом помещений: кабинет среднего медицинского персонала, процедурная, хозяйственно-бытовое помещение, 235 фельдшерско-акушерских пунктов (далее – ФАП), 160 врачебных амбулаторий (далее – ВА).</w:t>
      </w:r>
    </w:p>
    <w:bookmarkEnd w:id="35"/>
    <w:bookmarkStart w:name="z365" w:id="36"/>
    <w:p>
      <w:pPr>
        <w:spacing w:after="0"/>
        <w:ind w:left="0"/>
        <w:jc w:val="both"/>
      </w:pPr>
      <w:r>
        <w:rPr>
          <w:rFonts w:ascii="Times New Roman"/>
          <w:b w:val="false"/>
          <w:i w:val="false"/>
          <w:color w:val="000000"/>
          <w:sz w:val="28"/>
        </w:rPr>
        <w:t>
       При этом данные объекты будут оснащены современным оборудованием в соответствии со стандартами не ниже установленных, а также будет использована единая концепция дизайна фасада.</w:t>
      </w:r>
    </w:p>
    <w:bookmarkEnd w:id="36"/>
    <w:bookmarkStart w:name="z366" w:id="37"/>
    <w:p>
      <w:pPr>
        <w:spacing w:after="0"/>
        <w:ind w:left="0"/>
        <w:jc w:val="both"/>
      </w:pPr>
      <w:r>
        <w:rPr>
          <w:rFonts w:ascii="Times New Roman"/>
          <w:b w:val="false"/>
          <w:i w:val="false"/>
          <w:color w:val="000000"/>
          <w:sz w:val="28"/>
        </w:rPr>
        <w:t>
       Местными исполнительными органами (далее – МИО) будут выделены земельные участки под строительство зданий ПМСП с предоставлением исходных данных для разработки проектно-сметной документации (геологические изыскания, топографическая съемка, технические условия и другие), а также подведены наружные инженерные сети (электроснабжение, водоснабжение, теплоснабжение, Интернет и так далее) к объектам ПМСП.</w:t>
      </w:r>
    </w:p>
    <w:bookmarkEnd w:id="37"/>
    <w:bookmarkStart w:name="z367" w:id="38"/>
    <w:p>
      <w:pPr>
        <w:spacing w:after="0"/>
        <w:ind w:left="0"/>
        <w:jc w:val="both"/>
      </w:pPr>
      <w:r>
        <w:rPr>
          <w:rFonts w:ascii="Times New Roman"/>
          <w:b w:val="false"/>
          <w:i w:val="false"/>
          <w:color w:val="000000"/>
          <w:sz w:val="28"/>
        </w:rPr>
        <w:t>
       Некоммерческое акционерное общество "Turar Healthcare" будет выступать единым проектировщиком проектно-сметной документации объектов ПМСП, в том числе с применением проектов повторного применения, а также осуществлять мониторинг на всех стадиях проектирования и строительства объектов.</w:t>
      </w:r>
    </w:p>
    <w:bookmarkEnd w:id="38"/>
    <w:bookmarkStart w:name="z368" w:id="39"/>
    <w:p>
      <w:pPr>
        <w:spacing w:after="0"/>
        <w:ind w:left="0"/>
        <w:jc w:val="both"/>
      </w:pPr>
      <w:r>
        <w:rPr>
          <w:rFonts w:ascii="Times New Roman"/>
          <w:b w:val="false"/>
          <w:i w:val="false"/>
          <w:color w:val="000000"/>
          <w:sz w:val="28"/>
        </w:rPr>
        <w:t>
       Обеспечение сельских населенных пунктов услугами ПМСП может быть осуществлено в рамках договоров ГЧП в соответствии с базовыми параметрами, определенными в приложении 4 к национальному проекту "Модернизация сельского здравоохранения".</w:t>
      </w:r>
    </w:p>
    <w:bookmarkEnd w:id="39"/>
    <w:bookmarkStart w:name="z369" w:id="40"/>
    <w:p>
      <w:pPr>
        <w:spacing w:after="0"/>
        <w:ind w:left="0"/>
        <w:jc w:val="both"/>
      </w:pPr>
      <w:r>
        <w:rPr>
          <w:rFonts w:ascii="Times New Roman"/>
          <w:b w:val="false"/>
          <w:i w:val="false"/>
          <w:color w:val="000000"/>
          <w:sz w:val="28"/>
        </w:rPr>
        <w:t>
       В рамках договоров ГЧП предусмотрено обеспечение частным партнером услуг ПМСП посредством создания частного объекта ПМСП или сети объектов ПМСП и их последующей эксплуатации в соответствии с целевым назначением.</w:t>
      </w:r>
    </w:p>
    <w:bookmarkEnd w:id="40"/>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 </w:t>
      </w:r>
      <w:r>
        <w:rPr>
          <w:rFonts w:ascii="Times New Roman"/>
          <w:b w:val="false"/>
          <w:i w:val="false"/>
          <w:color w:val="000000"/>
          <w:sz w:val="28"/>
        </w:rPr>
        <w:t>Повышение своевременности оказания экстренной медицинской помощи сельскому населению.</w:t>
      </w:r>
    </w:p>
    <w:bookmarkEnd w:id="41"/>
    <w:bookmarkStart w:name="z45" w:id="42"/>
    <w:p>
      <w:pPr>
        <w:spacing w:after="0"/>
        <w:ind w:left="0"/>
        <w:jc w:val="both"/>
      </w:pPr>
      <w:r>
        <w:rPr>
          <w:rFonts w:ascii="Times New Roman"/>
          <w:b w:val="false"/>
          <w:i w:val="false"/>
          <w:color w:val="000000"/>
          <w:sz w:val="28"/>
        </w:rPr>
        <w:t>
      12 действующих многопрофильных центральных районных больниц (далее – МЦРБ) будут оснащены недостающим медицинским оборудованием (КТ, МРТ, ангиограф, аппарат УЗИ экспертного класса, оборудование для отделений реанимации, операционной и др.), созданы условия для расширения спектра оказываемых медицинских услуг (специализированной и высокотехнологичной медицинской помощи).</w:t>
      </w:r>
    </w:p>
    <w:bookmarkEnd w:id="42"/>
    <w:bookmarkStart w:name="z46" w:id="43"/>
    <w:p>
      <w:pPr>
        <w:spacing w:after="0"/>
        <w:ind w:left="0"/>
        <w:jc w:val="both"/>
      </w:pPr>
      <w:r>
        <w:rPr>
          <w:rFonts w:ascii="Times New Roman"/>
          <w:b w:val="false"/>
          <w:i w:val="false"/>
          <w:color w:val="000000"/>
          <w:sz w:val="28"/>
        </w:rPr>
        <w:t>
      20 действующих центральных районных больниц будут преобразованы в МЦРБ и модернизированы путем проведения капитального ремонта, реконструкции зданий, строительства пристроек для открытия соответствующих отделений, оснащения медицинским оборудованием (КТ, МРТ, ангиографы, аппараты УЗИ экспертного класса, оборудование для отделений реанимации, операционной и др.)</w:t>
      </w:r>
      <w:r>
        <w:rPr>
          <w:rFonts w:ascii="Times New Roman"/>
          <w:b w:val="false"/>
          <w:i/>
          <w:color w:val="000000"/>
          <w:sz w:val="28"/>
        </w:rPr>
        <w:t>.</w:t>
      </w:r>
    </w:p>
    <w:bookmarkEnd w:id="43"/>
    <w:bookmarkStart w:name="z47" w:id="44"/>
    <w:p>
      <w:pPr>
        <w:spacing w:after="0"/>
        <w:ind w:left="0"/>
        <w:jc w:val="both"/>
      </w:pPr>
      <w:r>
        <w:rPr>
          <w:rFonts w:ascii="Times New Roman"/>
          <w:b w:val="false"/>
          <w:i w:val="false"/>
          <w:color w:val="000000"/>
          <w:sz w:val="28"/>
        </w:rPr>
        <w:t>
      В МЦРБ будут открыты:</w:t>
      </w:r>
    </w:p>
    <w:bookmarkEnd w:id="44"/>
    <w:bookmarkStart w:name="z48" w:id="45"/>
    <w:p>
      <w:pPr>
        <w:spacing w:after="0"/>
        <w:ind w:left="0"/>
        <w:jc w:val="both"/>
      </w:pPr>
      <w:r>
        <w:rPr>
          <w:rFonts w:ascii="Times New Roman"/>
          <w:b w:val="false"/>
          <w:i w:val="false"/>
          <w:color w:val="000000"/>
          <w:sz w:val="28"/>
        </w:rPr>
        <w:t xml:space="preserve">
      инсультный и кардиологический центры; </w:t>
      </w:r>
    </w:p>
    <w:bookmarkEnd w:id="45"/>
    <w:bookmarkStart w:name="z49" w:id="46"/>
    <w:p>
      <w:pPr>
        <w:spacing w:after="0"/>
        <w:ind w:left="0"/>
        <w:jc w:val="both"/>
      </w:pPr>
      <w:r>
        <w:rPr>
          <w:rFonts w:ascii="Times New Roman"/>
          <w:b w:val="false"/>
          <w:i w:val="false"/>
          <w:color w:val="000000"/>
          <w:sz w:val="28"/>
        </w:rPr>
        <w:t>
      отделение медицинской реабилитации;</w:t>
      </w:r>
    </w:p>
    <w:bookmarkEnd w:id="46"/>
    <w:bookmarkStart w:name="z50" w:id="47"/>
    <w:p>
      <w:pPr>
        <w:spacing w:after="0"/>
        <w:ind w:left="0"/>
        <w:jc w:val="both"/>
      </w:pPr>
      <w:r>
        <w:rPr>
          <w:rFonts w:ascii="Times New Roman"/>
          <w:b w:val="false"/>
          <w:i w:val="false"/>
          <w:color w:val="000000"/>
          <w:sz w:val="28"/>
        </w:rPr>
        <w:t xml:space="preserve">
      отделение травматологии и ортопедии; </w:t>
      </w:r>
    </w:p>
    <w:bookmarkEnd w:id="47"/>
    <w:bookmarkStart w:name="z51" w:id="48"/>
    <w:p>
      <w:pPr>
        <w:spacing w:after="0"/>
        <w:ind w:left="0"/>
        <w:jc w:val="both"/>
      </w:pPr>
      <w:r>
        <w:rPr>
          <w:rFonts w:ascii="Times New Roman"/>
          <w:b w:val="false"/>
          <w:i w:val="false"/>
          <w:color w:val="000000"/>
          <w:sz w:val="28"/>
        </w:rPr>
        <w:t>
      отделение хирургии;</w:t>
      </w:r>
    </w:p>
    <w:bookmarkEnd w:id="48"/>
    <w:bookmarkStart w:name="z52" w:id="49"/>
    <w:p>
      <w:pPr>
        <w:spacing w:after="0"/>
        <w:ind w:left="0"/>
        <w:jc w:val="both"/>
      </w:pPr>
      <w:r>
        <w:rPr>
          <w:rFonts w:ascii="Times New Roman"/>
          <w:b w:val="false"/>
          <w:i w:val="false"/>
          <w:color w:val="000000"/>
          <w:sz w:val="28"/>
        </w:rPr>
        <w:t xml:space="preserve">
      отделение реанимации и интенсивной терапии и др. </w:t>
      </w:r>
    </w:p>
    <w:bookmarkEnd w:id="49"/>
    <w:bookmarkStart w:name="z53" w:id="50"/>
    <w:p>
      <w:pPr>
        <w:spacing w:after="0"/>
        <w:ind w:left="0"/>
        <w:jc w:val="both"/>
      </w:pPr>
      <w:r>
        <w:rPr>
          <w:rFonts w:ascii="Times New Roman"/>
          <w:b w:val="false"/>
          <w:i w:val="false"/>
          <w:color w:val="000000"/>
          <w:sz w:val="28"/>
        </w:rPr>
        <w:t>
      МЦРБ будут обслуживать население нескольких населенных пунктов, в том числе расположенных на территории соседних районов. При этом будет использована единая концепция дизайна приемного покоя с триаж системой, фасада и др.</w:t>
      </w:r>
    </w:p>
    <w:bookmarkEnd w:id="50"/>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 </w:t>
      </w:r>
      <w:r>
        <w:rPr>
          <w:rFonts w:ascii="Times New Roman"/>
          <w:b w:val="false"/>
          <w:i w:val="false"/>
          <w:color w:val="000000"/>
          <w:sz w:val="28"/>
        </w:rPr>
        <w:t xml:space="preserve">Обеспечение объектов сельского здравоохранения медицинскими кадрами. </w:t>
      </w:r>
    </w:p>
    <w:bookmarkEnd w:id="51"/>
    <w:bookmarkStart w:name="z55" w:id="52"/>
    <w:p>
      <w:pPr>
        <w:spacing w:after="0"/>
        <w:ind w:left="0"/>
        <w:jc w:val="both"/>
      </w:pPr>
      <w:r>
        <w:rPr>
          <w:rFonts w:ascii="Times New Roman"/>
          <w:b w:val="false"/>
          <w:i w:val="false"/>
          <w:color w:val="000000"/>
          <w:sz w:val="28"/>
        </w:rPr>
        <w:t xml:space="preserve">
      По итогам проведенного анализа потребность в профильных специалистах для 655 объектов ПМСП составила 307 ед. (54 врача общей практики, 83 средних медицинских работника, 78 фельдшеров, 92 акушерки). </w:t>
      </w:r>
    </w:p>
    <w:bookmarkEnd w:id="52"/>
    <w:bookmarkStart w:name="z56" w:id="53"/>
    <w:p>
      <w:pPr>
        <w:spacing w:after="0"/>
        <w:ind w:left="0"/>
        <w:jc w:val="both"/>
      </w:pPr>
      <w:r>
        <w:rPr>
          <w:rFonts w:ascii="Times New Roman"/>
          <w:b w:val="false"/>
          <w:i w:val="false"/>
          <w:color w:val="000000"/>
          <w:sz w:val="28"/>
        </w:rPr>
        <w:t xml:space="preserve">
      Ежегодный набор по государственному образовательному заказу по специальности "врач общей практики" в организациях образования составляет свыше 2200 слушателей. При этом выпуск указанных специалистов ежегодно составляет 2700 человек (включая гранты МИО и платное обучение). </w:t>
      </w:r>
    </w:p>
    <w:bookmarkEnd w:id="53"/>
    <w:p>
      <w:pPr>
        <w:spacing w:after="0"/>
        <w:ind w:left="0"/>
        <w:jc w:val="both"/>
      </w:pPr>
      <w:bookmarkStart w:name="z57" w:id="54"/>
      <w:r>
        <w:rPr>
          <w:rFonts w:ascii="Times New Roman"/>
          <w:b w:val="false"/>
          <w:i w:val="false"/>
          <w:color w:val="000000"/>
          <w:sz w:val="28"/>
        </w:rPr>
        <w:t xml:space="preserve">
      Подготовка среднего медицинского персонала и фельдшеров ведется </w:t>
      </w:r>
    </w:p>
    <w:bookmarkEnd w:id="54"/>
    <w:p>
      <w:pPr>
        <w:spacing w:after="0"/>
        <w:ind w:left="0"/>
        <w:jc w:val="both"/>
      </w:pPr>
      <w:r>
        <w:rPr>
          <w:rFonts w:ascii="Times New Roman"/>
          <w:b w:val="false"/>
          <w:i w:val="false"/>
          <w:color w:val="000000"/>
          <w:sz w:val="28"/>
        </w:rPr>
        <w:t>61 медицинским колледжем. Всего за период с 2022 по 2024 годы будут подготовлены 16570 медицинских сестер и 17585 фельдшеров.</w:t>
      </w:r>
    </w:p>
    <w:bookmarkStart w:name="z58" w:id="55"/>
    <w:p>
      <w:pPr>
        <w:spacing w:after="0"/>
        <w:ind w:left="0"/>
        <w:jc w:val="both"/>
      </w:pPr>
      <w:r>
        <w:rPr>
          <w:rFonts w:ascii="Times New Roman"/>
          <w:b w:val="false"/>
          <w:i w:val="false"/>
          <w:color w:val="000000"/>
          <w:sz w:val="28"/>
        </w:rPr>
        <w:t>
      Потребность в дополнительных кадровых ресурсах 32 МЦРБ составляет 793 штатные единицы (врачи – 544, средние медицинские работники – 249 штатных единиц).</w:t>
      </w:r>
    </w:p>
    <w:bookmarkEnd w:id="55"/>
    <w:bookmarkStart w:name="z59" w:id="56"/>
    <w:p>
      <w:pPr>
        <w:spacing w:after="0"/>
        <w:ind w:left="0"/>
        <w:jc w:val="both"/>
      </w:pPr>
      <w:r>
        <w:rPr>
          <w:rFonts w:ascii="Times New Roman"/>
          <w:b w:val="false"/>
          <w:i w:val="false"/>
          <w:color w:val="000000"/>
          <w:sz w:val="28"/>
        </w:rPr>
        <w:t>
      При этом отмечается нехватка специалистов по следующим специальностям: неврология, ангиохирургия, нейрохирургия, анестезиология и реаниматология, радиология, травматология-ортопедия, акушерство и гинекология, неонатология, детская хирургия, инфекционные болезни, терапия, общая хирургия, кардиохирургия, кардиология, неотложная медицина, оториноларингология.</w:t>
      </w:r>
    </w:p>
    <w:bookmarkEnd w:id="56"/>
    <w:p>
      <w:pPr>
        <w:spacing w:after="0"/>
        <w:ind w:left="0"/>
        <w:jc w:val="both"/>
      </w:pPr>
      <w:bookmarkStart w:name="z60" w:id="57"/>
      <w:r>
        <w:rPr>
          <w:rFonts w:ascii="Times New Roman"/>
          <w:b w:val="false"/>
          <w:i w:val="false"/>
          <w:color w:val="000000"/>
          <w:sz w:val="28"/>
        </w:rPr>
        <w:t xml:space="preserve">
      Проведены расчеты по подготовке специалистов для МЦРБ по </w:t>
      </w:r>
    </w:p>
    <w:bookmarkEnd w:id="57"/>
    <w:p>
      <w:pPr>
        <w:spacing w:after="0"/>
        <w:ind w:left="0"/>
        <w:jc w:val="both"/>
      </w:pPr>
      <w:r>
        <w:rPr>
          <w:rFonts w:ascii="Times New Roman"/>
          <w:b w:val="false"/>
          <w:i w:val="false"/>
          <w:color w:val="000000"/>
          <w:sz w:val="28"/>
        </w:rPr>
        <w:t xml:space="preserve">16 профильным специальностям (неврология, ангиохирургия, нейрохирургия, радиология (лучевая диагностика), кардиохирургия, оториноларингология и др.) в 7 медицинских университетах страны. Всего за период с 2022 по </w:t>
      </w:r>
    </w:p>
    <w:p>
      <w:pPr>
        <w:spacing w:after="0"/>
        <w:ind w:left="0"/>
        <w:jc w:val="both"/>
      </w:pPr>
      <w:r>
        <w:rPr>
          <w:rFonts w:ascii="Times New Roman"/>
          <w:b w:val="false"/>
          <w:i w:val="false"/>
          <w:color w:val="000000"/>
          <w:sz w:val="28"/>
        </w:rPr>
        <w:t xml:space="preserve">2024 годы будет подготовлено 2843 профильных специалиста. </w:t>
      </w:r>
    </w:p>
    <w:bookmarkStart w:name="z61" w:id="58"/>
    <w:p>
      <w:pPr>
        <w:spacing w:after="0"/>
        <w:ind w:left="0"/>
        <w:jc w:val="both"/>
      </w:pPr>
      <w:r>
        <w:rPr>
          <w:rFonts w:ascii="Times New Roman"/>
          <w:b w:val="false"/>
          <w:i w:val="false"/>
          <w:color w:val="000000"/>
          <w:sz w:val="28"/>
        </w:rPr>
        <w:t xml:space="preserve">
      Также планируется увеличение количества выделяемых грантов на подготовку профильных специалистов в резидентуре: 2023 год – 1700 мест, 2024 год – 1800 мест, 2025 год – 2000 мест. </w:t>
      </w:r>
    </w:p>
    <w:bookmarkEnd w:id="58"/>
    <w:bookmarkStart w:name="z62" w:id="59"/>
    <w:p>
      <w:pPr>
        <w:spacing w:after="0"/>
        <w:ind w:left="0"/>
        <w:jc w:val="both"/>
      </w:pPr>
      <w:r>
        <w:rPr>
          <w:rFonts w:ascii="Times New Roman"/>
          <w:b w:val="false"/>
          <w:i w:val="false"/>
          <w:color w:val="000000"/>
          <w:sz w:val="28"/>
        </w:rPr>
        <w:t xml:space="preserve">
      Кроме того, для привлечения и закрепления специалистов предусматривается комплекс мер, включая поэтапное повышение размера заработной платы работников медицинских организаций, обеспечение жильем, создание условий для непрерывного профессионального развития медицинских кадров, усиление статуса среднего медицинского работника путем делегирования ряда несвойственных функций врача, внедрение "института наставничества", страхование профессиональной ответственности медицинских работников. </w:t>
      </w:r>
    </w:p>
    <w:bookmarkEnd w:id="59"/>
    <w:bookmarkStart w:name="z63" w:id="60"/>
    <w:p>
      <w:pPr>
        <w:spacing w:after="0"/>
        <w:ind w:left="0"/>
        <w:jc w:val="both"/>
      </w:pPr>
      <w:r>
        <w:rPr>
          <w:rFonts w:ascii="Times New Roman"/>
          <w:b w:val="false"/>
          <w:i w:val="false"/>
          <w:color w:val="000000"/>
          <w:sz w:val="28"/>
        </w:rPr>
        <w:t>
      МИО с целью привлечения кадров за счет собственных средств дополнительно предусмотрены подъемные пособия, осуществляется строительство жилых домов, общежитий, предоставляется арендное жилье и другие меры.</w:t>
      </w:r>
    </w:p>
    <w:bookmarkEnd w:id="60"/>
    <w:bookmarkStart w:name="z64" w:id="61"/>
    <w:p>
      <w:pPr>
        <w:spacing w:after="0"/>
        <w:ind w:left="0"/>
        <w:jc w:val="both"/>
      </w:pPr>
      <w:r>
        <w:rPr>
          <w:rFonts w:ascii="Times New Roman"/>
          <w:b w:val="false"/>
          <w:i w:val="false"/>
          <w:color w:val="000000"/>
          <w:sz w:val="28"/>
        </w:rPr>
        <w:t>
      По программе "С дипломом в село" прибывшим для работы в сельскую местность молодым специалистам в рамках республиканского бюджета предусмотрены выплата подъемного пособия в размере 100 месячных расчетных показателей (далее – МРП) и предоставление кредита в размере 1500 МРП на приобретение жилья из республиканского бюджета.</w:t>
      </w:r>
    </w:p>
    <w:bookmarkEnd w:id="61"/>
    <w:bookmarkStart w:name="z65" w:id="62"/>
    <w:p>
      <w:pPr>
        <w:spacing w:after="0"/>
        <w:ind w:left="0"/>
        <w:jc w:val="both"/>
      </w:pPr>
      <w:r>
        <w:rPr>
          <w:rFonts w:ascii="Times New Roman"/>
          <w:b w:val="false"/>
          <w:i w:val="false"/>
          <w:color w:val="000000"/>
          <w:sz w:val="28"/>
        </w:rPr>
        <w:t>
      В результате принятых мер 655 объектов ПМСП и 32 МЦРБ будут обеспечены необходимыми медицинскими кадрами.</w:t>
      </w:r>
    </w:p>
    <w:bookmarkEnd w:id="62"/>
    <w:bookmarkStart w:name="z66" w:id="63"/>
    <w:p>
      <w:pPr>
        <w:spacing w:after="0"/>
        <w:ind w:left="0"/>
        <w:jc w:val="left"/>
      </w:pPr>
      <w:r>
        <w:rPr>
          <w:rFonts w:ascii="Times New Roman"/>
          <w:b/>
          <w:i w:val="false"/>
          <w:color w:val="000000"/>
        </w:rPr>
        <w:t xml:space="preserve"> Раздел 4. План-график реализации национального проекта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Повышение уровня оказания медицинской помощи сельскому населению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сельских населенных пунктов организациями ПМСП в соответствии с нормативами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Ввод в эксплуатацию 32 модернизированных МЦРБ (в 2024 – 2026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p>
            <w:pPr>
              <w:spacing w:after="20"/>
              <w:ind w:left="20"/>
              <w:jc w:val="both"/>
            </w:pPr>
            <w:r>
              <w:rPr>
                <w:rFonts w:ascii="Times New Roman"/>
                <w:b w:val="false"/>
                <w:i w:val="false"/>
                <w:color w:val="000000"/>
                <w:sz w:val="20"/>
              </w:rPr>
              <w:t xml:space="preserve">
Рассмотрение вопроса определения юридических лиц, у которых будут приобретаться работы и услуги в рамках реализации пилотного национального проекта "Модернизация сельского здравоохранения"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w:t>
            </w:r>
          </w:p>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p>
            <w:pPr>
              <w:spacing w:after="20"/>
              <w:ind w:left="20"/>
              <w:jc w:val="both"/>
            </w:pPr>
            <w:r>
              <w:rPr>
                <w:rFonts w:ascii="Times New Roman"/>
                <w:b w:val="false"/>
                <w:i w:val="false"/>
                <w:color w:val="000000"/>
                <w:sz w:val="20"/>
              </w:rPr>
              <w:t>
Выделение земельных участков под строительство 655 объектов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 соответствующей административно-территориальной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w:t>
            </w:r>
          </w:p>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w:t>
            </w:r>
          </w:p>
          <w:p>
            <w:pPr>
              <w:spacing w:after="20"/>
              <w:ind w:left="20"/>
              <w:jc w:val="both"/>
            </w:pPr>
            <w:r>
              <w:rPr>
                <w:rFonts w:ascii="Times New Roman"/>
                <w:b w:val="false"/>
                <w:i w:val="false"/>
                <w:color w:val="000000"/>
                <w:sz w:val="20"/>
              </w:rPr>
              <w:t xml:space="preserve">
Получение исходных данных от МИО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w:t>
            </w:r>
          </w:p>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w:t>
            </w:r>
          </w:p>
          <w:p>
            <w:pPr>
              <w:spacing w:after="20"/>
              <w:ind w:left="20"/>
              <w:jc w:val="both"/>
            </w:pPr>
            <w:r>
              <w:rPr>
                <w:rFonts w:ascii="Times New Roman"/>
                <w:b w:val="false"/>
                <w:i w:val="false"/>
                <w:color w:val="000000"/>
                <w:sz w:val="20"/>
              </w:rPr>
              <w:t>
Разработка проектно-сметной документации 3-х объектов ПМСП (МП, ФАП, 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4"/>
          <w:p>
            <w:pPr>
              <w:spacing w:after="20"/>
              <w:ind w:left="20"/>
              <w:jc w:val="both"/>
            </w:pPr>
            <w:r>
              <w:rPr>
                <w:rFonts w:ascii="Times New Roman"/>
                <w:b w:val="false"/>
                <w:i w:val="false"/>
                <w:color w:val="000000"/>
                <w:sz w:val="20"/>
              </w:rPr>
              <w:t>
1-квартал</w:t>
            </w:r>
          </w:p>
          <w:bookmarkEnd w:id="64"/>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Мероприятие 5.</w:t>
            </w:r>
          </w:p>
          <w:bookmarkEnd w:id="65"/>
          <w:p>
            <w:pPr>
              <w:spacing w:after="20"/>
              <w:ind w:left="20"/>
              <w:jc w:val="both"/>
            </w:pPr>
            <w:r>
              <w:rPr>
                <w:rFonts w:ascii="Times New Roman"/>
                <w:b w:val="false"/>
                <w:i w:val="false"/>
                <w:color w:val="000000"/>
                <w:sz w:val="20"/>
              </w:rPr>
              <w:t>
Проведение комплексной вневедомственной экспертизы проектов 3-х видов объектов ПМСП (МП, ФАП, ВА) с получением положительных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заключения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1-квартал</w:t>
            </w:r>
          </w:p>
          <w:bookmarkEnd w:id="66"/>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7"/>
          <w:p>
            <w:pPr>
              <w:spacing w:after="20"/>
              <w:ind w:left="20"/>
              <w:jc w:val="both"/>
            </w:pPr>
            <w:r>
              <w:rPr>
                <w:rFonts w:ascii="Times New Roman"/>
                <w:b w:val="false"/>
                <w:i w:val="false"/>
                <w:color w:val="000000"/>
                <w:sz w:val="20"/>
              </w:rPr>
              <w:t>
Мероприятие 6.</w:t>
            </w:r>
          </w:p>
          <w:bookmarkEnd w:id="67"/>
          <w:p>
            <w:pPr>
              <w:spacing w:after="20"/>
              <w:ind w:left="20"/>
              <w:jc w:val="both"/>
            </w:pPr>
            <w:r>
              <w:rPr>
                <w:rFonts w:ascii="Times New Roman"/>
                <w:b w:val="false"/>
                <w:i w:val="false"/>
                <w:color w:val="000000"/>
                <w:sz w:val="20"/>
              </w:rPr>
              <w:t>
Заключение договоров о государственных закупках работ способом из одного источника с МИО на привязку проектов для повторного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государственных закупках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8"/>
          <w:p>
            <w:pPr>
              <w:spacing w:after="20"/>
              <w:ind w:left="20"/>
              <w:jc w:val="both"/>
            </w:pPr>
            <w:r>
              <w:rPr>
                <w:rFonts w:ascii="Times New Roman"/>
                <w:b w:val="false"/>
                <w:i w:val="false"/>
                <w:color w:val="000000"/>
                <w:sz w:val="20"/>
              </w:rPr>
              <w:t>
1-квартал</w:t>
            </w:r>
          </w:p>
          <w:bookmarkEnd w:id="68"/>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9"/>
          <w:p>
            <w:pPr>
              <w:spacing w:after="20"/>
              <w:ind w:left="20"/>
              <w:jc w:val="both"/>
            </w:pPr>
            <w:r>
              <w:rPr>
                <w:rFonts w:ascii="Times New Roman"/>
                <w:b w:val="false"/>
                <w:i w:val="false"/>
                <w:color w:val="000000"/>
                <w:sz w:val="20"/>
              </w:rPr>
              <w:t>
Мероприятие 7.</w:t>
            </w:r>
          </w:p>
          <w:bookmarkEnd w:id="69"/>
          <w:p>
            <w:pPr>
              <w:spacing w:after="20"/>
              <w:ind w:left="20"/>
              <w:jc w:val="both"/>
            </w:pPr>
            <w:r>
              <w:rPr>
                <w:rFonts w:ascii="Times New Roman"/>
                <w:b w:val="false"/>
                <w:i w:val="false"/>
                <w:color w:val="000000"/>
                <w:sz w:val="20"/>
              </w:rPr>
              <w:t>
Привязка (адаптация) проектов повторного применения согласно действующим нормативным документам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с привязкой к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0"/>
          <w:p>
            <w:pPr>
              <w:spacing w:after="20"/>
              <w:ind w:left="20"/>
              <w:jc w:val="both"/>
            </w:pPr>
            <w:r>
              <w:rPr>
                <w:rFonts w:ascii="Times New Roman"/>
                <w:b w:val="false"/>
                <w:i w:val="false"/>
                <w:color w:val="000000"/>
                <w:sz w:val="20"/>
              </w:rPr>
              <w:t>
2-квартал</w:t>
            </w:r>
          </w:p>
          <w:bookmarkEnd w:id="70"/>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НАО "Turar Healthcare"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1"/>
          <w:p>
            <w:pPr>
              <w:spacing w:after="20"/>
              <w:ind w:left="20"/>
              <w:jc w:val="both"/>
            </w:pPr>
            <w:r>
              <w:rPr>
                <w:rFonts w:ascii="Times New Roman"/>
                <w:b w:val="false"/>
                <w:i w:val="false"/>
                <w:color w:val="000000"/>
                <w:sz w:val="20"/>
              </w:rPr>
              <w:t>
Мероприятие 8.</w:t>
            </w:r>
          </w:p>
          <w:bookmarkEnd w:id="71"/>
          <w:p>
            <w:pPr>
              <w:spacing w:after="20"/>
              <w:ind w:left="20"/>
              <w:jc w:val="both"/>
            </w:pPr>
            <w:r>
              <w:rPr>
                <w:rFonts w:ascii="Times New Roman"/>
                <w:b w:val="false"/>
                <w:i w:val="false"/>
                <w:color w:val="000000"/>
                <w:sz w:val="20"/>
              </w:rPr>
              <w:t>
Проведение комплексной вневедомственной экспертизы проектов с получением положительных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2"/>
          <w:p>
            <w:pPr>
              <w:spacing w:after="20"/>
              <w:ind w:left="20"/>
              <w:jc w:val="both"/>
            </w:pPr>
            <w:r>
              <w:rPr>
                <w:rFonts w:ascii="Times New Roman"/>
                <w:b w:val="false"/>
                <w:i w:val="false"/>
                <w:color w:val="000000"/>
                <w:sz w:val="20"/>
              </w:rPr>
              <w:t>
2-квартал</w:t>
            </w:r>
          </w:p>
          <w:bookmarkEnd w:id="72"/>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соответствующей административно-территориальной единицы, НАО "Turar Healthcare"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3"/>
          <w:p>
            <w:pPr>
              <w:spacing w:after="20"/>
              <w:ind w:left="20"/>
              <w:jc w:val="both"/>
            </w:pPr>
            <w:r>
              <w:rPr>
                <w:rFonts w:ascii="Times New Roman"/>
                <w:b w:val="false"/>
                <w:i w:val="false"/>
                <w:color w:val="000000"/>
                <w:sz w:val="20"/>
              </w:rPr>
              <w:t>
Мероприятие 9.</w:t>
            </w:r>
          </w:p>
          <w:bookmarkEnd w:id="73"/>
          <w:p>
            <w:pPr>
              <w:spacing w:after="20"/>
              <w:ind w:left="20"/>
              <w:jc w:val="both"/>
            </w:pPr>
            <w:r>
              <w:rPr>
                <w:rFonts w:ascii="Times New Roman"/>
                <w:b w:val="false"/>
                <w:i w:val="false"/>
                <w:color w:val="000000"/>
                <w:sz w:val="20"/>
              </w:rPr>
              <w:t>
Заказ проектов наружных инженерных сетей до объектов ПМСП с получением положительного заключения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4"/>
          <w:p>
            <w:pPr>
              <w:spacing w:after="20"/>
              <w:ind w:left="20"/>
              <w:jc w:val="both"/>
            </w:pPr>
            <w:r>
              <w:rPr>
                <w:rFonts w:ascii="Times New Roman"/>
                <w:b w:val="false"/>
                <w:i w:val="false"/>
                <w:color w:val="000000"/>
                <w:sz w:val="20"/>
              </w:rPr>
              <w:t>
3-квартал</w:t>
            </w:r>
          </w:p>
          <w:bookmarkEnd w:id="74"/>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5"/>
          <w:p>
            <w:pPr>
              <w:spacing w:after="20"/>
              <w:ind w:left="20"/>
              <w:jc w:val="both"/>
            </w:pPr>
            <w:r>
              <w:rPr>
                <w:rFonts w:ascii="Times New Roman"/>
                <w:b w:val="false"/>
                <w:i w:val="false"/>
                <w:color w:val="000000"/>
                <w:sz w:val="20"/>
              </w:rPr>
              <w:t>
Мероприятие 10.</w:t>
            </w:r>
          </w:p>
          <w:bookmarkEnd w:id="75"/>
          <w:p>
            <w:pPr>
              <w:spacing w:after="20"/>
              <w:ind w:left="20"/>
              <w:jc w:val="both"/>
            </w:pPr>
            <w:r>
              <w:rPr>
                <w:rFonts w:ascii="Times New Roman"/>
                <w:b w:val="false"/>
                <w:i w:val="false"/>
                <w:color w:val="000000"/>
                <w:sz w:val="20"/>
              </w:rPr>
              <w:t>
Внесение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в части включения объектов первичной медико-санитарной помощи (МП, ФАП, ВА), реализуемых в рамках пилотного национального проекта "Модернизация сельского здравоохранения", в перечень объектов, расходы на строительство которых финансируются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6"/>
          <w:p>
            <w:pPr>
              <w:spacing w:after="20"/>
              <w:ind w:left="20"/>
              <w:jc w:val="both"/>
            </w:pPr>
            <w:r>
              <w:rPr>
                <w:rFonts w:ascii="Times New Roman"/>
                <w:b w:val="false"/>
                <w:i w:val="false"/>
                <w:color w:val="000000"/>
                <w:sz w:val="20"/>
              </w:rPr>
              <w:t>
1-квартал</w:t>
            </w:r>
          </w:p>
          <w:bookmarkEnd w:id="76"/>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11. Внесение бюджетных заявок в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7"/>
          <w:p>
            <w:pPr>
              <w:spacing w:after="20"/>
              <w:ind w:left="20"/>
              <w:jc w:val="both"/>
            </w:pPr>
            <w:r>
              <w:rPr>
                <w:rFonts w:ascii="Times New Roman"/>
                <w:b w:val="false"/>
                <w:i w:val="false"/>
                <w:color w:val="000000"/>
                <w:sz w:val="20"/>
              </w:rPr>
              <w:t>
1, 3-кварталы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3-кварталы</w:t>
            </w:r>
          </w:p>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Мероприятие 12.</w:t>
            </w:r>
          </w:p>
          <w:bookmarkEnd w:id="78"/>
          <w:p>
            <w:pPr>
              <w:spacing w:after="20"/>
              <w:ind w:left="20"/>
              <w:jc w:val="both"/>
            </w:pPr>
            <w:r>
              <w:rPr>
                <w:rFonts w:ascii="Times New Roman"/>
                <w:b w:val="false"/>
                <w:i w:val="false"/>
                <w:color w:val="000000"/>
                <w:sz w:val="20"/>
              </w:rPr>
              <w:t>
Проведение процедур государственных закупок и заключение договоров на строительно-монтажные работы, услуги технического и авторского надзоров, а также проведение процедур для заключения договоров ГЧП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2-квартал 2023 года – 3-квартал 2024 года</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Мероприятие 13. Проведение строительно-монтажных работ, реализация проектов ГЧП</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3-квартал 2023 года – 4-квартал 2025 года</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 частные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Мероприятие 14.</w:t>
            </w:r>
          </w:p>
          <w:bookmarkEnd w:id="82"/>
          <w:p>
            <w:pPr>
              <w:spacing w:after="20"/>
              <w:ind w:left="20"/>
              <w:jc w:val="both"/>
            </w:pPr>
            <w:r>
              <w:rPr>
                <w:rFonts w:ascii="Times New Roman"/>
                <w:b w:val="false"/>
                <w:i w:val="false"/>
                <w:color w:val="000000"/>
                <w:sz w:val="20"/>
              </w:rPr>
              <w:t>
Подведение наружных инженерных сетей до объектов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4-квартал 2023 года -</w:t>
            </w:r>
          </w:p>
          <w:bookmarkEnd w:id="83"/>
          <w:p>
            <w:pPr>
              <w:spacing w:after="20"/>
              <w:ind w:left="20"/>
              <w:jc w:val="both"/>
            </w:pPr>
            <w:r>
              <w:rPr>
                <w:rFonts w:ascii="Times New Roman"/>
                <w:b w:val="false"/>
                <w:i w:val="false"/>
                <w:color w:val="000000"/>
                <w:sz w:val="20"/>
              </w:rPr>
              <w:t>
4-квартал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Мероприятие 15.</w:t>
            </w:r>
          </w:p>
          <w:bookmarkEnd w:id="84"/>
          <w:p>
            <w:pPr>
              <w:spacing w:after="20"/>
              <w:ind w:left="20"/>
              <w:jc w:val="both"/>
            </w:pPr>
            <w:r>
              <w:rPr>
                <w:rFonts w:ascii="Times New Roman"/>
                <w:b w:val="false"/>
                <w:i w:val="false"/>
                <w:color w:val="000000"/>
                <w:sz w:val="20"/>
              </w:rPr>
              <w:t>
Ввод объектов в эксплуатацию, включение в региональные перспективные планы развития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объектов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4-квартал 2023 года – 4-квартал 2025 года</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Мероприятие 16.</w:t>
            </w:r>
          </w:p>
          <w:bookmarkEnd w:id="86"/>
          <w:p>
            <w:pPr>
              <w:spacing w:after="20"/>
              <w:ind w:left="20"/>
              <w:jc w:val="both"/>
            </w:pPr>
            <w:r>
              <w:rPr>
                <w:rFonts w:ascii="Times New Roman"/>
                <w:b w:val="false"/>
                <w:i w:val="false"/>
                <w:color w:val="000000"/>
                <w:sz w:val="20"/>
              </w:rPr>
              <w:t xml:space="preserve">
Проработка вопроса организации центра лучших практик ПМСП на базе столичной поликлиники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1-квартал</w:t>
            </w:r>
          </w:p>
          <w:bookmarkEnd w:id="87"/>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17. Внесение изменений в приказ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в части увеличения срока действия договоров закупа услуг в рамках гарантированного объема бесплатной медицинской помощи и (или) в системе обязательного социального медицинского страхования с субъектами здравоохранения, реализуемыми в рамках ГЧП (от пяти до двадцати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w:t>
            </w:r>
          </w:p>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18. Разработка и утверждение порядка определения частного партнера и заключения договора ГЧП в рамках концепций развития отраслей (сферы), национальных проектов, включая типовые конкурсные документации и типовые договоры ГЧП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w:t>
            </w:r>
          </w:p>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своевременности оказания экстренной медицинской помощи сельскому населению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Ввод в эксплуатацию 32 модернизированных МЦРБ (в 2024 году – 7, в 2025 году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Проведение технического обследования существующих зданий и сооружений МЦРБ (с предоставлением дефектного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Мероприятие 2.</w:t>
            </w:r>
          </w:p>
          <w:bookmarkEnd w:id="88"/>
          <w:p>
            <w:pPr>
              <w:spacing w:after="20"/>
              <w:ind w:left="20"/>
              <w:jc w:val="both"/>
            </w:pPr>
            <w:r>
              <w:rPr>
                <w:rFonts w:ascii="Times New Roman"/>
                <w:b w:val="false"/>
                <w:i w:val="false"/>
                <w:color w:val="000000"/>
                <w:sz w:val="20"/>
              </w:rPr>
              <w:t>
Получение исходных данных на разработку проектно-сметной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1-квартал</w:t>
            </w:r>
          </w:p>
          <w:bookmarkEnd w:id="89"/>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Мероприятие 3.</w:t>
            </w:r>
          </w:p>
          <w:bookmarkEnd w:id="90"/>
          <w:p>
            <w:pPr>
              <w:spacing w:after="20"/>
              <w:ind w:left="20"/>
              <w:jc w:val="both"/>
            </w:pPr>
            <w:r>
              <w:rPr>
                <w:rFonts w:ascii="Times New Roman"/>
                <w:b w:val="false"/>
                <w:i w:val="false"/>
                <w:color w:val="000000"/>
                <w:sz w:val="20"/>
              </w:rPr>
              <w:t>
Разработка проектно-сметной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1-квартал</w:t>
            </w:r>
          </w:p>
          <w:bookmarkEnd w:id="91"/>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проектировщик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Мероприятие 4.</w:t>
            </w:r>
          </w:p>
          <w:bookmarkEnd w:id="92"/>
          <w:p>
            <w:pPr>
              <w:spacing w:after="20"/>
              <w:ind w:left="20"/>
              <w:jc w:val="both"/>
            </w:pPr>
            <w:r>
              <w:rPr>
                <w:rFonts w:ascii="Times New Roman"/>
                <w:b w:val="false"/>
                <w:i w:val="false"/>
                <w:color w:val="000000"/>
                <w:sz w:val="20"/>
              </w:rPr>
              <w:t>
Проведение комплексной вневедомственной экспертизы проектов с получением положительных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2-квартал</w:t>
            </w:r>
          </w:p>
          <w:bookmarkEnd w:id="93"/>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Мероприятие 5.</w:t>
            </w:r>
          </w:p>
          <w:bookmarkEnd w:id="94"/>
          <w:p>
            <w:pPr>
              <w:spacing w:after="20"/>
              <w:ind w:left="20"/>
              <w:jc w:val="both"/>
            </w:pPr>
            <w:r>
              <w:rPr>
                <w:rFonts w:ascii="Times New Roman"/>
                <w:b w:val="false"/>
                <w:i w:val="false"/>
                <w:color w:val="000000"/>
                <w:sz w:val="20"/>
              </w:rPr>
              <w:t xml:space="preserve">
Внесение бюджетных заявок в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2-квартал</w:t>
            </w:r>
          </w:p>
          <w:bookmarkEnd w:id="95"/>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Мероприятие 6.</w:t>
            </w:r>
          </w:p>
          <w:bookmarkEnd w:id="96"/>
          <w:p>
            <w:pPr>
              <w:spacing w:after="20"/>
              <w:ind w:left="20"/>
              <w:jc w:val="both"/>
            </w:pPr>
            <w:r>
              <w:rPr>
                <w:rFonts w:ascii="Times New Roman"/>
                <w:b w:val="false"/>
                <w:i w:val="false"/>
                <w:color w:val="000000"/>
                <w:sz w:val="20"/>
              </w:rPr>
              <w:t>
Проведение процедур государственных закупок и заключение договоров на строительно-монтажные работы, услуги технического и авторского надзоров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3-квартал 2023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Мероприятие 7.</w:t>
            </w:r>
          </w:p>
          <w:bookmarkEnd w:id="97"/>
          <w:p>
            <w:pPr>
              <w:spacing w:after="20"/>
              <w:ind w:left="20"/>
              <w:jc w:val="both"/>
            </w:pPr>
            <w:r>
              <w:rPr>
                <w:rFonts w:ascii="Times New Roman"/>
                <w:b w:val="false"/>
                <w:i w:val="false"/>
                <w:color w:val="000000"/>
                <w:sz w:val="20"/>
              </w:rPr>
              <w:t>
Проведение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Мероприятие 8.</w:t>
            </w:r>
          </w:p>
          <w:bookmarkEnd w:id="98"/>
          <w:p>
            <w:pPr>
              <w:spacing w:after="20"/>
              <w:ind w:left="20"/>
              <w:jc w:val="both"/>
            </w:pPr>
            <w:r>
              <w:rPr>
                <w:rFonts w:ascii="Times New Roman"/>
                <w:b w:val="false"/>
                <w:i w:val="false"/>
                <w:color w:val="000000"/>
                <w:sz w:val="20"/>
              </w:rPr>
              <w:t>
Закуп и поставка медицинского оборудования в действующие 12 МЦРБ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Мероприятие 9.</w:t>
            </w:r>
          </w:p>
          <w:bookmarkEnd w:id="99"/>
          <w:p>
            <w:pPr>
              <w:spacing w:after="20"/>
              <w:ind w:left="20"/>
              <w:jc w:val="both"/>
            </w:pPr>
            <w:r>
              <w:rPr>
                <w:rFonts w:ascii="Times New Roman"/>
                <w:b w:val="false"/>
                <w:i w:val="false"/>
                <w:color w:val="000000"/>
                <w:sz w:val="20"/>
              </w:rPr>
              <w:t xml:space="preserve">
Закуп и поставка медицинского оборудования для новых 20 МЦРБ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2023 года – 4-квартал 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Мероприятие 10.</w:t>
            </w:r>
          </w:p>
          <w:bookmarkEnd w:id="100"/>
          <w:p>
            <w:pPr>
              <w:spacing w:after="20"/>
              <w:ind w:left="20"/>
              <w:jc w:val="both"/>
            </w:pPr>
            <w:r>
              <w:rPr>
                <w:rFonts w:ascii="Times New Roman"/>
                <w:b w:val="false"/>
                <w:i w:val="false"/>
                <w:color w:val="000000"/>
                <w:sz w:val="20"/>
              </w:rPr>
              <w:t>
Ввод объектов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 – 4-квартал 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 МЗ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Обеспечение объектов сельского здравоохранения медицинскими кадрами.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Подготовка 1100 медицинских работников для медицинских объектов в рамках реализации национального проекта (в 2023 году – 600 чел., в 2024 году – 500 чел.)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Анализ обеспеченности объектов сельского здравоохранения медицинскими кадрами в рамках пилотного национального проекта "Модернизация сельского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в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2023 - 2024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Мероприятие 2.</w:t>
            </w:r>
          </w:p>
          <w:bookmarkEnd w:id="101"/>
          <w:p>
            <w:pPr>
              <w:spacing w:after="20"/>
              <w:ind w:left="20"/>
              <w:jc w:val="both"/>
            </w:pPr>
            <w:r>
              <w:rPr>
                <w:rFonts w:ascii="Times New Roman"/>
                <w:b w:val="false"/>
                <w:i w:val="false"/>
                <w:color w:val="000000"/>
                <w:sz w:val="20"/>
              </w:rPr>
              <w:t>
Актуализация программ повышения квалификации для специалистов ПМСП с учетом принципов лучших практик в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2023 - 2024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xml:space="preserve">
профильные вузы, </w:t>
            </w:r>
          </w:p>
          <w:bookmarkEnd w:id="102"/>
          <w:p>
            <w:pPr>
              <w:spacing w:after="20"/>
              <w:ind w:left="20"/>
              <w:jc w:val="both"/>
            </w:pPr>
            <w:r>
              <w:rPr>
                <w:rFonts w:ascii="Times New Roman"/>
                <w:b w:val="false"/>
                <w:i w:val="false"/>
                <w:color w:val="000000"/>
                <w:sz w:val="20"/>
              </w:rPr>
              <w:t>
высший медицинский колледж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Мероприятие 3.</w:t>
            </w:r>
          </w:p>
          <w:bookmarkEnd w:id="103"/>
          <w:p>
            <w:pPr>
              <w:spacing w:after="20"/>
              <w:ind w:left="20"/>
              <w:jc w:val="both"/>
            </w:pPr>
            <w:r>
              <w:rPr>
                <w:rFonts w:ascii="Times New Roman"/>
                <w:b w:val="false"/>
                <w:i w:val="false"/>
                <w:color w:val="000000"/>
                <w:sz w:val="20"/>
              </w:rPr>
              <w:t>
Совершенствование практических навыков и компетенций специалистов организаций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2024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xml:space="preserve">
Мероприятие 4. </w:t>
            </w:r>
          </w:p>
          <w:bookmarkEnd w:id="104"/>
          <w:p>
            <w:pPr>
              <w:spacing w:after="20"/>
              <w:ind w:left="20"/>
              <w:jc w:val="both"/>
            </w:pPr>
            <w:r>
              <w:rPr>
                <w:rFonts w:ascii="Times New Roman"/>
                <w:b w:val="false"/>
                <w:i w:val="false"/>
                <w:color w:val="000000"/>
                <w:sz w:val="20"/>
              </w:rPr>
              <w:t>
Выделение образовательных грантов за счет средств МИО на подготовку профильных специалистов сельского здравоохранения согласно потребности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акима и (или) решение маслихата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1–2-кварталы 2023 – 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xml:space="preserve">
Мероприятие 5. </w:t>
            </w:r>
          </w:p>
          <w:bookmarkEnd w:id="105"/>
          <w:p>
            <w:pPr>
              <w:spacing w:after="20"/>
              <w:ind w:left="20"/>
              <w:jc w:val="both"/>
            </w:pPr>
            <w:r>
              <w:rPr>
                <w:rFonts w:ascii="Times New Roman"/>
                <w:b w:val="false"/>
                <w:i w:val="false"/>
                <w:color w:val="000000"/>
                <w:sz w:val="20"/>
              </w:rPr>
              <w:t>
Усиление статуса среднего медицинского работника путем делегирования ряда несвойственных функций врача, внедрение "института наставничества"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xml:space="preserve">
2, 4-кварталы 2023 года, </w:t>
            </w:r>
          </w:p>
          <w:bookmarkEnd w:id="106"/>
          <w:p>
            <w:pPr>
              <w:spacing w:after="20"/>
              <w:ind w:left="20"/>
              <w:jc w:val="both"/>
            </w:pPr>
            <w:r>
              <w:rPr>
                <w:rFonts w:ascii="Times New Roman"/>
                <w:b w:val="false"/>
                <w:i w:val="false"/>
                <w:color w:val="000000"/>
                <w:sz w:val="20"/>
              </w:rPr>
              <w:t>
2, 4-кварталы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xml:space="preserve">
Мероприятие 6. </w:t>
            </w:r>
          </w:p>
          <w:bookmarkEnd w:id="107"/>
          <w:p>
            <w:pPr>
              <w:spacing w:after="20"/>
              <w:ind w:left="20"/>
              <w:jc w:val="both"/>
            </w:pPr>
            <w:r>
              <w:rPr>
                <w:rFonts w:ascii="Times New Roman"/>
                <w:b w:val="false"/>
                <w:i w:val="false"/>
                <w:color w:val="000000"/>
                <w:sz w:val="20"/>
              </w:rPr>
              <w:t>
Оказание мер мотивации и социальной поддержки медицинских работников (обеспечение жильем, льготное кредитование, предоставление подъемного пособия, служебный автотранспорт и другие социальные 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акима и (или) решение маслихата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Мероприятие 7.</w:t>
            </w:r>
          </w:p>
          <w:bookmarkEnd w:id="108"/>
          <w:p>
            <w:pPr>
              <w:spacing w:after="20"/>
              <w:ind w:left="20"/>
              <w:jc w:val="both"/>
            </w:pPr>
            <w:r>
              <w:rPr>
                <w:rFonts w:ascii="Times New Roman"/>
                <w:b w:val="false"/>
                <w:i w:val="false"/>
                <w:color w:val="000000"/>
                <w:sz w:val="20"/>
              </w:rPr>
              <w:t>
Мониторинг мер мотивации и социальной поддержки медицинских работников (обеспечение жильем, льготное кредитование, предоставление подъемного пособия, служебный автотранспорт и другие социальные 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соответствующей административно-территориальной единицы</w:t>
            </w:r>
          </w:p>
        </w:tc>
      </w:tr>
    </w:tbl>
    <w:bookmarkStart w:name="z115" w:id="109"/>
    <w:p>
      <w:pPr>
        <w:spacing w:after="0"/>
        <w:ind w:left="0"/>
        <w:jc w:val="both"/>
      </w:pPr>
      <w:r>
        <w:rPr>
          <w:rFonts w:ascii="Times New Roman"/>
          <w:b w:val="false"/>
          <w:i w:val="false"/>
          <w:color w:val="000000"/>
          <w:sz w:val="28"/>
        </w:rPr>
        <w:t>
      Примечание:</w:t>
      </w:r>
    </w:p>
    <w:bookmarkEnd w:id="109"/>
    <w:bookmarkStart w:name="z116" w:id="110"/>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местного бюджетов на соответствующий плановый период по результатам готовности проектно-сметной документации в соответствии с бюджетным законодательством.</w:t>
      </w:r>
    </w:p>
    <w:bookmarkEnd w:id="110"/>
    <w:bookmarkStart w:name="z117" w:id="111"/>
    <w:p>
      <w:pPr>
        <w:spacing w:after="0"/>
        <w:ind w:left="0"/>
        <w:jc w:val="both"/>
      </w:pPr>
      <w:r>
        <w:rPr>
          <w:rFonts w:ascii="Times New Roman"/>
          <w:b w:val="false"/>
          <w:i w:val="false"/>
          <w:color w:val="000000"/>
          <w:sz w:val="28"/>
        </w:rPr>
        <w:t>
      _________________________________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 xml:space="preserve">"Модернизация сельского здравоохранения" </w:t>
            </w:r>
          </w:p>
        </w:tc>
      </w:tr>
    </w:tbl>
    <w:bookmarkStart w:name="z119" w:id="112"/>
    <w:p>
      <w:pPr>
        <w:spacing w:after="0"/>
        <w:ind w:left="0"/>
        <w:jc w:val="left"/>
      </w:pPr>
      <w:r>
        <w:rPr>
          <w:rFonts w:ascii="Times New Roman"/>
          <w:b/>
          <w:i w:val="false"/>
          <w:color w:val="000000"/>
        </w:rPr>
        <w:t xml:space="preserve"> План ввода в эксплуатацию объектов первичной медико-санитарной помощи (МП, ФАП, ВА) в сельских населенных пунктах в период 2023 – 2025 годы</w:t>
      </w:r>
    </w:p>
    <w:bookmarkEnd w:id="112"/>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18.12.2024 </w:t>
      </w:r>
      <w:r>
        <w:rPr>
          <w:rFonts w:ascii="Times New Roman"/>
          <w:b w:val="false"/>
          <w:i w:val="false"/>
          <w:color w:val="ff0000"/>
          <w:sz w:val="28"/>
        </w:rPr>
        <w:t>№ 1071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1 с изменениями, внесенными постановлениями Правительства РК от 25.03.2024 </w:t>
      </w:r>
      <w:r>
        <w:rPr>
          <w:rFonts w:ascii="Times New Roman"/>
          <w:b w:val="false"/>
          <w:i w:val="false"/>
          <w:color w:val="000000"/>
          <w:sz w:val="28"/>
        </w:rPr>
        <w:t>№ 221</w:t>
      </w:r>
      <w:r>
        <w:rPr>
          <w:rFonts w:ascii="Times New Roman"/>
          <w:b w:val="false"/>
          <w:i w:val="false"/>
          <w:color w:val="000000"/>
          <w:sz w:val="28"/>
        </w:rPr>
        <w:t xml:space="preserve">; от 18.12.2024 </w:t>
      </w:r>
      <w:r>
        <w:rPr>
          <w:rFonts w:ascii="Times New Roman"/>
          <w:b w:val="false"/>
          <w:i w:val="false"/>
          <w:color w:val="000000"/>
          <w:sz w:val="28"/>
        </w:rPr>
        <w:t>№ 1071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объект /взамен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объекта </w:t>
            </w:r>
            <w:r>
              <w:rPr>
                <w:rFonts w:ascii="Times New Roman"/>
                <w:b w:val="false"/>
                <w:i/>
                <w:color w:val="000000"/>
                <w:sz w:val="20"/>
              </w:rPr>
              <w:t>(МП, ФАП, 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Кына Аккольского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Урюпинка Аккольского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Новорыбинка Аккольского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Новобратское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Бауманское Егиндыкольского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Раздольное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Арайлы (Максимовка)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Тонкерис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Оразак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Отемис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Жалгызкудук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Нуресиль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Приречное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Караменды батыра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Маншук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Ключи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Сергеевка Атбасарского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Свободный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Пятигорская Жаркаинского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Арнасай Аршалынского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Старый Колутон Астраханского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Партизанка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Алтынды Буландынского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Андыкожа батыра района Биржан сал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Еркиншилик Ерейментауского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Аксай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Кировское Жаксынского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Айдабул Зерендинского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Малика Габдулина Зерендинского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Жанаесиль (Новоишимка) Целиноградского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 Жайнак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 Кошкарбаева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(Фарфоровое)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Жарлыколь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Шалкар Целиноградского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Пригородное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Новокубанка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Тонкерис Шортандынского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Нура Иргизского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Байтурасай Мартукского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Косарал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Кокбулак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Каражар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Кораши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Булакты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Каратогай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Аккайын Мартукского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Мугалжар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Кожасай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Шокысу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Кемерши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Аккудык Хромтауского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Тасоткель Хромтауского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Токмансай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Карабулак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Маржанбулак Алгинского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Сарысай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 Шалкарского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Ногайты Байганинского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Сага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Жарык Мугалжарского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Жарма Иргизского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Алтыкарасу Темирского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Бегалы Кобдинского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Аксай Темирского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Кокжиде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Карой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Малый Дехан Уйгурского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Ават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Актам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Айдарлы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Ащису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Бозой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Жайсан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Кокдала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Актерек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Сункар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Копа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Саурык батыр (Кокозек) Жамбылского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Аскер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Суранши батыр (Талап)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Улькен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Шилибастау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Жылысай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Жайдақбұлақ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Курметы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Коктерек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 Арал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Миялы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Карасайского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Бура Балхашского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Дардамты Уйгурского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садоводческих товариществ Береке Илийского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Карасай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Шиен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Қарабұлақ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Жанаталап Кегенского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Коккайнар-2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Ширин Уйгурского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Тигермень Илийского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 арна Илийского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Алтыншы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Шагырлы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Жасталап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Батырбек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Талдыкөл Махамбетского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Есбол Индерского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Жаскайрат Исатайского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Афанасьева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Жамбыл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 Алипова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Кудряшова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Арна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Коптогай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Азгир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Коныртерек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Жалгыз Апан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Жамансор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Жантерек Курмангазинского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Отрадное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Макеевка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Желдиозек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Казачье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Сарыозек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Верх-Березовка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Прапорщиково Глубоковского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Белокаменка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Межовка Шемонаихинского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Аманат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Жолнускау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Акжайлау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Урунхайка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Маралды Курчумского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Ахмектеп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Ахметбулак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Казахстан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Шолакорда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Жанаталап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Шорга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Тройницкое Уланского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Секисовка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Бобровка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Уварово Глубоковского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Тургусун г. 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Феклистовка г.Алтай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Октябрьск г.Алтай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Волчанка Шемонаихинского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Майемер Катон-Карагайского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Барлык Катон-Карагайского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Жанатурмыс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Саржыра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Жарсу Зайсанского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Жамбыл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Асусай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Байтогас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Жетибай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Базарбай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Жанаоткел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Терис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Сурым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Жылыбұлак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Анрахай Кордайского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Аккоз-Кайнар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Жайлауколь Сарысуского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Корагаты района им. Т. 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Жидели Шуского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жулдыз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Тегистик Байзакского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Костобе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Тогызтарау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Шынбулак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Карабастау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Талапты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Тасбастау Жуалынского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Улкенсулутор Кордайского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Аспара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 Рысқұлов Меркенского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Сарыузек Мойынкумского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 Сабденова района им. Т.Рыскулова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района им. Т.Рыскулова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Акколь Таласского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Муратсай Бокейординского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Аралтал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Кызылоба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Маштексай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Жаксыбай Жаныбекского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Камысты Жаныбекского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Асан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Новенький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Караузен Казталовского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Оленти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Булдурта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Барбастау (Лесопитомник)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Сарыомир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Казталовского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Базартобе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Сайкудук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Жанаконыс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Караганды (Кирово)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Облавка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Киши Айдархан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Ушагаш Каратобинского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Аксуат Чингирлауского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Ащысай Чингирлауского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Битилеу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Акбулак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Каракудык (Тихоновка) Бурлинского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Борсы Жанибекского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Өркен (Степной)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Жайык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Шагырлой Сырымского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Новенький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Красноармейское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Скворкино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Садовое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(Кузнецово) Таскалинского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Долинное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Улкененбек Теректинского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Кыркопа Жангалинского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Озерное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Зеленое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Конеккеткен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Аксуат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Жанабулак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Базаршолан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Алмалы Акжаикского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Каражар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Янайкино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Железново района Байтерек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Акжарык (Кызыларай)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Каракудук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Новоузенка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Актобе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Коянды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Сарыобалы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Ту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Томар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Акжол (Мамраева)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Татан (Енбек)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Бесоба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Қарабұлақ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Жаңатоған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Буркутты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Абыз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Белдеутас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Борлыбулак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Өсібай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Айрық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Акшатау (Актобе)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Нижние Кайракты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Жумыскер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Босага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Коктенколь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Киик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Бурма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Енбекшил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Аксу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Карамурын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Дария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Кызылкой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Акшокы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Еркиндик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Ақжартас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Жыланды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Жарылгап батыр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Акой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Талды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Нура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Батык Шетского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Акбастау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Есенгельда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Коксу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Южное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Жаманжол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Коянды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Жон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Садовое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Куаныш (Куаныш)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Нуркен (Нуркен)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Кошкар (Шубартау)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Ортадересин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Акжайдак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Актас (Карамендеби)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Ушарал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Айыртас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Красная Нива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Центральное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Тогызкудук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Гагарина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Самарканд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Байкадам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Сары-Арка (Заречное)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Курлус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с.Тузды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Белагаш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Акбел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Тасаул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Интумак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Сартобе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Акоре Бухар-Жырауского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Ынталы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Айнабұлақ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Алгабас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Балыктыкуль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Жанбобек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Изенды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 Мынбаева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Карой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Куланотпес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Музбел (Пржевальское)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Тассуат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Шубаркуль Нуринского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Сарыозек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Ошаганды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Звездное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Шункырколь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Акпан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Буревестник Наурзумского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Октябрьский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Владимировский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Ершовка Узункольского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Придорожное Федоровского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Октябрьский города Лисаковска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Тимофеевка Аулиекольского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Восточное города Аркалыка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Коктал Аулиекольского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Тогузак Карабалыкского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Бестюбе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Арка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Московский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Александровка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Айсаринский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Алтынсарино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Надеждинка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Садовое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Майколь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 дала Костанайского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Алтынсарино Камыстинского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Кенерал Федоровского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Станционное Карабалыкского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Фурманово города Аркалыка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Новоильиновка района Беимбета Майлина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Досбол би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Дур Онгар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Мырзабай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Турмагамбет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Кармакшинского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Бала би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Есет батыр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Бозколь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 Ильясов Сырдарьинского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Абай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Каукей Казалинского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Буланбай бауы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Кызылжар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Боген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Коктем 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Ортакшыл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 Тажибаева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с.Тартогай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Алмалы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Бесарык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Токабай Аральского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Абдигаппар Жанакорганского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Бестам Шиелийского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Каракеткен Жалагашского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Кармакшы Кармакшинского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Куандария Кармакшинского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мкр. Косбулак с. Шетпе Мангистауского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Тажен Бейнеуского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Курык Каракиянского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bookmarkEnd w:id="1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w:t>
            </w:r>
            <w:r>
              <w:rPr>
                <w:rFonts w:ascii="Times New Roman"/>
                <w:b/>
                <w:i w:val="false"/>
                <w:color w:val="000000"/>
                <w:sz w:val="20"/>
              </w:rPr>
              <w:t>30</w:t>
            </w:r>
          </w:p>
          <w:bookmarkEnd w:id="11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Байет города Экибастуз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Құрылысшы города Экибастуз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Шуга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Шиликти Актогайского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Кызылагаш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Каракудук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Мынкуль Железинского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Майского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Акшиман Майского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Арбигень Щербактинского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Жабаглы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Шака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Ивановка Теренкольского районв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Ленино Иртышского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Зангар Павлодарского районв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Айнаколь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Уштерек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Достык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Береке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Куркуль с.з.г.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Каратай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Ковалевка Успенского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Ольгино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Тимирязево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Козыкеткен Успенского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Казы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Казантай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Тлектес района Аккулы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Такир района Аккулы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Ивановка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Возвышенка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Возвышенка района имени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Карагугинское района имени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Якорь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Прибрежное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Тахтаброд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Привольное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Кладбинка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района имени Г. Мусрепова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Актуесай Уалихановского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Чистовское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Советское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Петровка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Чириковка Есильского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Лобаново Айыртауского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Тайыншинского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Новомихайловка Мамлютского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Большая Малышка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Пресновка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Покровка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Асаново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Новокаменка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Пеньково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Белое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Налобино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Баян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Айымжан Жамбылского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Восходское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Акжаркын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Акан-Барак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Мерген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Семиполка района Шал акына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Мичурино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Акжан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Докучаево Тимирязевского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Надежка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Таманское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Байтерек района М. Жумабаева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Бексеит Мамлютского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Кондратовка Кызылжарского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Бостандык Акжарского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Власовка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Кіші Қараой Акжарского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Тюменка Аккайынского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Бакконыс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Кокпарсай (Атакент)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Торткул (Атакент)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Карабастау Ордабасинского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Енбекши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Атамекен Арысского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Кожатогай Арысского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Аккала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Акбастау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Кутарыс Сайрамского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Жарықбас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Ағыбет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Туракты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Шыбыт района Байдибек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Казыгурт Казыгуртского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Енбекши Казыгуртского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Кызылсенгир Казыгуртского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Жетысу (Асык-Ата)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Енбекши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с.Жемисти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Коктобе (Асык-Ата) Жетисайского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Нурлытан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Шугыла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Табысты Мактааралского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Аккум Отрарского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Шытты Отрарского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Боген Ордабасинского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Жылга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Карабау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Шымырбай Сарыагашского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28-Гвардия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Жанадауир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Ынтымак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Бирлик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Ошакты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Береке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Кенесарык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Диханкуль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Зертас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Жанажол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Аккум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Шакпак баба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Макталы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Абайыл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Тастыбулак Тюлькубасского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Тайконыр Сузакского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Шага Сауранского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Бостандык Сауранского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Жалантос Сауранского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Медеу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Орда Абайского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Саржал Абайского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Үш - төбе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Кожагельды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Айнабастау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Аккала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Кіндікті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Екпін Аксуатского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Қызыл-жұлдыз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Сұлутал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Көктүбек Аксуатского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Байкошкар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Емельтау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Акшаули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Малтугел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Акший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Сары-Арка Аягозского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Карагайлы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Карабас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Жетижар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Ерназар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Ундрус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Стеклянка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Коянбай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Долонь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Белокаменка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Кара-Мурза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Башкуль Бескарагайского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Успенка Бородулихинского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Капан-Булак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Жарык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Каратобе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Жарма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Сулусары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Салкынтобе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Белтерек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Узынжал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Жайма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Кошек (Шар) Жарминского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Шариптогай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Мамай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Бигаш Кокпектинского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Карамойыл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Ушкумей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Ульгули-Малши Кокпектинского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Акшокы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Карабулак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Коктал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 Булак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Бекет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Барлык-Арасан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Келдимурат (с. Благодарное)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Урджар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Жогаргы Егинсу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Батпакты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Аул Бородулихинского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Новая Шульба Бородулихинского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Кайынды (Маканчи)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Благодатное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Некрасовка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Карабуйрат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Лай булак Урджарского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Ер кабанбай Урджарского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Кокжайдак Аксуского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Каракоз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Жаналык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Хоргос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Сарытобе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Аккудык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Суптай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Шымыр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Кайнарлы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Жастар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Кызылтоган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Бескайнар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Каратал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Малайсары Кербулакского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Шубар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Карагаш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Карашокы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Жаналык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Коянкоз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Сарыбастау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Кызылжар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Кырыккудык Панфиловского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Кайнар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Екпенды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Жайпак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Ащыбулак Аксуского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Кызылжар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Каражиде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Канабек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Ортатобе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Оян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Дойынши Каратальского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Турпан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Садыр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Алтыуй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Акжазык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Диханкайрат Панфиловского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Жалгызагаш Ескельдинского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Баисова Ескельдинского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Жетыжал Коксуского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Нурым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Актобе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Доланалы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Карымсак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Байгазы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Бериктас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Басши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Шаган Кербулакского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Алтынемель Кербулакского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Актума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Каргалы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Толебаева Сарканского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Алмалы Панфиловского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Бесколь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Жанама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Сапак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Ушбулак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Кызылкайын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Акжар Алакольского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Каракум / Косколь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Байконур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Борсенгир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Корғасын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Терсаккан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Пионер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Актас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Айыртау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Караагаш / Ынталы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Актубек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Айнабулак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Кенжебай Самай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Кенгир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Мибулак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Бетбулак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Талдыбулак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Атасу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Манадыр Жанааркинского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Егінді Улытауского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республике: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w:t>
            </w:r>
          </w:p>
        </w:tc>
      </w:tr>
    </w:tbl>
    <w:bookmarkStart w:name="z122" w:id="115"/>
    <w:p>
      <w:pPr>
        <w:spacing w:after="0"/>
        <w:ind w:left="0"/>
        <w:jc w:val="both"/>
      </w:pPr>
      <w:r>
        <w:rPr>
          <w:rFonts w:ascii="Times New Roman"/>
          <w:b w:val="false"/>
          <w:i w:val="false"/>
          <w:color w:val="000000"/>
          <w:sz w:val="28"/>
        </w:rPr>
        <w:t>
      Примечание: расшифровка аббревиатур:</w:t>
      </w:r>
    </w:p>
    <w:bookmarkEnd w:id="115"/>
    <w:bookmarkStart w:name="z123" w:id="116"/>
    <w:p>
      <w:pPr>
        <w:spacing w:after="0"/>
        <w:ind w:left="0"/>
        <w:jc w:val="both"/>
      </w:pPr>
      <w:r>
        <w:rPr>
          <w:rFonts w:ascii="Times New Roman"/>
          <w:b w:val="false"/>
          <w:i w:val="false"/>
          <w:color w:val="000000"/>
          <w:sz w:val="28"/>
        </w:rPr>
        <w:t>
      МП – медицинский пункт</w:t>
      </w:r>
    </w:p>
    <w:bookmarkEnd w:id="116"/>
    <w:bookmarkStart w:name="z124" w:id="117"/>
    <w:p>
      <w:pPr>
        <w:spacing w:after="0"/>
        <w:ind w:left="0"/>
        <w:jc w:val="both"/>
      </w:pPr>
      <w:r>
        <w:rPr>
          <w:rFonts w:ascii="Times New Roman"/>
          <w:b w:val="false"/>
          <w:i w:val="false"/>
          <w:color w:val="000000"/>
          <w:sz w:val="28"/>
        </w:rPr>
        <w:t>
      ФАП – фельдшерско-акушерский пункт</w:t>
      </w:r>
    </w:p>
    <w:bookmarkEnd w:id="117"/>
    <w:bookmarkStart w:name="z125" w:id="118"/>
    <w:p>
      <w:pPr>
        <w:spacing w:after="0"/>
        <w:ind w:left="0"/>
        <w:jc w:val="both"/>
      </w:pPr>
      <w:r>
        <w:rPr>
          <w:rFonts w:ascii="Times New Roman"/>
          <w:b w:val="false"/>
          <w:i w:val="false"/>
          <w:color w:val="000000"/>
          <w:sz w:val="28"/>
        </w:rPr>
        <w:t>
      ВА – врачебная амбулатория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"Модернизация сельского здравоохранения"</w:t>
            </w:r>
          </w:p>
        </w:tc>
      </w:tr>
    </w:tbl>
    <w:bookmarkStart w:name="z127" w:id="119"/>
    <w:p>
      <w:pPr>
        <w:spacing w:after="0"/>
        <w:ind w:left="0"/>
        <w:jc w:val="left"/>
      </w:pPr>
      <w:r>
        <w:rPr>
          <w:rFonts w:ascii="Times New Roman"/>
          <w:b/>
          <w:i w:val="false"/>
          <w:color w:val="000000"/>
        </w:rPr>
        <w:t xml:space="preserve"> Задание на проектирование для разработки проектно-сметной документации объекта  "Строительство медицинского пункта" (рекомендуемое)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w:t>
            </w:r>
          </w:p>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20"/>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Этажность - 1;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25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со справочной – не менее 10 квадратных метров (далее –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аптечный пункт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среднего медицинского персонала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процедурная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физиотерапевтический кабинет – не менее 12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помещение для приготовления и хранения дезинфицирующих средств – не менее 4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хозяйственные и бытовые помещения – не менее 11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туалет (уборная) с раковиной (умывальником) для мытья рук – не менее 3 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Медицинские пункты следует размещать с учетом обслуживания населенных пунктов. Для населенных пунктов с численностью населения от 50 до 200 человек предусмотреть медицинские пункты с общей площадью не более 70 кв. м и следующим минимальным основным составом помещений: кабинет среднего медицинского персонала – не менее 10 кв. м, процедурная – не менее 10 кв. м, хозяйственно-бытовое помещение – не менее 8 кв. м.</w:t>
            </w:r>
          </w:p>
          <w:p>
            <w:pPr>
              <w:spacing w:after="20"/>
              <w:ind w:left="20"/>
              <w:jc w:val="both"/>
            </w:pPr>
            <w:r>
              <w:rPr>
                <w:rFonts w:ascii="Times New Roman"/>
                <w:b w:val="false"/>
                <w:i w:val="false"/>
                <w:color w:val="000000"/>
                <w:sz w:val="20"/>
              </w:rPr>
              <w:t>
 Площади помещений населенных пунктов с численностью населения свыше 200 человек принять в соответствии со сводом правил Республики Казахстан 3.02-113-2014 "Лечебно-профилактические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Выполнить в соответствии с требованиями нормативных правовых актов в строительстве, действующих на территории Республики Казахстан.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медицинского пункта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инженерному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3.02-13-2014 "Лечебно-профилактические учреждения" и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системы электроснабжения выполнить согласно техническим условиям, приказу Министра энергетики Республики Казахстан от </w:t>
            </w:r>
          </w:p>
          <w:p>
            <w:pPr>
              <w:spacing w:after="20"/>
              <w:ind w:left="20"/>
              <w:jc w:val="both"/>
            </w:pPr>
            <w:r>
              <w:rPr>
                <w:rFonts w:ascii="Times New Roman"/>
                <w:b w:val="false"/>
                <w:i w:val="false"/>
                <w:color w:val="000000"/>
                <w:sz w:val="20"/>
              </w:rPr>
              <w:t>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нормативно-технических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6"/>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bookmarkEnd w:id="1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эскиз благоустройства с пешеходными и подъездными путями, зонами отдыха и озеленением в соответствии с действующими нормами</w:t>
            </w:r>
            <w:r>
              <w:rPr>
                <w:rFonts w:ascii="Times New Roman"/>
                <w:b w:val="false"/>
                <w:i w:val="false"/>
                <w:color w:val="000000"/>
                <w:sz w:val="20"/>
              </w:rPr>
              <w:t>.</w:t>
            </w:r>
          </w:p>
        </w:tc>
      </w:tr>
    </w:tbl>
    <w:bookmarkStart w:name="z198" w:id="127"/>
    <w:p>
      <w:pPr>
        <w:spacing w:after="0"/>
        <w:ind w:left="0"/>
        <w:jc w:val="left"/>
      </w:pPr>
      <w:r>
        <w:rPr>
          <w:rFonts w:ascii="Times New Roman"/>
          <w:b/>
          <w:i w:val="false"/>
          <w:color w:val="000000"/>
        </w:rPr>
        <w:t xml:space="preserve"> Задание на проектирование для разработки проектно-сметной документации объекта  "Строительство фельдшерско-акушерского пункта" (рекомендуемое)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8"/>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28"/>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9"/>
          <w:p>
            <w:pPr>
              <w:spacing w:after="20"/>
              <w:ind w:left="20"/>
              <w:jc w:val="both"/>
            </w:pPr>
            <w:r>
              <w:rPr>
                <w:rFonts w:ascii="Times New Roman"/>
                <w:b w:val="false"/>
                <w:i w:val="false"/>
                <w:color w:val="000000"/>
                <w:sz w:val="20"/>
              </w:rPr>
              <w:t>
Этажность - 1;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40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фельдшера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акушерки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смотровая* – не менее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зоны ожидания*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процедурная – не менее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прививочный кабинет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стерилизационная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физиотерапии – не менее 20 кв.м (12+8);</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забора мокроты – не менее 6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информатизации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хозяйственно-бытовые помещения – не менее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 – не менее 3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сокращение площади с учетом технологических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кабинете фельдшера следует предусматривать аптечный пункт.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Фельдшерско-акушерские пункты следует размещать с учетом обслуживания одного или нескольких населенных пунктов.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Набор помещений согласно таблицам строительных норм Республики Казахстан 3.02-13-2014 "Лечебно-профилактические учреждения" (обязательное). </w:t>
            </w:r>
          </w:p>
          <w:p>
            <w:pPr>
              <w:spacing w:after="20"/>
              <w:ind w:left="20"/>
              <w:jc w:val="both"/>
            </w:pPr>
            <w:r>
              <w:rPr>
                <w:rFonts w:ascii="Times New Roman"/>
                <w:b w:val="false"/>
                <w:i w:val="false"/>
                <w:color w:val="000000"/>
                <w:sz w:val="20"/>
              </w:rPr>
              <w:t>
Площади помещений принять в соответствии со сводом правил Республики Казахстан 3.02-113-2014 "Лечебно-профилактические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1"/>
          <w:p>
            <w:pPr>
              <w:spacing w:after="20"/>
              <w:ind w:left="20"/>
              <w:jc w:val="both"/>
            </w:pPr>
            <w:r>
              <w:rPr>
                <w:rFonts w:ascii="Times New Roman"/>
                <w:b w:val="false"/>
                <w:i w:val="false"/>
                <w:color w:val="000000"/>
                <w:sz w:val="20"/>
              </w:rPr>
              <w:t>
Выполнить в соответствии требованиям нормативных правовых актов в строительстве, действующих на территории Республики Казахстан.</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2"/>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фельдшерско-акушерского пункта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требования к инженерному оборудованию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3"/>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 от 11 августа 2020 года № ҚР ДСМ-96/2020.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системы электроснабжения выполнить согласно техническим условиям, приказу Министра энергетики Республики Казахстан от 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нормативно-технических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эскиз благоустройства с пешеходными и подъездными путями, зонами отдыха и озеленением в соответствии с действующими нормами Республики Казахстан. </w:t>
            </w:r>
          </w:p>
        </w:tc>
      </w:tr>
    </w:tbl>
    <w:bookmarkStart w:name="z274" w:id="134"/>
    <w:p>
      <w:pPr>
        <w:spacing w:after="0"/>
        <w:ind w:left="0"/>
        <w:jc w:val="left"/>
      </w:pPr>
      <w:r>
        <w:rPr>
          <w:rFonts w:ascii="Times New Roman"/>
          <w:b/>
          <w:i w:val="false"/>
          <w:color w:val="000000"/>
        </w:rPr>
        <w:t xml:space="preserve"> Задание на проектирование для разработки проектно-сметной документации объекта "Строительство врачебной амбулатории" (рекомендуемое)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данных и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основных данных и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Общенационального плана мероприятий по реализации Послания Главы государства народу Казахстана от 1 сентября 2022 года "Справедливое государство. Единая нация. Благополучное общество", утвержденного Указом Президента Республики Казахстан от 13 сентября 2022 года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жилищно-гражданского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Стадийность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вариантной и конкурсной разработке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Конкурсных проработок не требуется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5"/>
          <w:p>
            <w:pPr>
              <w:spacing w:after="20"/>
              <w:ind w:left="20"/>
              <w:jc w:val="both"/>
            </w:pPr>
            <w:r>
              <w:rPr>
                <w:rFonts w:ascii="Times New Roman"/>
                <w:b w:val="false"/>
                <w:i w:val="false"/>
                <w:color w:val="000000"/>
                <w:sz w:val="20"/>
              </w:rPr>
              <w:t>
Проект разработать для районов с сейсмической активностью 7, 8 и 9 баллов и обычными геологическими условиями.</w:t>
            </w:r>
          </w:p>
          <w:bookmarkEnd w:id="135"/>
          <w:p>
            <w:pPr>
              <w:spacing w:after="20"/>
              <w:ind w:left="20"/>
              <w:jc w:val="both"/>
            </w:pPr>
            <w:r>
              <w:rPr>
                <w:rFonts w:ascii="Times New Roman"/>
                <w:b w:val="false"/>
                <w:i w:val="false"/>
                <w:color w:val="000000"/>
                <w:sz w:val="20"/>
              </w:rPr>
              <w:t>
При выборе строительных материалов, изделий и конструкций приоритетно включать продукцию отечественных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технико-экономические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6"/>
          <w:p>
            <w:pPr>
              <w:spacing w:after="20"/>
              <w:ind w:left="20"/>
              <w:jc w:val="both"/>
            </w:pPr>
            <w:r>
              <w:rPr>
                <w:rFonts w:ascii="Times New Roman"/>
                <w:b w:val="false"/>
                <w:i w:val="false"/>
                <w:color w:val="000000"/>
                <w:sz w:val="20"/>
              </w:rPr>
              <w:t>
Этажность - 1;</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пропускная способность до 50 посещений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помещений,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вестибюль*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гардероб для посетителей*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заведующего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кабинеты врачебного и доврачебного приема – 2 ×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акушерского приема -18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изолятор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процедурный кабинет – не менее 12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прививочный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картотеки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прививок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физиотерапевтического лечения – не менее 20 кв.м (12+8);</w:t>
            </w:r>
          </w:p>
          <w:p>
            <w:pPr>
              <w:spacing w:after="20"/>
              <w:ind w:left="20"/>
              <w:jc w:val="both"/>
            </w:pPr>
            <w:r>
              <w:rPr>
                <w:rFonts w:ascii="Times New Roman"/>
                <w:b w:val="false"/>
                <w:i w:val="false"/>
                <w:color w:val="000000"/>
                <w:sz w:val="20"/>
              </w:rPr>
              <w:t>
</w:t>
            </w:r>
            <w:r>
              <w:rPr>
                <w:rFonts w:ascii="Times New Roman"/>
                <w:b w:val="false"/>
                <w:i w:val="false"/>
                <w:color w:val="000000"/>
                <w:sz w:val="20"/>
              </w:rPr>
              <w:t>дневной стационар на 4 койко-места – 24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забора мокроты – не менее 6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для приема противотуберкулезных препаратов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архив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информатизации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временного хранения медицинских отходов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складское помещение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зал ЛФК не менее 20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туалеты для персонала и пациентов (1 прибор на 15 человек в мужском туалете и на 10 человек в женском);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для уборочного инвентаря – не менее 4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помещение для хранения дезинфицирующих средств – не менее 6 кв.м;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стерилизационная – не менее 8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для персонала –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сокращение площади с учетом технологических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холле врачебной амбулатории следует предусматривать аптечный пункт. </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 ожидания – 1,2 кв.м на каждого посетителя, одновременно находящихся в отделении, но не менее 10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Врачебную амбулаторию следует размещать с учетом обслуживания одного или нескольких населенных пунктов. </w:t>
            </w:r>
          </w:p>
          <w:p>
            <w:pPr>
              <w:spacing w:after="20"/>
              <w:ind w:left="20"/>
              <w:jc w:val="both"/>
            </w:pPr>
            <w:r>
              <w:rPr>
                <w:rFonts w:ascii="Times New Roman"/>
                <w:b w:val="false"/>
                <w:i w:val="false"/>
                <w:color w:val="000000"/>
                <w:sz w:val="20"/>
              </w:rPr>
              <w:t xml:space="preserve">
Площади помещения принять в соответствии со сводом правил Республики Казахстан 3.02-113-2014 "Лечебно-профилактические учреждения".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объемно-планировочному решению здания, условиям блокировки, отделке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7"/>
          <w:p>
            <w:pPr>
              <w:spacing w:after="20"/>
              <w:ind w:left="20"/>
              <w:jc w:val="both"/>
            </w:pPr>
            <w:r>
              <w:rPr>
                <w:rFonts w:ascii="Times New Roman"/>
                <w:b w:val="false"/>
                <w:i w:val="false"/>
                <w:color w:val="000000"/>
                <w:sz w:val="20"/>
              </w:rPr>
              <w:t xml:space="preserve">
Наружная отделка – в соответствии с эскизным проектом. При этом цветовое решение фасада предусмотреть единым для всех объектов.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применяемые отделочные материалы должны быть сертифицированы на безопасность в соответствии с санитарно-эпидемиологическими и гигиеническими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местах установки санитарных приборов, а также оборудования, эксплуатация которых связана с возможным увлажнением стен и перегородок, следует предусматривать отделку влагостойкими материалами на высоту не менее 1,6 метра от пола и на ширину не менее 0,2 метра от оборудования и приборов с каждой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помещениях с влажным режимом отделку стен предусмотреть из влагостойких материалов, устойчивых к обработке дезинфицирующими растворами, в том числе перекисью водорода.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Полы в санузлах и кладовых помещениях предусмотреть из керамогранитных плит.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Полы тамбуров у наружных входных дверей должны быть из антискользящих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кабинетах и административно-бытовых помещениях предусмотреть отделку стен водоэмульсионной окраской, устойчивой к влажной уборке с использованием дезинфицирующих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в помещениях выполнить в соответствии с действующими требованиями санитарно-гигиенических норм Республики Казахстан согласно назначениям помещений в соответствии со сводом правил Республики Казахстан 3.02-113-2014 "Лечебно-профилактические учреждения".</w:t>
            </w:r>
          </w:p>
          <w:p>
            <w:pPr>
              <w:spacing w:after="20"/>
              <w:ind w:left="20"/>
              <w:jc w:val="both"/>
            </w:pPr>
            <w:r>
              <w:rPr>
                <w:rFonts w:ascii="Times New Roman"/>
                <w:b w:val="false"/>
                <w:i w:val="false"/>
                <w:color w:val="000000"/>
                <w:sz w:val="20"/>
              </w:rPr>
              <w:t>
Все проектные решения согласовать с заказчиком.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конструктивным решениям и материалам несущих и ограждающих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8"/>
          <w:p>
            <w:pPr>
              <w:spacing w:after="20"/>
              <w:ind w:left="20"/>
              <w:jc w:val="both"/>
            </w:pPr>
            <w:r>
              <w:rPr>
                <w:rFonts w:ascii="Times New Roman"/>
                <w:b w:val="false"/>
                <w:i w:val="false"/>
                <w:color w:val="000000"/>
                <w:sz w:val="20"/>
              </w:rPr>
              <w:t>
Выполнить в соответствии требованиям нормативных правовых актов в строительстве, действующих на территории Республики Казахстан.</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Проектные решения выполнить на основании инженерных изысканий, особых условий (сейсмической активностью 7, 8 и 9 баллов и обычными геологическими условиями) и климатических условий для площадки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 – по расчету в соответствии с результатами инженерно-геологических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стены – кирпичные (согласно расчетам).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Утеплитель наружной отделки – минераловатный.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 – сборные (или монолитные) плиты железобетонные, монолитные железобетонные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 кирпичные (или гипсокартонные 2-х слойные);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Кровля – скатная (или плоская).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 – ПВХ по теплой серии, с остеклением согласно климатическим районам.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Двери наружные – металлические. </w:t>
            </w:r>
          </w:p>
          <w:p>
            <w:pPr>
              <w:spacing w:after="20"/>
              <w:ind w:left="20"/>
              <w:jc w:val="both"/>
            </w:pPr>
            <w:r>
              <w:rPr>
                <w:rFonts w:ascii="Times New Roman"/>
                <w:b w:val="false"/>
                <w:i w:val="false"/>
                <w:color w:val="000000"/>
                <w:sz w:val="20"/>
              </w:rPr>
              <w:t>
Двери внутренние –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медицинскому, технологическому и техническому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9"/>
          <w:p>
            <w:pPr>
              <w:spacing w:after="20"/>
              <w:ind w:left="20"/>
              <w:jc w:val="both"/>
            </w:pPr>
            <w:r>
              <w:rPr>
                <w:rFonts w:ascii="Times New Roman"/>
                <w:b w:val="false"/>
                <w:i w:val="false"/>
                <w:color w:val="000000"/>
                <w:sz w:val="20"/>
              </w:rPr>
              <w:t xml:space="preserve">
Все технологическое и техническое оборудование должно соответствовать нормативам и требованиям в соответствии с законодательством и разрешено к использованию и применению в Республике Казахстан.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комплектацию современным технологическим и техническим оборудованием, мебелью, офисной техникой, инвентарем и прочим оборудованием для надлежащего функционирования и эксплуатации врачебной амбулатории при полной производственной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чертежи раздела "Технологические решения" по расстановке технологического и технического оборудования, специального и медицинского оборудования, мебели, сантехнического оборудования и иного оборудования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Ввоз, реализация и эксплуатация оборудования должны осуществляться в соответствии с законодательством Республики Казахстан. Комплект поставки описывается с указанием точных технических характеристик оборудования и всей комплектации отдельно для каждого пункта (комплекта или единицы оборудования). Если иное не указано в технической спецификации, электрическое питание должно быть 220 В без дополнительных переходников или трансформаторов. </w:t>
            </w:r>
          </w:p>
          <w:p>
            <w:pPr>
              <w:spacing w:after="20"/>
              <w:ind w:left="20"/>
              <w:jc w:val="both"/>
            </w:pPr>
            <w:r>
              <w:rPr>
                <w:rFonts w:ascii="Times New Roman"/>
                <w:b w:val="false"/>
                <w:i w:val="false"/>
                <w:color w:val="000000"/>
                <w:sz w:val="20"/>
              </w:rPr>
              <w:t>
При выборе медицинского оборудования и изделий приоритетно включать продукцию отечественных производителей, а также учесть наличие сервисного центра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инженерному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0"/>
          <w:p>
            <w:pPr>
              <w:spacing w:after="20"/>
              <w:ind w:left="20"/>
              <w:jc w:val="both"/>
            </w:pPr>
            <w:r>
              <w:rPr>
                <w:rFonts w:ascii="Times New Roman"/>
                <w:b w:val="false"/>
                <w:i w:val="false"/>
                <w:color w:val="000000"/>
                <w:sz w:val="20"/>
              </w:rPr>
              <w:t xml:space="preserve">
Отопление, вентиляция и кондиционирование.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 отопления, вентиляции и кондиционирования выполнить согласно техническим условиям и строительным нормам Республики Казахстан 4.02-01-2011 "Отопление, вентиляция и кондиционирование воздуха", 3.02-13-2014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 Системы отопления, вентиляции и кондиционирования должны обеспечить нормируемые параметры микроклимата и воздушной среды в помещениях здания. Предусмотреть установку отопительных приборов с гладкой поверхностью, исключающую абсорбирование пыли и скопление микроорганизмов.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проектировании систем отопления предусматривается возможность поблочного их регулирования и отключения.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системах центрального отопления медицинских организаций в качестве теплоносителя используется вода. Использование других жидкостей и растворов в системах отопления не допускается.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регулировки теплоотдачи отопительных приборов предусмотреть на подводках к ним установку терморегуляторов.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 воздуха должны предусматриваться с учетом категорийности помещений по степени чистоты системы вентиляции и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Принадлежность отделений (помещений) к соответствующим зонам следует определять согласно требованиям санитарных правил "Санитарно-эпидемиологические требования к объектам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выборе, размещении и монтаже оборудования вентиляционных систем (систем кондиционирования воздуха) и воздуховодов следует соблюдать требования строительных норм Республики Казахстан 2.04-02-2011 "Защита от шума" и 4.02-01-2011 "Отопление, вентиляция и кондиционирование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 и канализация.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внутренних систем водоснабжения и канализации выполнить согласно техническим условиям и строительным нормам Республики Казахстан 4.01-01-2011 "Внутренний водопровод и канализация зданий и сооружений", своду правил Республики Казахстан 3.02-113-2014 "Лечебно-профилактические учреждения",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необходимо предусматривать хозяйственно-питьевое, противопожарное и горячее водоснабжение, водоотведение и водостоки, которые следует проектировать в соответствии со строительными нормами Республики Казахстан 4.01-01-2011 "Внутренний водопровод и канализация зданий и сооружений" и 4.01-03-2011 "Водоотведение. Наружные сети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хозяйственно-питьевого водоснабжения предусматриваются из материалов, допущенных к применению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воды хозяйственно-питьевого назначения должно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централизованного горячего водоснабжения устанавливаются водонагреватели непрерывного действия или иные приборы, обеспечивающие подогрев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централизованной системы водоотведения оборудуются септики.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Проект системы электроснабжения выполнить согласно техническим условиям, приказу Министра энергетики Республики Казахстан от 20 марта 2015 года № 230 "Об утверждении правил устройства электроустановок", строительным нормам Республики Казахстан 2.04-01-2011 "Естественное и искусственное освещение", 4.04-07-2013 "Электротехнические устройства" и другим нормативным правовым актам в строительстве, действующим на территории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электрическим шкафам: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Поставляемая продукция и комплектующие ее узлы должны быть новыми, серийного производства. Одновременно с товаром должны быть переданы габаритные и установочные чертежи, заводские паспорта с указанием даты выпуска, сертификаты качества и происхождения, инструкция по монтажу, схемы электрические принципиальные узлов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естественного и искусственного освещения должен соответствовать требованиям действующих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Светильники общего освещения, размещаемые на потолках, оснащаются сплошными (закрытыми) плафонами.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светильники должны быть с энергосберегающими источниками света, LED, индексом цветопередачи CRI &gt;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и рассеиватели светильников должны удовлетворять требованиям климатического исполнения, а также степени защиты IP54, с возможностью обработки дезинфицирующими средствами. Корпус светильника должен иметь высокую стойкость к механическим воздействиям.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лечебно-профилактических учреждениях следует предусматривать аварийное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типа светильников следует производить с учетом характера их светораспределения, экономической эффективности 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автоматическое включение и выключение наружного освещения. Предусмотреть системы молниезащиты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Слаботочные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слаботочных систем (телефонизацию, Интернет, пожарную сигнализацию) выполнить согласно техническим условиям и другим нормативным правовым актам в строительстве, действующим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учреждения и аптеки должны быть обеспечены внешней и местной телефонной связью. Также должны быть обеспечены структурированной кабельной системой, которая включает в себя систему телекоммуникационных кабелей, соединительных шнуров и коммутационного оборудования для подключения телефонных аппаратов, медицинского оборудования и других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автоматической пожарной сигнализации должно выполняться в соответствии с требованиями строительных норм Республики Казахстан 2.02-02-2019 и свода правил Республики Казахстан 2.02-102-2012* "Пожарная автоматика зданий и сооружений", строительных норм Республики Казахстан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и технического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Проектирование систем охранной сигнализации, оповещения людей о пожаре должно выполняться в соответствии с требованиями действующих нормативных документов.</w:t>
            </w:r>
          </w:p>
          <w:p>
            <w:pPr>
              <w:spacing w:after="20"/>
              <w:ind w:left="20"/>
              <w:jc w:val="both"/>
            </w:pPr>
            <w:r>
              <w:rPr>
                <w:rFonts w:ascii="Times New Roman"/>
                <w:b w:val="false"/>
                <w:i w:val="false"/>
                <w:color w:val="000000"/>
                <w:sz w:val="20"/>
              </w:rPr>
              <w:t>
Проектирование слаботочных устройств в лечебно-профилактических учреждениях должно выполняться в соответствии с требованиями действующих нормативных-технических документов к общественным зданиям.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инженерные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наружных инженерных сетей. Будет предоставлено заказчиком (акиматами регионов).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объем разработки организации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условий жизнедеятельности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обеспечить доступность для маломобильных групп населения в соответствии с действующим законодательством Республики Казахстан (свод правил Республики Казахстан 3.06-101-2012 "Проектирование зданий и сооружений с учетом доступности для маломобильных групп населения. Общие положения", строительные нормы Республики Казахстан 3.06-01-2011 "Доступность зданий и сооружений для маломобильных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благоустройству площадки и малым архитектурным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эскиз благоустройства с пешеходными и подъездными путями, зонами отдыха и озеленением в соответствии с действующими нормами.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национальному проекту </w:t>
            </w:r>
            <w:r>
              <w:br/>
            </w:r>
            <w:r>
              <w:rPr>
                <w:rFonts w:ascii="Times New Roman"/>
                <w:b w:val="false"/>
                <w:i w:val="false"/>
                <w:color w:val="000000"/>
                <w:sz w:val="20"/>
              </w:rPr>
              <w:t xml:space="preserve">"Модернизация сельского здравоохранения" </w:t>
            </w:r>
          </w:p>
        </w:tc>
      </w:tr>
    </w:tbl>
    <w:bookmarkStart w:name="z378" w:id="141"/>
    <w:p>
      <w:pPr>
        <w:spacing w:after="0"/>
        <w:ind w:left="0"/>
        <w:jc w:val="left"/>
      </w:pPr>
      <w:r>
        <w:rPr>
          <w:rFonts w:ascii="Times New Roman"/>
          <w:b/>
          <w:i w:val="false"/>
          <w:color w:val="000000"/>
        </w:rPr>
        <w:t xml:space="preserve"> </w:t>
      </w:r>
      <w:r>
        <w:rPr>
          <w:rFonts w:ascii="Times New Roman"/>
          <w:b/>
          <w:i w:val="false"/>
          <w:color w:val="000000"/>
        </w:rPr>
        <w:t xml:space="preserve">План </w:t>
      </w:r>
      <w:r>
        <w:br/>
      </w:r>
      <w:r>
        <w:rPr>
          <w:rFonts w:ascii="Times New Roman"/>
          <w:b/>
          <w:i w:val="false"/>
          <w:color w:val="000000"/>
        </w:rPr>
        <w:t xml:space="preserve">по модернизации многопрофильных </w:t>
      </w:r>
      <w:r>
        <w:br/>
      </w:r>
      <w:r>
        <w:rPr>
          <w:rFonts w:ascii="Times New Roman"/>
          <w:b/>
          <w:i w:val="false"/>
          <w:color w:val="000000"/>
        </w:rPr>
        <w:t>центральных районных больниц</w:t>
      </w:r>
    </w:p>
    <w:bookmarkEnd w:id="141"/>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29.04.2025 </w:t>
      </w:r>
      <w:r>
        <w:rPr>
          <w:rFonts w:ascii="Times New Roman"/>
          <w:b w:val="false"/>
          <w:i w:val="false"/>
          <w:color w:val="ff0000"/>
          <w:sz w:val="28"/>
        </w:rPr>
        <w:t>№ 288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(дооснащение медицинским оборудованием и проведение капитальных ремонтов/ реконструкций/ строительство пристроек)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Атбасарская многопрофильная межрайонная больница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Степногорская многопрофильная городская больница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Тайыншинская многопрофильная межрайонная больница Северо-Казахстанской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Межрайонная больница Аягозского района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Межрайонная больница района Алтай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Панфиловская межрайонная многопрофильная больница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Карасайская многопрофильная межрайонная больница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Енбекшиказахская межрайонная многопрофильная больница Алматинской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Шиелийская межрайонная больница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Казалинская межрайонная больница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Жанакорганская межрайонная больница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Аральская межрайонная больница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Планируемые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 больница Урджарского района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Житикаринская районная больница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Аркалыкская региональная больница Костанайской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Меркенская центральная районная больница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Шуская городская больница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Таласская центральная районная больница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Хромтауская районная больница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Мугалжарская районная больница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Шалкарская районная больница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больница города Балхаша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больница города Темиртау Карагандинской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 Жанааркинского района области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Бейнеуская центральная районная больница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Курмангазийская районная больница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Сайрамская центральная районная больница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Сарыагашская центральная районная больница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Жетысайская центральная районная больница Туркестанской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Ордабасинская центральная районная больница Туркестанской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Казталовская районная больница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Бурлинская центральная районная больница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пилотному национальному</w:t>
            </w:r>
            <w:r>
              <w:br/>
            </w:r>
            <w:r>
              <w:rPr>
                <w:rFonts w:ascii="Times New Roman"/>
                <w:b w:val="false"/>
                <w:i w:val="false"/>
                <w:color w:val="000000"/>
                <w:sz w:val="20"/>
              </w:rPr>
              <w:t>проекту "Модернизация</w:t>
            </w:r>
            <w:r>
              <w:br/>
            </w:r>
            <w:r>
              <w:rPr>
                <w:rFonts w:ascii="Times New Roman"/>
                <w:b w:val="false"/>
                <w:i w:val="false"/>
                <w:color w:val="000000"/>
                <w:sz w:val="20"/>
              </w:rPr>
              <w:t>сельского здравоохранения"</w:t>
            </w:r>
          </w:p>
        </w:tc>
      </w:tr>
    </w:tbl>
    <w:bookmarkStart w:name="z371" w:id="142"/>
    <w:p>
      <w:pPr>
        <w:spacing w:after="0"/>
        <w:ind w:left="0"/>
        <w:jc w:val="left"/>
      </w:pPr>
      <w:r>
        <w:rPr>
          <w:rFonts w:ascii="Times New Roman"/>
          <w:b/>
          <w:i w:val="false"/>
          <w:color w:val="000000"/>
        </w:rPr>
        <w:t xml:space="preserve"> Базовые параметры для реализации государственно-частного партнерства в рамках национального проекта "Модернизация сельского здравоохранения"</w:t>
      </w:r>
    </w:p>
    <w:bookmarkEnd w:id="142"/>
    <w:p>
      <w:pPr>
        <w:spacing w:after="0"/>
        <w:ind w:left="0"/>
        <w:jc w:val="both"/>
      </w:pPr>
      <w:r>
        <w:rPr>
          <w:rFonts w:ascii="Times New Roman"/>
          <w:b w:val="false"/>
          <w:i w:val="false"/>
          <w:color w:val="ff0000"/>
          <w:sz w:val="28"/>
        </w:rPr>
        <w:t xml:space="preserve">
      Сноска. Пилотный национальный проект дополнен приложением 4 в соответствии с постановлением Правительства РК от 25.03.2024 </w:t>
      </w:r>
      <w:r>
        <w:rPr>
          <w:rFonts w:ascii="Times New Roman"/>
          <w:b w:val="false"/>
          <w:i w:val="false"/>
          <w:color w:val="ff0000"/>
          <w:sz w:val="28"/>
        </w:rPr>
        <w:t>№ 221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оказания медицинской помощи сельскому населению посредством реализации проекта (-ов) ГЧП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сельских населенных пунктов услугами ПМСП в рамках договора (-ов) ГЧП.</w:t>
            </w:r>
          </w:p>
          <w:p>
            <w:pPr>
              <w:spacing w:after="20"/>
              <w:ind w:left="20"/>
              <w:jc w:val="both"/>
            </w:pPr>
            <w:r>
              <w:rPr>
                <w:rFonts w:ascii="Times New Roman"/>
                <w:b w:val="false"/>
                <w:i w:val="false"/>
                <w:color w:val="000000"/>
                <w:sz w:val="20"/>
              </w:rPr>
              <w:t>
Расширение применения механизма ГЧП в развитии инфраструктуры в сфере здравоохранения.</w:t>
            </w:r>
          </w:p>
          <w:p>
            <w:pPr>
              <w:spacing w:after="20"/>
              <w:ind w:left="20"/>
              <w:jc w:val="both"/>
            </w:pPr>
            <w:r>
              <w:rPr>
                <w:rFonts w:ascii="Times New Roman"/>
                <w:b w:val="false"/>
                <w:i w:val="false"/>
                <w:color w:val="000000"/>
                <w:sz w:val="20"/>
              </w:rPr>
              <w:t>
Объединение ресурсов МИО и частного партнера для повышения доступности и качества услуг ПМСП.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выплаты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государственного заказа в виде закупа услуг в рамках ГОБМП и (или) в системе ОСМС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частного партнера и заключение с ним договора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по определению частного партнера и заключение договора ГЧП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участников проекта ГЧП в инвестиционном периоде осуществляется в следующем порядке:</w:t>
            </w:r>
          </w:p>
          <w:p>
            <w:pPr>
              <w:spacing w:after="20"/>
              <w:ind w:left="20"/>
              <w:jc w:val="both"/>
            </w:pPr>
            <w:r>
              <w:rPr>
                <w:rFonts w:ascii="Times New Roman"/>
                <w:b w:val="false"/>
                <w:i w:val="false"/>
                <w:color w:val="000000"/>
                <w:sz w:val="20"/>
              </w:rPr>
              <w:t>
МИО:</w:t>
            </w:r>
          </w:p>
          <w:p>
            <w:pPr>
              <w:spacing w:after="20"/>
              <w:ind w:left="20"/>
              <w:jc w:val="both"/>
            </w:pPr>
            <w:r>
              <w:rPr>
                <w:rFonts w:ascii="Times New Roman"/>
                <w:b w:val="false"/>
                <w:i w:val="false"/>
                <w:color w:val="000000"/>
                <w:sz w:val="20"/>
              </w:rPr>
              <w:t>
осуществляет проведение конкурса по определению частного партнера;</w:t>
            </w:r>
          </w:p>
          <w:p>
            <w:pPr>
              <w:spacing w:after="20"/>
              <w:ind w:left="20"/>
              <w:jc w:val="both"/>
            </w:pPr>
            <w:r>
              <w:rPr>
                <w:rFonts w:ascii="Times New Roman"/>
                <w:b w:val="false"/>
                <w:i w:val="false"/>
                <w:color w:val="000000"/>
                <w:sz w:val="20"/>
              </w:rPr>
              <w:t>
определяет частного партнера и заключает договор ГЧП;</w:t>
            </w:r>
          </w:p>
          <w:p>
            <w:pPr>
              <w:spacing w:after="20"/>
              <w:ind w:left="20"/>
              <w:jc w:val="both"/>
            </w:pPr>
            <w:r>
              <w:rPr>
                <w:rFonts w:ascii="Times New Roman"/>
                <w:b w:val="false"/>
                <w:i w:val="false"/>
                <w:color w:val="000000"/>
                <w:sz w:val="20"/>
              </w:rPr>
              <w:t>
предоставляет частному партнеру право временного безвозмездного землепользования на земельный участок под объект ПМСП в соответствии с законодательством Республики Казахстан (при необходимости);</w:t>
            </w:r>
          </w:p>
          <w:p>
            <w:pPr>
              <w:spacing w:after="20"/>
              <w:ind w:left="20"/>
              <w:jc w:val="both"/>
            </w:pPr>
            <w:r>
              <w:rPr>
                <w:rFonts w:ascii="Times New Roman"/>
                <w:b w:val="false"/>
                <w:i w:val="false"/>
                <w:color w:val="000000"/>
                <w:sz w:val="20"/>
              </w:rPr>
              <w:t>
обеспечивает подведение наружной инженерной сети до границ земельного участка (при необходимости);</w:t>
            </w:r>
          </w:p>
          <w:p>
            <w:pPr>
              <w:spacing w:after="20"/>
              <w:ind w:left="20"/>
              <w:jc w:val="both"/>
            </w:pPr>
            <w:r>
              <w:rPr>
                <w:rFonts w:ascii="Times New Roman"/>
                <w:b w:val="false"/>
                <w:i w:val="false"/>
                <w:color w:val="000000"/>
                <w:sz w:val="20"/>
              </w:rPr>
              <w:t>
осуществляет контроль и мониторинг исполнения договора ГЧП.</w:t>
            </w:r>
          </w:p>
          <w:p>
            <w:pPr>
              <w:spacing w:after="20"/>
              <w:ind w:left="20"/>
              <w:jc w:val="both"/>
            </w:pPr>
            <w:r>
              <w:rPr>
                <w:rFonts w:ascii="Times New Roman"/>
                <w:b w:val="false"/>
                <w:i w:val="false"/>
                <w:color w:val="000000"/>
                <w:sz w:val="20"/>
              </w:rPr>
              <w:t>
Частный партнер:</w:t>
            </w:r>
          </w:p>
          <w:p>
            <w:pPr>
              <w:spacing w:after="20"/>
              <w:ind w:left="20"/>
              <w:jc w:val="both"/>
            </w:pPr>
            <w:r>
              <w:rPr>
                <w:rFonts w:ascii="Times New Roman"/>
                <w:b w:val="false"/>
                <w:i w:val="false"/>
                <w:color w:val="000000"/>
                <w:sz w:val="20"/>
              </w:rPr>
              <w:t>
1) участвует в конкурсе по определению частного партнера и по итогам конкурса заключает договор ГЧП;</w:t>
            </w:r>
          </w:p>
          <w:p>
            <w:pPr>
              <w:spacing w:after="20"/>
              <w:ind w:left="20"/>
              <w:jc w:val="both"/>
            </w:pPr>
            <w:r>
              <w:rPr>
                <w:rFonts w:ascii="Times New Roman"/>
                <w:b w:val="false"/>
                <w:i w:val="false"/>
                <w:color w:val="000000"/>
                <w:sz w:val="20"/>
              </w:rPr>
              <w:t>
2) осуществляет создание устойчиво и надежно функционирующего объекта здравоохранения/сети объектов здравоохранения, представляющего (-их) собой медицинский пункт (-ы) и (или) фельдшерско-акушерский (-ие) пункт (-ы) и (или) врачебную (-ые) амбулаторию (-ии);</w:t>
            </w:r>
          </w:p>
          <w:p>
            <w:pPr>
              <w:spacing w:after="20"/>
              <w:ind w:left="20"/>
              <w:jc w:val="both"/>
            </w:pPr>
            <w:r>
              <w:rPr>
                <w:rFonts w:ascii="Times New Roman"/>
                <w:b w:val="false"/>
                <w:i w:val="false"/>
                <w:color w:val="000000"/>
                <w:sz w:val="20"/>
              </w:rPr>
              <w:t xml:space="preserve">
3) заключает договоры закупа услуг в рамках ГОБМП и (или) в системе ОСМС; </w:t>
            </w:r>
          </w:p>
          <w:p>
            <w:pPr>
              <w:spacing w:after="20"/>
              <w:ind w:left="20"/>
              <w:jc w:val="both"/>
            </w:pPr>
            <w:r>
              <w:rPr>
                <w:rFonts w:ascii="Times New Roman"/>
                <w:b w:val="false"/>
                <w:i w:val="false"/>
                <w:color w:val="000000"/>
                <w:sz w:val="20"/>
              </w:rPr>
              <w:t>
4) предоставляет государственному партнеру информацию по исполнению договора ГЧП.</w:t>
            </w:r>
          </w:p>
          <w:p>
            <w:pPr>
              <w:spacing w:after="20"/>
              <w:ind w:left="20"/>
              <w:jc w:val="both"/>
            </w:pPr>
            <w:r>
              <w:rPr>
                <w:rFonts w:ascii="Times New Roman"/>
                <w:b w:val="false"/>
                <w:i w:val="false"/>
                <w:color w:val="000000"/>
                <w:sz w:val="20"/>
              </w:rPr>
              <w:t>
Взаимодействие участников проекта ГЧП в эксплуатационном периоде осуществляется в следующем порядке:</w:t>
            </w:r>
          </w:p>
          <w:p>
            <w:pPr>
              <w:spacing w:after="20"/>
              <w:ind w:left="20"/>
              <w:jc w:val="both"/>
            </w:pPr>
            <w:r>
              <w:rPr>
                <w:rFonts w:ascii="Times New Roman"/>
                <w:b w:val="false"/>
                <w:i w:val="false"/>
                <w:color w:val="000000"/>
                <w:sz w:val="20"/>
              </w:rPr>
              <w:t>
МИО осуществляет контроль и мониторинг исполнения договора ГЧП;</w:t>
            </w:r>
          </w:p>
          <w:p>
            <w:pPr>
              <w:spacing w:after="20"/>
              <w:ind w:left="20"/>
              <w:jc w:val="both"/>
            </w:pPr>
            <w:r>
              <w:rPr>
                <w:rFonts w:ascii="Times New Roman"/>
                <w:b w:val="false"/>
                <w:i w:val="false"/>
                <w:color w:val="000000"/>
                <w:sz w:val="20"/>
              </w:rPr>
              <w:t>
частный партнер:</w:t>
            </w:r>
          </w:p>
          <w:p>
            <w:pPr>
              <w:spacing w:after="20"/>
              <w:ind w:left="20"/>
              <w:jc w:val="both"/>
            </w:pPr>
            <w:r>
              <w:rPr>
                <w:rFonts w:ascii="Times New Roman"/>
                <w:b w:val="false"/>
                <w:i w:val="false"/>
                <w:color w:val="000000"/>
                <w:sz w:val="20"/>
              </w:rPr>
              <w:t>
1) осуществляет (обеспечивает) услуги ПМСП в соответствии с законодательством Республики Казахстан;</w:t>
            </w:r>
          </w:p>
          <w:p>
            <w:pPr>
              <w:spacing w:after="20"/>
              <w:ind w:left="20"/>
              <w:jc w:val="both"/>
            </w:pPr>
            <w:r>
              <w:rPr>
                <w:rFonts w:ascii="Times New Roman"/>
                <w:b w:val="false"/>
                <w:i w:val="false"/>
                <w:color w:val="000000"/>
                <w:sz w:val="20"/>
              </w:rPr>
              <w:t>
2) осуществляет надлежащее содержание и управление объектом здравоохранения и создает безопасные и комфортные условия пребывания в 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выгод от реализации проекта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 в виде обеспечения населения сельских населенных пунктов услугами ПМСП.</w:t>
            </w:r>
          </w:p>
          <w:p>
            <w:pPr>
              <w:spacing w:after="20"/>
              <w:ind w:left="20"/>
              <w:jc w:val="both"/>
            </w:pPr>
            <w:r>
              <w:rPr>
                <w:rFonts w:ascii="Times New Roman"/>
                <w:b w:val="false"/>
                <w:i w:val="false"/>
                <w:color w:val="000000"/>
                <w:sz w:val="20"/>
              </w:rPr>
              <w:t>
Население – в виде получения услуг ПМСП.</w:t>
            </w:r>
          </w:p>
          <w:p>
            <w:pPr>
              <w:spacing w:after="20"/>
              <w:ind w:left="20"/>
              <w:jc w:val="both"/>
            </w:pPr>
            <w:r>
              <w:rPr>
                <w:rFonts w:ascii="Times New Roman"/>
                <w:b w:val="false"/>
                <w:i w:val="false"/>
                <w:color w:val="000000"/>
                <w:sz w:val="20"/>
              </w:rPr>
              <w:t>
Частный партнер – в виде получения доходов, в том числе в рамках ГОБМП и в системе ОСМС.</w:t>
            </w:r>
          </w:p>
        </w:tc>
      </w:tr>
    </w:tbl>
    <w:bookmarkStart w:name="z372" w:id="143"/>
    <w:p>
      <w:pPr>
        <w:spacing w:after="0"/>
        <w:ind w:left="0"/>
        <w:jc w:val="both"/>
      </w:pPr>
      <w:r>
        <w:rPr>
          <w:rFonts w:ascii="Times New Roman"/>
          <w:b w:val="false"/>
          <w:i w:val="false"/>
          <w:color w:val="000000"/>
          <w:sz w:val="28"/>
        </w:rPr>
        <w:t>
      Примечание: расшифровка аббревиатур:</w:t>
      </w:r>
    </w:p>
    <w:bookmarkEnd w:id="143"/>
    <w:bookmarkStart w:name="z373" w:id="144"/>
    <w:p>
      <w:pPr>
        <w:spacing w:after="0"/>
        <w:ind w:left="0"/>
        <w:jc w:val="both"/>
      </w:pPr>
      <w:r>
        <w:rPr>
          <w:rFonts w:ascii="Times New Roman"/>
          <w:b w:val="false"/>
          <w:i w:val="false"/>
          <w:color w:val="000000"/>
          <w:sz w:val="28"/>
        </w:rPr>
        <w:t>
      МИО – местный исполнительный орган;</w:t>
      </w:r>
    </w:p>
    <w:bookmarkEnd w:id="144"/>
    <w:bookmarkStart w:name="z374" w:id="145"/>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145"/>
    <w:bookmarkStart w:name="z375" w:id="146"/>
    <w:p>
      <w:pPr>
        <w:spacing w:after="0"/>
        <w:ind w:left="0"/>
        <w:jc w:val="both"/>
      </w:pPr>
      <w:r>
        <w:rPr>
          <w:rFonts w:ascii="Times New Roman"/>
          <w:b w:val="false"/>
          <w:i w:val="false"/>
          <w:color w:val="000000"/>
          <w:sz w:val="28"/>
        </w:rPr>
        <w:t>
      ГЧП – государственно-частное партнерство;</w:t>
      </w:r>
    </w:p>
    <w:bookmarkEnd w:id="146"/>
    <w:bookmarkStart w:name="z376" w:id="147"/>
    <w:p>
      <w:pPr>
        <w:spacing w:after="0"/>
        <w:ind w:left="0"/>
        <w:jc w:val="both"/>
      </w:pPr>
      <w:r>
        <w:rPr>
          <w:rFonts w:ascii="Times New Roman"/>
          <w:b w:val="false"/>
          <w:i w:val="false"/>
          <w:color w:val="000000"/>
          <w:sz w:val="28"/>
        </w:rPr>
        <w:t>
      ПМСП – первичная медико-санитарная помощь;</w:t>
      </w:r>
    </w:p>
    <w:bookmarkEnd w:id="147"/>
    <w:bookmarkStart w:name="z377" w:id="148"/>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