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86df" w14:textId="6e58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2022 года № 531.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162,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инженерно-технического проектирования, за исключением объектов атомной промышленности и атомной энергетики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деятельность, указанная в пункте 162, ограничивается: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проектами юридических лиц, пятьдесят и более процентов акций (долей участия в уставном капитале) которых прямо или косвенно принадлежат государству,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сервисными соглашениями/соглашениями об оказании услуг на бесприбыльной и безубыточной основе в соответствии с соглашениями о разделе продукции (СРП) (Северо-Каспийский и Карачаганакский проекты) и контрактом на недропользование (Тенгизский проект) с прямым или косвенным участием Национальной компании.".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