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7c01" w14:textId="5e37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2014 года № 1219 "Об утверждении Правил принятия, оценки, хранения, возврата, реализации, обращения взыскания на предмет залога и обращения залога в доход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1219 "Об утверждении Правил принятия, оценки, хранения, возврата, реализации, обращения взыскания на предмет залога и обращения залога в доход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принятия, оценки, хранения, возврата, реализации, обращения взыскания на предмет залога и обращения залога в доход государства,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1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драгоценностям относятся драгоценные металлы (золото, серебро, платина и металлы платиновой группы (палладий, иридий, родий, рутений и осмий) в любом состоянии и виде) и драгоценные камни (природные алмазы, изумруды, рубины, сапфиры и александриты, а также природный жемчуг в сыром (естественном) и обработанном виде). К драгоценным камням приравниваются уникальные янтарные образования.";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движимого имущества – деньги, ценности, транспортные средства и ценные бумаги.";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принятия залога";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залогодателем выступает юридическое лицо, орган проверяет его на предмет регистрации по учетам органов юстиции или Государственной корпорации "Правительство для граждан".";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необходимости документы, определяющие стоимость залогового имущества, могут выдаваться уполномоченными органами либо в порядке, установленном законодательством об оценочной деятельности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ценных бумаг определяется в соответствии с законодательством о рынке ценных бумаг на момент внесения залога.";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передаче в залог ценных бумаг залогодатель также представляет содержащиеся в Национальном реестре бизнес-идентификационных номеров сведения из налоговых органов о том, что эмитент ценных бумаг не находится в процессе ликвидации и не прекратил свою деятельность.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Протокол о принятии залога приобщается к материалам дела, а залогодателю вручается заверенная копия протокола. Если залогодателей несколько, то заверенная должностным лицом копия протокола вручается каждому из них.";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хранения залога";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ценные бумаги – в органе, который принял их в качестве залога, либо банках второго уровня;";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возврата залога";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Возврат залога в случаях, предусмотренных подпунктами 1), 3) и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на основании постановления органа досудебного расследования или следственного судьи при отмене или изменении меры пресечения в виде залога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заявлению прилагаются: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личность залогодателя;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из банка второго уровня о наличии текущего счета;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приговора суда или постановления следственного судьи об отмене или изменении меры пресечения, постановления лица, осуществляющего досудебное расследование, об отмене или изменении меры пресечения, согласованного с прокурором, либо постановления о прекращении уголовного дела или уголовного преследования в отношении отдельных подозреваемых, утвержденного прокурором.";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реализации, обращения взыскания на предмет залога и обращения залога в доход государства".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