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1927" w14:textId="45f1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агропромышленного комплекса Республики Казахстан на 2021 – 2030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2021 года № 960.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агропромышленного комплекса Республики Казахстан на 2021 – 2030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сельского хозяйства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2021 года № 960</w:t>
            </w:r>
          </w:p>
        </w:tc>
      </w:tr>
    </w:tbl>
    <w:bookmarkStart w:name="z12" w:id="7"/>
    <w:p>
      <w:pPr>
        <w:spacing w:after="0"/>
        <w:ind w:left="0"/>
        <w:jc w:val="left"/>
      </w:pPr>
      <w:r>
        <w:rPr>
          <w:rFonts w:ascii="Times New Roman"/>
          <w:b/>
          <w:i w:val="false"/>
          <w:color w:val="000000"/>
        </w:rPr>
        <w:t xml:space="preserve"> Концепция развития агропромышленного комплекса Республики Казахстан на 2021 – 2030 годы</w:t>
      </w:r>
    </w:p>
    <w:bookmarkEnd w:id="7"/>
    <w:bookmarkStart w:name="z13" w:id="8"/>
    <w:p>
      <w:pPr>
        <w:spacing w:after="0"/>
        <w:ind w:left="0"/>
        <w:jc w:val="both"/>
      </w:pPr>
      <w:r>
        <w:rPr>
          <w:rFonts w:ascii="Times New Roman"/>
          <w:b w:val="false"/>
          <w:i w:val="false"/>
          <w:color w:val="000000"/>
          <w:sz w:val="28"/>
        </w:rPr>
        <w:t xml:space="preserve">
      Раздел 1. </w:t>
      </w:r>
      <w:r>
        <w:rPr>
          <w:rFonts w:ascii="Times New Roman"/>
          <w:b w:val="false"/>
          <w:i w:val="false"/>
          <w:color w:val="000000"/>
          <w:sz w:val="28"/>
        </w:rPr>
        <w:t>Паспорт</w:t>
      </w:r>
      <w:r>
        <w:rPr>
          <w:rFonts w:ascii="Times New Roman"/>
          <w:b w:val="false"/>
          <w:i w:val="false"/>
          <w:color w:val="000000"/>
          <w:sz w:val="28"/>
        </w:rPr>
        <w:t xml:space="preserve"> (основные параметры)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Используемые термины и определения</w:t>
      </w:r>
    </w:p>
    <w:bookmarkStart w:name="z15" w:id="9"/>
    <w:p>
      <w:pPr>
        <w:spacing w:after="0"/>
        <w:ind w:left="0"/>
        <w:jc w:val="both"/>
      </w:pPr>
      <w:r>
        <w:rPr>
          <w:rFonts w:ascii="Times New Roman"/>
          <w:b w:val="false"/>
          <w:i w:val="false"/>
          <w:color w:val="000000"/>
          <w:sz w:val="28"/>
        </w:rPr>
        <w:t xml:space="preserve">
      Раздел 2. </w:t>
      </w:r>
      <w:r>
        <w:rPr>
          <w:rFonts w:ascii="Times New Roman"/>
          <w:b w:val="false"/>
          <w:i w:val="false"/>
          <w:color w:val="000000"/>
          <w:sz w:val="28"/>
        </w:rPr>
        <w:t>Анализ текущей ситуации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Растениеводство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Животноводство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Переработка сельскохозяйственной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Развитие рынков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Техническое оснащение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Сельскохозяйственная кооперация и инфраструктура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Научное и кадровое обеспечение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Земельные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Цифровизация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Государственная поддержка</w:t>
      </w:r>
    </w:p>
    <w:bookmarkStart w:name="z26" w:id="10"/>
    <w:p>
      <w:pPr>
        <w:spacing w:after="0"/>
        <w:ind w:left="0"/>
        <w:jc w:val="both"/>
      </w:pPr>
      <w:r>
        <w:rPr>
          <w:rFonts w:ascii="Times New Roman"/>
          <w:b w:val="false"/>
          <w:i w:val="false"/>
          <w:color w:val="000000"/>
          <w:sz w:val="28"/>
        </w:rPr>
        <w:t xml:space="preserve">
      Раздел 3. </w:t>
      </w:r>
      <w:r>
        <w:rPr>
          <w:rFonts w:ascii="Times New Roman"/>
          <w:b w:val="false"/>
          <w:i w:val="false"/>
          <w:color w:val="000000"/>
          <w:sz w:val="28"/>
        </w:rPr>
        <w:t>Обзор международного опыта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Растениеводство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Животноводство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Переработка сельскохозяйственной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Развитие рынков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Сельскохозяйственная кооперация и инфраструктура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Научное и кадровое обеспечение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Земельные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Цифровизация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Государственная поддержка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Растениеводство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Животноводство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Переработка сельскохозяйственной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Развитие рынков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Техническое оснащение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Сельскохозяйственная кооперация, инфраструктура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Научное и кадровое обеспечение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Земельные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Цифровизация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4.10. Государственная поддержка</w:t>
      </w:r>
    </w:p>
    <w:bookmarkStart w:name="z47" w:id="11"/>
    <w:p>
      <w:pPr>
        <w:spacing w:after="0"/>
        <w:ind w:left="0"/>
        <w:jc w:val="both"/>
      </w:pPr>
      <w:r>
        <w:rPr>
          <w:rFonts w:ascii="Times New Roman"/>
          <w:b w:val="false"/>
          <w:i w:val="false"/>
          <w:color w:val="000000"/>
          <w:sz w:val="28"/>
        </w:rPr>
        <w:t xml:space="preserve">
      Раздел 5. </w:t>
      </w:r>
      <w:r>
        <w:rPr>
          <w:rFonts w:ascii="Times New Roman"/>
          <w:b w:val="false"/>
          <w:i w:val="false"/>
          <w:color w:val="000000"/>
          <w:sz w:val="28"/>
        </w:rPr>
        <w:t>Основные принципы и подходы развития</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Растениеводство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Животноводство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Переработка сельскохозяйственной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Развитие рынков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Техническое оснащение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Сельскохозяйственная кооперация, инфраструктура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Научное и кадровое обеспечение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Земельные ресурсы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Цифровизация агропромышленного комплекса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 Государственная поддержка</w:t>
      </w:r>
    </w:p>
    <w:bookmarkStart w:name="z58" w:id="12"/>
    <w:p>
      <w:pPr>
        <w:spacing w:after="0"/>
        <w:ind w:left="0"/>
        <w:jc w:val="both"/>
      </w:pPr>
      <w:r>
        <w:rPr>
          <w:rFonts w:ascii="Times New Roman"/>
          <w:b w:val="false"/>
          <w:i w:val="false"/>
          <w:color w:val="000000"/>
          <w:sz w:val="28"/>
        </w:rPr>
        <w:t xml:space="preserve">
      Раздел 6. </w:t>
      </w:r>
      <w:r>
        <w:rPr>
          <w:rFonts w:ascii="Times New Roman"/>
          <w:b w:val="false"/>
          <w:i w:val="false"/>
          <w:color w:val="000000"/>
          <w:sz w:val="28"/>
        </w:rPr>
        <w:t>Целевые индикаторы и ожидаемые результаты</w:t>
      </w:r>
    </w:p>
    <w:bookmarkEnd w:id="12"/>
    <w:bookmarkStart w:name="z59" w:id="13"/>
    <w:p>
      <w:pPr>
        <w:spacing w:after="0"/>
        <w:ind w:left="0"/>
        <w:jc w:val="left"/>
      </w:pPr>
      <w:r>
        <w:rPr>
          <w:rFonts w:ascii="Times New Roman"/>
          <w:b/>
          <w:i w:val="false"/>
          <w:color w:val="000000"/>
        </w:rPr>
        <w:t xml:space="preserve"> 1. Паспорт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агропромышленного комплекса Республики Казахстан на 2021 – 2030 годы (далее – Концепция развития АПК)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задачей 5. "Реформирование агропромышленного сектора для адаптации к новым условиям" Общенационального приоритета 8. "Построение диверсифицированной и инновационной экономики" Национального плана развития Республики Казахстан до 2025 года, утвержденного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15 февраля 2018 года № 636. В соответствии с </w:t>
            </w:r>
            <w:r>
              <w:rPr>
                <w:rFonts w:ascii="Times New Roman"/>
                <w:b w:val="false"/>
                <w:i w:val="false"/>
                <w:color w:val="000000"/>
                <w:sz w:val="20"/>
              </w:rPr>
              <w:t>пунктом 66</w:t>
            </w:r>
            <w:r>
              <w:rPr>
                <w:rFonts w:ascii="Times New Roman"/>
                <w:b w:val="false"/>
                <w:i w:val="false"/>
                <w:color w:val="000000"/>
                <w:sz w:val="20"/>
              </w:rPr>
              <w:t xml:space="preserve"> постановления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орган-разработчик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 Министерство образования и науки Республики Казахстан, Министерство индустрии и инфраструктурного развития Республики Казахстан, Министерство торговли и интеграции Республики Казахстан, Министерство национальной экономики Республики Казахстан, Министерство финансов Республики Казахстан, Министерство экологии, геологии и природных ресурсов Республики Казахстан, Министерство энергетики Республики Казахстан, Агентство по защите и развитию конкуренции Республики Казахстан (по согласованию), Национальная палата предпринимателей Республики Казахстан "Атамекен" (по согласованию), акционерное общество "Национальный управляющий холдинг "Байтерек" (по согласованию), некоммерческое акционерное общество "Национальный аграрный научно-образовательный центр"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r>
    </w:tbl>
    <w:bookmarkStart w:name="z60"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w:t>
      </w:r>
      <w:r>
        <w:rPr>
          <w:rFonts w:ascii="Times New Roman"/>
          <w:b w:val="false"/>
          <w:i/>
          <w:color w:val="000000"/>
          <w:sz w:val="28"/>
        </w:rPr>
        <w:t>Используемые термины и определения:</w:t>
      </w:r>
    </w:p>
    <w:bookmarkEnd w:id="14"/>
    <w:bookmarkStart w:name="z61" w:id="15"/>
    <w:p>
      <w:pPr>
        <w:spacing w:after="0"/>
        <w:ind w:left="0"/>
        <w:jc w:val="both"/>
      </w:pPr>
      <w:r>
        <w:rPr>
          <w:rFonts w:ascii="Times New Roman"/>
          <w:b w:val="false"/>
          <w:i w:val="false"/>
          <w:color w:val="000000"/>
          <w:sz w:val="28"/>
        </w:rPr>
        <w:t xml:space="preserve">
      Европейский союз (далее – ЕС) – международная организация; </w:t>
      </w:r>
    </w:p>
    <w:bookmarkEnd w:id="15"/>
    <w:bookmarkStart w:name="z62" w:id="16"/>
    <w:p>
      <w:pPr>
        <w:spacing w:after="0"/>
        <w:ind w:left="0"/>
        <w:jc w:val="both"/>
      </w:pPr>
      <w:r>
        <w:rPr>
          <w:rFonts w:ascii="Times New Roman"/>
          <w:b w:val="false"/>
          <w:i w:val="false"/>
          <w:color w:val="000000"/>
          <w:sz w:val="28"/>
        </w:rPr>
        <w:t xml:space="preserve">
      международная федерация движения экологического сельского хозяйства (далее – IFOAM); </w:t>
      </w:r>
    </w:p>
    <w:bookmarkEnd w:id="16"/>
    <w:bookmarkStart w:name="z63" w:id="17"/>
    <w:p>
      <w:pPr>
        <w:spacing w:after="0"/>
        <w:ind w:left="0"/>
        <w:jc w:val="both"/>
      </w:pPr>
      <w:r>
        <w:rPr>
          <w:rFonts w:ascii="Times New Roman"/>
          <w:b w:val="false"/>
          <w:i w:val="false"/>
          <w:color w:val="000000"/>
          <w:sz w:val="28"/>
        </w:rPr>
        <w:t>
      Соединенные Штаты Америки (далее – США);</w:t>
      </w:r>
    </w:p>
    <w:bookmarkEnd w:id="17"/>
    <w:bookmarkStart w:name="z64" w:id="18"/>
    <w:p>
      <w:pPr>
        <w:spacing w:after="0"/>
        <w:ind w:left="0"/>
        <w:jc w:val="both"/>
      </w:pPr>
      <w:r>
        <w:rPr>
          <w:rFonts w:ascii="Times New Roman"/>
          <w:b w:val="false"/>
          <w:i w:val="false"/>
          <w:color w:val="000000"/>
          <w:sz w:val="28"/>
        </w:rPr>
        <w:t xml:space="preserve">
      Содружество Независимых Государств (далее – СНГ) – международная организация; </w:t>
      </w:r>
    </w:p>
    <w:bookmarkEnd w:id="18"/>
    <w:bookmarkStart w:name="z65" w:id="19"/>
    <w:p>
      <w:pPr>
        <w:spacing w:after="0"/>
        <w:ind w:left="0"/>
        <w:jc w:val="both"/>
      </w:pPr>
      <w:r>
        <w:rPr>
          <w:rFonts w:ascii="Times New Roman"/>
          <w:b w:val="false"/>
          <w:i w:val="false"/>
          <w:color w:val="000000"/>
          <w:sz w:val="28"/>
        </w:rPr>
        <w:t>
      крупный рогатый скот (далее – КРС);</w:t>
      </w:r>
    </w:p>
    <w:bookmarkEnd w:id="19"/>
    <w:bookmarkStart w:name="z66" w:id="20"/>
    <w:p>
      <w:pPr>
        <w:spacing w:after="0"/>
        <w:ind w:left="0"/>
        <w:jc w:val="both"/>
      </w:pPr>
      <w:r>
        <w:rPr>
          <w:rFonts w:ascii="Times New Roman"/>
          <w:b w:val="false"/>
          <w:i w:val="false"/>
          <w:color w:val="000000"/>
          <w:sz w:val="28"/>
        </w:rPr>
        <w:t xml:space="preserve">
      сельскохозяйственные товаропроизводители (далее – СХТП); </w:t>
      </w:r>
    </w:p>
    <w:bookmarkEnd w:id="20"/>
    <w:bookmarkStart w:name="z67" w:id="21"/>
    <w:p>
      <w:pPr>
        <w:spacing w:after="0"/>
        <w:ind w:left="0"/>
        <w:jc w:val="both"/>
      </w:pPr>
      <w:r>
        <w:rPr>
          <w:rFonts w:ascii="Times New Roman"/>
          <w:b w:val="false"/>
          <w:i w:val="false"/>
          <w:color w:val="000000"/>
          <w:sz w:val="28"/>
        </w:rPr>
        <w:t>
      горюче-смазочные материалы (далее – ГСМ);</w:t>
      </w:r>
    </w:p>
    <w:bookmarkEnd w:id="21"/>
    <w:bookmarkStart w:name="z68" w:id="22"/>
    <w:p>
      <w:pPr>
        <w:spacing w:after="0"/>
        <w:ind w:left="0"/>
        <w:jc w:val="both"/>
      </w:pPr>
      <w:r>
        <w:rPr>
          <w:rFonts w:ascii="Times New Roman"/>
          <w:b w:val="false"/>
          <w:i w:val="false"/>
          <w:color w:val="000000"/>
          <w:sz w:val="28"/>
        </w:rPr>
        <w:t xml:space="preserve">
      некоммерческое акционерное общество "Национальный аграрный научно-образовательный центр" (далее – НАО "НАНОЦ"); </w:t>
      </w:r>
    </w:p>
    <w:bookmarkEnd w:id="22"/>
    <w:bookmarkStart w:name="z69" w:id="23"/>
    <w:p>
      <w:pPr>
        <w:spacing w:after="0"/>
        <w:ind w:left="0"/>
        <w:jc w:val="both"/>
      </w:pPr>
      <w:r>
        <w:rPr>
          <w:rFonts w:ascii="Times New Roman"/>
          <w:b w:val="false"/>
          <w:i w:val="false"/>
          <w:color w:val="000000"/>
          <w:sz w:val="28"/>
        </w:rPr>
        <w:t>
      центр распространения знаний (далее – ЦРЗ);</w:t>
      </w:r>
    </w:p>
    <w:bookmarkEnd w:id="23"/>
    <w:bookmarkStart w:name="z70" w:id="24"/>
    <w:p>
      <w:pPr>
        <w:spacing w:after="0"/>
        <w:ind w:left="0"/>
        <w:jc w:val="both"/>
      </w:pPr>
      <w:r>
        <w:rPr>
          <w:rFonts w:ascii="Times New Roman"/>
          <w:b w:val="false"/>
          <w:i w:val="false"/>
          <w:color w:val="000000"/>
          <w:sz w:val="28"/>
        </w:rPr>
        <w:t>
      научно-исследовательские институты (далее – НИИ);</w:t>
      </w:r>
    </w:p>
    <w:bookmarkEnd w:id="24"/>
    <w:bookmarkStart w:name="z71" w:id="25"/>
    <w:p>
      <w:pPr>
        <w:spacing w:after="0"/>
        <w:ind w:left="0"/>
        <w:jc w:val="both"/>
      </w:pPr>
      <w:r>
        <w:rPr>
          <w:rFonts w:ascii="Times New Roman"/>
          <w:b w:val="false"/>
          <w:i w:val="false"/>
          <w:color w:val="000000"/>
          <w:sz w:val="28"/>
        </w:rPr>
        <w:t>
      высшее учебное заведение (далее – ВУЗ);</w:t>
      </w:r>
    </w:p>
    <w:bookmarkEnd w:id="25"/>
    <w:bookmarkStart w:name="z72" w:id="26"/>
    <w:p>
      <w:pPr>
        <w:spacing w:after="0"/>
        <w:ind w:left="0"/>
        <w:jc w:val="both"/>
      </w:pPr>
      <w:r>
        <w:rPr>
          <w:rFonts w:ascii="Times New Roman"/>
          <w:b w:val="false"/>
          <w:i w:val="false"/>
          <w:color w:val="000000"/>
          <w:sz w:val="28"/>
        </w:rPr>
        <w:t>
      сельскохозяйственная опытная станция (далее – СХОС);</w:t>
      </w:r>
    </w:p>
    <w:bookmarkEnd w:id="26"/>
    <w:bookmarkStart w:name="z73" w:id="27"/>
    <w:p>
      <w:pPr>
        <w:spacing w:after="0"/>
        <w:ind w:left="0"/>
        <w:jc w:val="both"/>
      </w:pPr>
      <w:r>
        <w:rPr>
          <w:rFonts w:ascii="Times New Roman"/>
          <w:b w:val="false"/>
          <w:i w:val="false"/>
          <w:color w:val="000000"/>
          <w:sz w:val="28"/>
        </w:rPr>
        <w:t>
      результаты научной и (или) научно-технической деятельности (далее – РННТД);</w:t>
      </w:r>
    </w:p>
    <w:bookmarkEnd w:id="27"/>
    <w:bookmarkStart w:name="z74" w:id="28"/>
    <w:p>
      <w:pPr>
        <w:spacing w:after="0"/>
        <w:ind w:left="0"/>
        <w:jc w:val="both"/>
      </w:pPr>
      <w:r>
        <w:rPr>
          <w:rFonts w:ascii="Times New Roman"/>
          <w:b w:val="false"/>
          <w:i w:val="false"/>
          <w:color w:val="000000"/>
          <w:sz w:val="28"/>
        </w:rPr>
        <w:t>
      Всемирная торговая организация (далее – ВТО) – международная организация;</w:t>
      </w:r>
    </w:p>
    <w:bookmarkEnd w:id="28"/>
    <w:bookmarkStart w:name="z75" w:id="29"/>
    <w:p>
      <w:pPr>
        <w:spacing w:after="0"/>
        <w:ind w:left="0"/>
        <w:jc w:val="both"/>
      </w:pPr>
      <w:r>
        <w:rPr>
          <w:rFonts w:ascii="Times New Roman"/>
          <w:b w:val="false"/>
          <w:i w:val="false"/>
          <w:color w:val="000000"/>
          <w:sz w:val="28"/>
        </w:rPr>
        <w:t>
      Евразийский экономический союз (далее – ЕАЭС) – международная организация;</w:t>
      </w:r>
    </w:p>
    <w:bookmarkEnd w:id="29"/>
    <w:bookmarkStart w:name="z76" w:id="30"/>
    <w:p>
      <w:pPr>
        <w:spacing w:after="0"/>
        <w:ind w:left="0"/>
        <w:jc w:val="both"/>
      </w:pPr>
      <w:r>
        <w:rPr>
          <w:rFonts w:ascii="Times New Roman"/>
          <w:b w:val="false"/>
          <w:i w:val="false"/>
          <w:color w:val="000000"/>
          <w:sz w:val="28"/>
        </w:rPr>
        <w:t>
      органическое сельское хозяйство (далее – ОСХ);</w:t>
      </w:r>
    </w:p>
    <w:bookmarkEnd w:id="30"/>
    <w:bookmarkStart w:name="z77" w:id="31"/>
    <w:p>
      <w:pPr>
        <w:spacing w:after="0"/>
        <w:ind w:left="0"/>
        <w:jc w:val="both"/>
      </w:pPr>
      <w:r>
        <w:rPr>
          <w:rFonts w:ascii="Times New Roman"/>
          <w:b w:val="false"/>
          <w:i w:val="false"/>
          <w:color w:val="000000"/>
          <w:sz w:val="28"/>
        </w:rPr>
        <w:t>
      Федеральное государственное бюджетное учреждение "Всероссийский центр карантина растений" (далее – ФГБУ ВНИИКР);</w:t>
      </w:r>
    </w:p>
    <w:bookmarkEnd w:id="31"/>
    <w:bookmarkStart w:name="z78" w:id="32"/>
    <w:p>
      <w:pPr>
        <w:spacing w:after="0"/>
        <w:ind w:left="0"/>
        <w:jc w:val="both"/>
      </w:pPr>
      <w:r>
        <w:rPr>
          <w:rFonts w:ascii="Times New Roman"/>
          <w:b w:val="false"/>
          <w:i w:val="false"/>
          <w:color w:val="000000"/>
          <w:sz w:val="28"/>
        </w:rPr>
        <w:t xml:space="preserve">
      Федеральная государственная информационная система (далее – ФГИС); </w:t>
      </w:r>
    </w:p>
    <w:bookmarkEnd w:id="32"/>
    <w:bookmarkStart w:name="z79" w:id="33"/>
    <w:p>
      <w:pPr>
        <w:spacing w:after="0"/>
        <w:ind w:left="0"/>
        <w:jc w:val="both"/>
      </w:pPr>
      <w:r>
        <w:rPr>
          <w:rFonts w:ascii="Times New Roman"/>
          <w:b w:val="false"/>
          <w:i w:val="false"/>
          <w:color w:val="000000"/>
          <w:sz w:val="28"/>
        </w:rPr>
        <w:t>
      СФС – санитарные и фитосанитарные меры;</w:t>
      </w:r>
    </w:p>
    <w:bookmarkEnd w:id="33"/>
    <w:bookmarkStart w:name="z80" w:id="34"/>
    <w:p>
      <w:pPr>
        <w:spacing w:after="0"/>
        <w:ind w:left="0"/>
        <w:jc w:val="both"/>
      </w:pPr>
      <w:r>
        <w:rPr>
          <w:rFonts w:ascii="Times New Roman"/>
          <w:b w:val="false"/>
          <w:i w:val="false"/>
          <w:color w:val="000000"/>
          <w:sz w:val="28"/>
        </w:rPr>
        <w:t>
      система управления безопасностью продуктов питания (далее – НАССР);</w:t>
      </w:r>
    </w:p>
    <w:bookmarkEnd w:id="34"/>
    <w:bookmarkStart w:name="z81" w:id="35"/>
    <w:p>
      <w:pPr>
        <w:spacing w:after="0"/>
        <w:ind w:left="0"/>
        <w:jc w:val="both"/>
      </w:pPr>
      <w:r>
        <w:rPr>
          <w:rFonts w:ascii="Times New Roman"/>
          <w:b w:val="false"/>
          <w:i w:val="false"/>
          <w:color w:val="000000"/>
          <w:sz w:val="28"/>
        </w:rPr>
        <w:t>
      надлежащая лабораторная практика (далее – GLP);</w:t>
      </w:r>
    </w:p>
    <w:bookmarkEnd w:id="35"/>
    <w:bookmarkStart w:name="z82" w:id="36"/>
    <w:p>
      <w:pPr>
        <w:spacing w:after="0"/>
        <w:ind w:left="0"/>
        <w:jc w:val="both"/>
      </w:pPr>
      <w:r>
        <w:rPr>
          <w:rFonts w:ascii="Times New Roman"/>
          <w:b w:val="false"/>
          <w:i w:val="false"/>
          <w:color w:val="000000"/>
          <w:sz w:val="28"/>
        </w:rPr>
        <w:t>
      организация экономического сотрудничества и развития (далее – ОЭСР) – международная организация;</w:t>
      </w:r>
    </w:p>
    <w:bookmarkEnd w:id="36"/>
    <w:bookmarkStart w:name="z83" w:id="37"/>
    <w:p>
      <w:pPr>
        <w:spacing w:after="0"/>
        <w:ind w:left="0"/>
        <w:jc w:val="both"/>
      </w:pPr>
      <w:r>
        <w:rPr>
          <w:rFonts w:ascii="Times New Roman"/>
          <w:b w:val="false"/>
          <w:i w:val="false"/>
          <w:color w:val="000000"/>
          <w:sz w:val="28"/>
        </w:rPr>
        <w:t>
      Национальная федерация сельскохозяйственных кооперативов Республики Корея (далее – NACF);</w:t>
      </w:r>
    </w:p>
    <w:bookmarkEnd w:id="37"/>
    <w:bookmarkStart w:name="z84" w:id="38"/>
    <w:p>
      <w:pPr>
        <w:spacing w:after="0"/>
        <w:ind w:left="0"/>
        <w:jc w:val="both"/>
      </w:pPr>
      <w:r>
        <w:rPr>
          <w:rFonts w:ascii="Times New Roman"/>
          <w:b w:val="false"/>
          <w:i w:val="false"/>
          <w:color w:val="000000"/>
          <w:sz w:val="28"/>
        </w:rPr>
        <w:t>
      Продовольственная и сельскохозяйственная организация ООН (ФАО) (далее – ФАО);</w:t>
      </w:r>
    </w:p>
    <w:bookmarkEnd w:id="38"/>
    <w:bookmarkStart w:name="z85" w:id="39"/>
    <w:p>
      <w:pPr>
        <w:spacing w:after="0"/>
        <w:ind w:left="0"/>
        <w:jc w:val="both"/>
      </w:pPr>
      <w:r>
        <w:rPr>
          <w:rFonts w:ascii="Times New Roman"/>
          <w:b w:val="false"/>
          <w:i w:val="false"/>
          <w:color w:val="000000"/>
          <w:sz w:val="28"/>
        </w:rPr>
        <w:t>
      научно-исследовательские и опытно-конструкторские работы (далее – НИОКР);</w:t>
      </w:r>
    </w:p>
    <w:bookmarkEnd w:id="39"/>
    <w:bookmarkStart w:name="z86" w:id="40"/>
    <w:p>
      <w:pPr>
        <w:spacing w:after="0"/>
        <w:ind w:left="0"/>
        <w:jc w:val="both"/>
      </w:pPr>
      <w:r>
        <w:rPr>
          <w:rFonts w:ascii="Times New Roman"/>
          <w:b w:val="false"/>
          <w:i w:val="false"/>
          <w:color w:val="000000"/>
          <w:sz w:val="28"/>
        </w:rPr>
        <w:t>
      оптово-распределительные центры (далее – ОРЦ);</w:t>
      </w:r>
    </w:p>
    <w:bookmarkEnd w:id="40"/>
    <w:bookmarkStart w:name="z87" w:id="41"/>
    <w:p>
      <w:pPr>
        <w:spacing w:after="0"/>
        <w:ind w:left="0"/>
        <w:jc w:val="both"/>
      </w:pPr>
      <w:r>
        <w:rPr>
          <w:rFonts w:ascii="Times New Roman"/>
          <w:b w:val="false"/>
          <w:i w:val="false"/>
          <w:color w:val="000000"/>
          <w:sz w:val="28"/>
        </w:rPr>
        <w:t>
      торгово-логистические центры (далее – ТЛЦ);</w:t>
      </w:r>
    </w:p>
    <w:bookmarkEnd w:id="41"/>
    <w:bookmarkStart w:name="z88" w:id="42"/>
    <w:p>
      <w:pPr>
        <w:spacing w:after="0"/>
        <w:ind w:left="0"/>
        <w:jc w:val="both"/>
      </w:pPr>
      <w:r>
        <w:rPr>
          <w:rFonts w:ascii="Times New Roman"/>
          <w:b w:val="false"/>
          <w:i w:val="false"/>
          <w:color w:val="000000"/>
          <w:sz w:val="28"/>
        </w:rPr>
        <w:t xml:space="preserve">
      личные подсобные хозяйства (далее – ЛПХ); </w:t>
      </w:r>
    </w:p>
    <w:bookmarkEnd w:id="42"/>
    <w:bookmarkStart w:name="z89" w:id="43"/>
    <w:p>
      <w:pPr>
        <w:spacing w:after="0"/>
        <w:ind w:left="0"/>
        <w:jc w:val="both"/>
      </w:pPr>
      <w:r>
        <w:rPr>
          <w:rFonts w:ascii="Times New Roman"/>
          <w:b w:val="false"/>
          <w:i w:val="false"/>
          <w:color w:val="000000"/>
          <w:sz w:val="28"/>
        </w:rPr>
        <w:t>
      республиканское государственное предприятие (далее – РГП);</w:t>
      </w:r>
    </w:p>
    <w:bookmarkEnd w:id="43"/>
    <w:bookmarkStart w:name="z90" w:id="44"/>
    <w:p>
      <w:pPr>
        <w:spacing w:after="0"/>
        <w:ind w:left="0"/>
        <w:jc w:val="both"/>
      </w:pPr>
      <w:r>
        <w:rPr>
          <w:rFonts w:ascii="Times New Roman"/>
          <w:b w:val="false"/>
          <w:i w:val="false"/>
          <w:color w:val="000000"/>
          <w:sz w:val="28"/>
        </w:rPr>
        <w:t>
      всемирная организация по охране здоровья животных (далее – МЭБ);</w:t>
      </w:r>
    </w:p>
    <w:bookmarkEnd w:id="44"/>
    <w:bookmarkStart w:name="z91" w:id="45"/>
    <w:p>
      <w:pPr>
        <w:spacing w:after="0"/>
        <w:ind w:left="0"/>
        <w:jc w:val="both"/>
      </w:pPr>
      <w:r>
        <w:rPr>
          <w:rFonts w:ascii="Times New Roman"/>
          <w:b w:val="false"/>
          <w:i w:val="false"/>
          <w:color w:val="000000"/>
          <w:sz w:val="28"/>
        </w:rPr>
        <w:t>
      международная Конвенция по карантину и защите растений (далее – МКЗЗР);</w:t>
      </w:r>
    </w:p>
    <w:bookmarkEnd w:id="45"/>
    <w:bookmarkStart w:name="z92" w:id="46"/>
    <w:p>
      <w:pPr>
        <w:spacing w:after="0"/>
        <w:ind w:left="0"/>
        <w:jc w:val="both"/>
      </w:pPr>
      <w:r>
        <w:rPr>
          <w:rFonts w:ascii="Times New Roman"/>
          <w:b w:val="false"/>
          <w:i w:val="false"/>
          <w:color w:val="000000"/>
          <w:sz w:val="28"/>
        </w:rPr>
        <w:t>
      научно-исследовательский институт органического сельского хозяйства (далее – FiBL);</w:t>
      </w:r>
    </w:p>
    <w:bookmarkEnd w:id="46"/>
    <w:bookmarkStart w:name="z93" w:id="47"/>
    <w:p>
      <w:pPr>
        <w:spacing w:after="0"/>
        <w:ind w:left="0"/>
        <w:jc w:val="both"/>
      </w:pPr>
      <w:r>
        <w:rPr>
          <w:rFonts w:ascii="Times New Roman"/>
          <w:b w:val="false"/>
          <w:i w:val="false"/>
          <w:color w:val="000000"/>
          <w:sz w:val="28"/>
        </w:rPr>
        <w:t>
      индивидуальный предприниматель (далее – ИП);</w:t>
      </w:r>
    </w:p>
    <w:bookmarkEnd w:id="47"/>
    <w:bookmarkStart w:name="z94" w:id="48"/>
    <w:p>
      <w:pPr>
        <w:spacing w:after="0"/>
        <w:ind w:left="0"/>
        <w:jc w:val="both"/>
      </w:pPr>
      <w:r>
        <w:rPr>
          <w:rFonts w:ascii="Times New Roman"/>
          <w:b w:val="false"/>
          <w:i w:val="false"/>
          <w:color w:val="000000"/>
          <w:sz w:val="28"/>
        </w:rPr>
        <w:t>
      крестьянское хозяйство (далее – КХ);</w:t>
      </w:r>
    </w:p>
    <w:bookmarkEnd w:id="48"/>
    <w:bookmarkStart w:name="z95" w:id="49"/>
    <w:p>
      <w:pPr>
        <w:spacing w:after="0"/>
        <w:ind w:left="0"/>
        <w:jc w:val="both"/>
      </w:pPr>
      <w:r>
        <w:rPr>
          <w:rFonts w:ascii="Times New Roman"/>
          <w:b w:val="false"/>
          <w:i w:val="false"/>
          <w:color w:val="000000"/>
          <w:sz w:val="28"/>
        </w:rPr>
        <w:t>
      фермерское хозяйство (далее – ФХ);</w:t>
      </w:r>
    </w:p>
    <w:bookmarkEnd w:id="49"/>
    <w:bookmarkStart w:name="z96" w:id="50"/>
    <w:p>
      <w:pPr>
        <w:spacing w:after="0"/>
        <w:ind w:left="0"/>
        <w:jc w:val="both"/>
      </w:pPr>
      <w:r>
        <w:rPr>
          <w:rFonts w:ascii="Times New Roman"/>
          <w:b w:val="false"/>
          <w:i w:val="false"/>
          <w:color w:val="000000"/>
          <w:sz w:val="28"/>
        </w:rPr>
        <w:t>
      микрофинансовая организация (далее – МФО);</w:t>
      </w:r>
    </w:p>
    <w:bookmarkEnd w:id="50"/>
    <w:bookmarkStart w:name="z97" w:id="51"/>
    <w:p>
      <w:pPr>
        <w:spacing w:after="0"/>
        <w:ind w:left="0"/>
        <w:jc w:val="both"/>
      </w:pPr>
      <w:r>
        <w:rPr>
          <w:rFonts w:ascii="Times New Roman"/>
          <w:b w:val="false"/>
          <w:i w:val="false"/>
          <w:color w:val="000000"/>
          <w:sz w:val="28"/>
        </w:rPr>
        <w:t>
      научно-технические программы (далее – НТП);</w:t>
      </w:r>
    </w:p>
    <w:bookmarkEnd w:id="51"/>
    <w:bookmarkStart w:name="z98" w:id="52"/>
    <w:p>
      <w:pPr>
        <w:spacing w:after="0"/>
        <w:ind w:left="0"/>
        <w:jc w:val="both"/>
      </w:pPr>
      <w:r>
        <w:rPr>
          <w:rFonts w:ascii="Times New Roman"/>
          <w:b w:val="false"/>
          <w:i w:val="false"/>
          <w:color w:val="000000"/>
          <w:sz w:val="28"/>
        </w:rPr>
        <w:t>
      опытно-производственное хозяйство (далее – ОПХ);</w:t>
      </w:r>
    </w:p>
    <w:bookmarkEnd w:id="52"/>
    <w:bookmarkStart w:name="z99" w:id="53"/>
    <w:p>
      <w:pPr>
        <w:spacing w:after="0"/>
        <w:ind w:left="0"/>
        <w:jc w:val="both"/>
      </w:pPr>
      <w:r>
        <w:rPr>
          <w:rFonts w:ascii="Times New Roman"/>
          <w:b w:val="false"/>
          <w:i w:val="false"/>
          <w:color w:val="000000"/>
          <w:sz w:val="28"/>
        </w:rPr>
        <w:t xml:space="preserve">
      информационная система растениеводства (далее – ИСР); </w:t>
      </w:r>
    </w:p>
    <w:bookmarkEnd w:id="53"/>
    <w:bookmarkStart w:name="z100" w:id="54"/>
    <w:p>
      <w:pPr>
        <w:spacing w:after="0"/>
        <w:ind w:left="0"/>
        <w:jc w:val="both"/>
      </w:pPr>
      <w:r>
        <w:rPr>
          <w:rFonts w:ascii="Times New Roman"/>
          <w:b w:val="false"/>
          <w:i w:val="false"/>
          <w:color w:val="000000"/>
          <w:sz w:val="28"/>
        </w:rPr>
        <w:t>
      идентификация сельскохозяйственных животных (далее – ИСЖ);</w:t>
      </w:r>
    </w:p>
    <w:bookmarkEnd w:id="54"/>
    <w:bookmarkStart w:name="z101" w:id="55"/>
    <w:p>
      <w:pPr>
        <w:spacing w:after="0"/>
        <w:ind w:left="0"/>
        <w:jc w:val="both"/>
      </w:pPr>
      <w:r>
        <w:rPr>
          <w:rFonts w:ascii="Times New Roman"/>
          <w:b w:val="false"/>
          <w:i w:val="false"/>
          <w:color w:val="000000"/>
          <w:sz w:val="28"/>
        </w:rPr>
        <w:t>
      система управления рисками (далее – СУР);</w:t>
      </w:r>
    </w:p>
    <w:bookmarkEnd w:id="55"/>
    <w:bookmarkStart w:name="z102" w:id="56"/>
    <w:p>
      <w:pPr>
        <w:spacing w:after="0"/>
        <w:ind w:left="0"/>
        <w:jc w:val="both"/>
      </w:pPr>
      <w:r>
        <w:rPr>
          <w:rFonts w:ascii="Times New Roman"/>
          <w:b w:val="false"/>
          <w:i w:val="false"/>
          <w:color w:val="000000"/>
          <w:sz w:val="28"/>
        </w:rPr>
        <w:t>
      валовая продукция (далее – ВП).</w:t>
      </w:r>
    </w:p>
    <w:bookmarkEnd w:id="56"/>
    <w:bookmarkStart w:name="z103" w:id="57"/>
    <w:p>
      <w:pPr>
        <w:spacing w:after="0"/>
        <w:ind w:left="0"/>
        <w:jc w:val="left"/>
      </w:pPr>
      <w:r>
        <w:rPr>
          <w:rFonts w:ascii="Times New Roman"/>
          <w:b/>
          <w:i w:val="false"/>
          <w:color w:val="000000"/>
        </w:rPr>
        <w:t xml:space="preserve"> 2. Анализ текущей ситуации </w:t>
      </w:r>
    </w:p>
    <w:bookmarkEnd w:id="57"/>
    <w:p>
      <w:pPr>
        <w:spacing w:after="0"/>
        <w:ind w:left="0"/>
        <w:jc w:val="both"/>
      </w:pPr>
      <w:r>
        <w:rPr>
          <w:rFonts w:ascii="Times New Roman"/>
          <w:b w:val="false"/>
          <w:i w:val="false"/>
          <w:color w:val="ff0000"/>
          <w:sz w:val="28"/>
        </w:rPr>
        <w:t xml:space="preserve">
      Сноска. Раздел 2 с изменениями, внесенными постановлениями Правительства РК от 28.03.2023 </w:t>
      </w:r>
      <w:r>
        <w:rPr>
          <w:rFonts w:ascii="Times New Roman"/>
          <w:b w:val="false"/>
          <w:i w:val="false"/>
          <w:color w:val="ff0000"/>
          <w:sz w:val="28"/>
        </w:rPr>
        <w:t>№ 268</w:t>
      </w:r>
      <w:r>
        <w:rPr>
          <w:rFonts w:ascii="Times New Roman"/>
          <w:b w:val="false"/>
          <w:i w:val="false"/>
          <w:color w:val="ff0000"/>
          <w:sz w:val="28"/>
        </w:rPr>
        <w:t xml:space="preserve">; от 28.02.2024 </w:t>
      </w:r>
      <w:r>
        <w:rPr>
          <w:rFonts w:ascii="Times New Roman"/>
          <w:b w:val="false"/>
          <w:i w:val="false"/>
          <w:color w:val="ff0000"/>
          <w:sz w:val="28"/>
        </w:rPr>
        <w:t>№ 132</w:t>
      </w:r>
      <w:r>
        <w:rPr>
          <w:rFonts w:ascii="Times New Roman"/>
          <w:b w:val="false"/>
          <w:i w:val="false"/>
          <w:color w:val="ff0000"/>
          <w:sz w:val="28"/>
        </w:rPr>
        <w:t>.</w:t>
      </w:r>
    </w:p>
    <w:bookmarkStart w:name="z104" w:id="58"/>
    <w:p>
      <w:pPr>
        <w:spacing w:after="0"/>
        <w:ind w:left="0"/>
        <w:jc w:val="both"/>
      </w:pPr>
      <w:r>
        <w:rPr>
          <w:rFonts w:ascii="Times New Roman"/>
          <w:b w:val="false"/>
          <w:i w:val="false"/>
          <w:color w:val="000000"/>
          <w:sz w:val="28"/>
        </w:rPr>
        <w:t xml:space="preserve">
      С момента обретения независимости Казахстан, как и другие постсоветские государства, приступил к модернизации экономики и реформированию всех секторов народного хозяйства. Этот период стал началом становления нового этапа в развитии сельского хозяйства, характеризующегося развитием новых форм собственности и бизнес-формирований в АПК. </w:t>
      </w:r>
    </w:p>
    <w:bookmarkEnd w:id="58"/>
    <w:bookmarkStart w:name="z105" w:id="59"/>
    <w:p>
      <w:pPr>
        <w:spacing w:after="0"/>
        <w:ind w:left="0"/>
        <w:jc w:val="both"/>
      </w:pPr>
      <w:r>
        <w:rPr>
          <w:rFonts w:ascii="Times New Roman"/>
          <w:b w:val="false"/>
          <w:i w:val="false"/>
          <w:color w:val="000000"/>
          <w:sz w:val="28"/>
        </w:rPr>
        <w:t xml:space="preserve">
      Важнейшим результатом проводившихся реформ явилось формирование многоукладной экономики в сельском хозяйстве как одного из стратегических направлений аграрной политики. Однако любые кардинальные преобразования не проходили для экономики государства безболезненно. Нарушение многолетних межрегиональных и межотраслевых хозяйственных связей повлекло за собой кризис в сельском хозяйстве. </w:t>
      </w:r>
    </w:p>
    <w:bookmarkEnd w:id="59"/>
    <w:bookmarkStart w:name="z106" w:id="60"/>
    <w:p>
      <w:pPr>
        <w:spacing w:after="0"/>
        <w:ind w:left="0"/>
        <w:jc w:val="both"/>
      </w:pPr>
      <w:r>
        <w:rPr>
          <w:rFonts w:ascii="Times New Roman"/>
          <w:b w:val="false"/>
          <w:i w:val="false"/>
          <w:color w:val="000000"/>
          <w:sz w:val="28"/>
        </w:rPr>
        <w:t xml:space="preserve">
      Этап становления (с 1991 по 1999 гг.) характеризуется структурной перестройкой АПК. До 1991 г. государственная собственность была сдерживающим фактором рыночных отношений, поскольку обязательным условием для реализации рыночных преобразований является многообразие форм собственности на средства производства, от чего зависят характер рыночного процесса, распределение предметов потребления, обмен и распределение продукции. </w:t>
      </w:r>
    </w:p>
    <w:bookmarkEnd w:id="60"/>
    <w:bookmarkStart w:name="z107" w:id="61"/>
    <w:p>
      <w:pPr>
        <w:spacing w:after="0"/>
        <w:ind w:left="0"/>
        <w:jc w:val="both"/>
      </w:pPr>
      <w:r>
        <w:rPr>
          <w:rFonts w:ascii="Times New Roman"/>
          <w:b w:val="false"/>
          <w:i w:val="false"/>
          <w:color w:val="000000"/>
          <w:sz w:val="28"/>
        </w:rPr>
        <w:t xml:space="preserve">
      В ходе проводимых реформ наблюдалось снижение притока капитала в сельскую экономику, сократились объемы производства, резко упал жизненный уровень сельского населения, усилилась социальная напряженность на селе. </w:t>
      </w:r>
    </w:p>
    <w:bookmarkEnd w:id="61"/>
    <w:bookmarkStart w:name="z108" w:id="62"/>
    <w:p>
      <w:pPr>
        <w:spacing w:after="0"/>
        <w:ind w:left="0"/>
        <w:jc w:val="both"/>
      </w:pPr>
      <w:r>
        <w:rPr>
          <w:rFonts w:ascii="Times New Roman"/>
          <w:b w:val="false"/>
          <w:i w:val="false"/>
          <w:color w:val="000000"/>
          <w:sz w:val="28"/>
        </w:rPr>
        <w:t xml:space="preserve">
      До финансового кризиса темпы производства валовой продукции сельского хозяйства характеризовались тенденцией ежегодного прироста. Однако после азиатского кризиса и девальвации валюты международная экономическая среда для экономики Казахстана значительно ухудшилась, и темпы производства сельскохозяйственной продукции значительно снизились. </w:t>
      </w:r>
    </w:p>
    <w:bookmarkEnd w:id="62"/>
    <w:bookmarkStart w:name="z109" w:id="63"/>
    <w:p>
      <w:pPr>
        <w:spacing w:after="0"/>
        <w:ind w:left="0"/>
        <w:jc w:val="both"/>
      </w:pPr>
      <w:r>
        <w:rPr>
          <w:rFonts w:ascii="Times New Roman"/>
          <w:b w:val="false"/>
          <w:i w:val="false"/>
          <w:color w:val="000000"/>
          <w:sz w:val="28"/>
        </w:rPr>
        <w:t>
      Доля капитальных вложений в сельскохозяйственное производство страны в 1997 г. составляла всего 1,5 % от общего объема капитальных вложений в экономику.</w:t>
      </w:r>
    </w:p>
    <w:bookmarkEnd w:id="63"/>
    <w:bookmarkStart w:name="z110" w:id="64"/>
    <w:p>
      <w:pPr>
        <w:spacing w:after="0"/>
        <w:ind w:left="0"/>
        <w:jc w:val="both"/>
      </w:pPr>
      <w:r>
        <w:rPr>
          <w:rFonts w:ascii="Times New Roman"/>
          <w:b w:val="false"/>
          <w:i w:val="false"/>
          <w:color w:val="000000"/>
          <w:sz w:val="28"/>
        </w:rPr>
        <w:t>
      Удельный вес прибыльных хозяйств составил в 1997 году 23,4 %, убыточных – 72,4 %.</w:t>
      </w:r>
    </w:p>
    <w:bookmarkEnd w:id="64"/>
    <w:bookmarkStart w:name="z111" w:id="65"/>
    <w:p>
      <w:pPr>
        <w:spacing w:after="0"/>
        <w:ind w:left="0"/>
        <w:jc w:val="both"/>
      </w:pPr>
      <w:r>
        <w:rPr>
          <w:rFonts w:ascii="Times New Roman"/>
          <w:b w:val="false"/>
          <w:i w:val="false"/>
          <w:color w:val="000000"/>
          <w:sz w:val="28"/>
        </w:rPr>
        <w:t xml:space="preserve">
      В период с 1991 - 2010 годы отмечается устойчивое снижение доли валовой добавленной стоимости сельского, лесного и рыбного хозяйства в ВВП страны с 29,5 % до 4,5 %, что свидетельствовало об отставании темпов роста отрасли от других отраслей экономики, в том числе за счет роста нефтегазовой и горнорудной отрасли. </w:t>
      </w:r>
    </w:p>
    <w:bookmarkEnd w:id="65"/>
    <w:bookmarkStart w:name="z112" w:id="66"/>
    <w:p>
      <w:pPr>
        <w:spacing w:after="0"/>
        <w:ind w:left="0"/>
        <w:jc w:val="both"/>
      </w:pPr>
      <w:r>
        <w:rPr>
          <w:rFonts w:ascii="Times New Roman"/>
          <w:b w:val="false"/>
          <w:i w:val="false"/>
          <w:color w:val="000000"/>
          <w:sz w:val="28"/>
        </w:rPr>
        <w:t>
      С 2010 года доля валовой добавленной стоимости сельского, лесного и рыбного хозяйства в ВВП страны стабилизировалась (4,2 %-5,4 %), что говорит о синхронном росте сельского хозяйства с другими отраслями.</w:t>
      </w:r>
    </w:p>
    <w:bookmarkEnd w:id="66"/>
    <w:bookmarkStart w:name="z113" w:id="67"/>
    <w:p>
      <w:pPr>
        <w:spacing w:after="0"/>
        <w:ind w:left="0"/>
        <w:jc w:val="both"/>
      </w:pPr>
      <w:r>
        <w:rPr>
          <w:rFonts w:ascii="Times New Roman"/>
          <w:b w:val="false"/>
          <w:i w:val="false"/>
          <w:color w:val="000000"/>
          <w:sz w:val="28"/>
        </w:rPr>
        <w:t xml:space="preserve">
      Только последовательная государственная политика подъема сельского хозяйства, реализация крупных целевых программ, направленных на возрождение и развитие села, дали свои позитивные результаты. Коренной перелом в отрасли стал возможен благодаря постоянно возрастающей государственной поддержке и эффективной финансовой политике. </w:t>
      </w:r>
    </w:p>
    <w:bookmarkEnd w:id="67"/>
    <w:bookmarkStart w:name="z114" w:id="68"/>
    <w:p>
      <w:pPr>
        <w:spacing w:after="0"/>
        <w:ind w:left="0"/>
        <w:jc w:val="both"/>
      </w:pPr>
      <w:r>
        <w:rPr>
          <w:rFonts w:ascii="Times New Roman"/>
          <w:b w:val="false"/>
          <w:i w:val="false"/>
          <w:color w:val="000000"/>
          <w:sz w:val="28"/>
        </w:rPr>
        <w:t>
      Все это позволило в короткие сроки переломить ситуацию в производственном секторе и социальной сфере.</w:t>
      </w:r>
    </w:p>
    <w:bookmarkEnd w:id="68"/>
    <w:bookmarkStart w:name="z115" w:id="69"/>
    <w:p>
      <w:pPr>
        <w:spacing w:after="0"/>
        <w:ind w:left="0"/>
        <w:jc w:val="both"/>
      </w:pPr>
      <w:r>
        <w:rPr>
          <w:rFonts w:ascii="Times New Roman"/>
          <w:b w:val="false"/>
          <w:i w:val="false"/>
          <w:color w:val="000000"/>
          <w:sz w:val="28"/>
        </w:rPr>
        <w:t>
      Поэтому начало 2000-х годов выделяется, как период роста аграрного сектора.</w:t>
      </w:r>
    </w:p>
    <w:bookmarkEnd w:id="69"/>
    <w:bookmarkStart w:name="z116" w:id="70"/>
    <w:p>
      <w:pPr>
        <w:spacing w:after="0"/>
        <w:ind w:left="0"/>
        <w:jc w:val="both"/>
      </w:pPr>
      <w:r>
        <w:rPr>
          <w:rFonts w:ascii="Times New Roman"/>
          <w:b w:val="false"/>
          <w:i w:val="false"/>
          <w:color w:val="000000"/>
          <w:sz w:val="28"/>
        </w:rPr>
        <w:t xml:space="preserve">
      Так, объем валовой продукции сельского хозяйства в 2020 году по сравнению с 2000 годом увеличился в 15 раз (в номинальном выражении). </w:t>
      </w:r>
    </w:p>
    <w:bookmarkEnd w:id="70"/>
    <w:bookmarkStart w:name="z117" w:id="71"/>
    <w:p>
      <w:pPr>
        <w:spacing w:after="0"/>
        <w:ind w:left="0"/>
        <w:jc w:val="both"/>
      </w:pPr>
      <w:r>
        <w:rPr>
          <w:rFonts w:ascii="Times New Roman"/>
          <w:b w:val="false"/>
          <w:i w:val="false"/>
          <w:color w:val="000000"/>
          <w:sz w:val="28"/>
        </w:rPr>
        <w:t xml:space="preserve">
      Приток инвестиций в сельское хозяйство увеличился по сравнению с 2003 годом почти в 22 раза. </w:t>
      </w:r>
    </w:p>
    <w:bookmarkEnd w:id="71"/>
    <w:bookmarkStart w:name="z118" w:id="72"/>
    <w:p>
      <w:pPr>
        <w:spacing w:after="0"/>
        <w:ind w:left="0"/>
        <w:jc w:val="both"/>
      </w:pPr>
      <w:r>
        <w:rPr>
          <w:rFonts w:ascii="Times New Roman"/>
          <w:b w:val="false"/>
          <w:i w:val="false"/>
          <w:color w:val="000000"/>
          <w:sz w:val="28"/>
        </w:rPr>
        <w:t>
      В период 2018 – 2020 годы объем валовой продукции сельского хозяйства вырос в 1,3 раза и по итогам 2020 года составил 6,3 трлн тенге.</w:t>
      </w:r>
    </w:p>
    <w:bookmarkEnd w:id="72"/>
    <w:bookmarkStart w:name="z119" w:id="73"/>
    <w:p>
      <w:pPr>
        <w:spacing w:after="0"/>
        <w:ind w:left="0"/>
        <w:jc w:val="both"/>
      </w:pPr>
      <w:r>
        <w:rPr>
          <w:rFonts w:ascii="Times New Roman"/>
          <w:b w:val="false"/>
          <w:i w:val="false"/>
          <w:color w:val="000000"/>
          <w:sz w:val="28"/>
        </w:rPr>
        <w:t>
      Приток инвестиций в основной капитал сельского хозяйства за тот же период увеличился в 1,6 раза и составил в 2020 году 565,4 млрд тенге.</w:t>
      </w:r>
    </w:p>
    <w:bookmarkEnd w:id="73"/>
    <w:bookmarkStart w:name="z120" w:id="74"/>
    <w:p>
      <w:pPr>
        <w:spacing w:after="0"/>
        <w:ind w:left="0"/>
        <w:jc w:val="both"/>
      </w:pPr>
      <w:r>
        <w:rPr>
          <w:rFonts w:ascii="Times New Roman"/>
          <w:b w:val="false"/>
          <w:i w:val="false"/>
          <w:color w:val="000000"/>
          <w:sz w:val="28"/>
        </w:rPr>
        <w:t>
      Производительность труда на одного занятого в сельском, лесном и рыбном хозяйстве за 2020 год составила 3,0 млн тенге.</w:t>
      </w:r>
    </w:p>
    <w:bookmarkEnd w:id="74"/>
    <w:bookmarkStart w:name="z121" w:id="75"/>
    <w:p>
      <w:pPr>
        <w:spacing w:after="0"/>
        <w:ind w:left="0"/>
        <w:jc w:val="both"/>
      </w:pPr>
      <w:r>
        <w:rPr>
          <w:rFonts w:ascii="Times New Roman"/>
          <w:b w:val="false"/>
          <w:i w:val="false"/>
          <w:color w:val="000000"/>
          <w:sz w:val="28"/>
        </w:rPr>
        <w:t xml:space="preserve">
      При этом среднегодовые темпы роста производительности труда в сельском, лесном и рыбном хозяйстве составляют почти 6,3 %. </w:t>
      </w:r>
    </w:p>
    <w:bookmarkEnd w:id="75"/>
    <w:bookmarkStart w:name="z122"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w:t>
      </w:r>
      <w:r>
        <w:rPr>
          <w:rFonts w:ascii="Times New Roman"/>
          <w:b w:val="false"/>
          <w:i/>
          <w:color w:val="000000"/>
          <w:sz w:val="28"/>
        </w:rPr>
        <w:t>Растениеводство</w:t>
      </w:r>
    </w:p>
    <w:bookmarkEnd w:id="76"/>
    <w:bookmarkStart w:name="z123" w:id="77"/>
    <w:p>
      <w:pPr>
        <w:spacing w:after="0"/>
        <w:ind w:left="0"/>
        <w:jc w:val="both"/>
      </w:pPr>
      <w:r>
        <w:rPr>
          <w:rFonts w:ascii="Times New Roman"/>
          <w:b w:val="false"/>
          <w:i w:val="false"/>
          <w:color w:val="000000"/>
          <w:sz w:val="28"/>
        </w:rPr>
        <w:t xml:space="preserve">
      За эти годы тенденция стабильного развития растениеводческой отрасли продолжала сохраняться, Так, посевная площадь сельхозкультур увеличилась на 3 %, в том числе: масличных – на 2 %, овощебахчевых культур и картофеля – на 4,2 %. </w:t>
      </w:r>
    </w:p>
    <w:bookmarkEnd w:id="77"/>
    <w:bookmarkStart w:name="z124" w:id="78"/>
    <w:p>
      <w:pPr>
        <w:spacing w:after="0"/>
        <w:ind w:left="0"/>
        <w:jc w:val="both"/>
      </w:pPr>
      <w:r>
        <w:rPr>
          <w:rFonts w:ascii="Times New Roman"/>
          <w:b w:val="false"/>
          <w:i w:val="false"/>
          <w:color w:val="000000"/>
          <w:sz w:val="28"/>
        </w:rPr>
        <w:t>
      Площадь орошаемых земель увеличилась на 5 %, а площади применения водосберегающих технологий – на 9 %.</w:t>
      </w:r>
    </w:p>
    <w:bookmarkEnd w:id="78"/>
    <w:bookmarkStart w:name="z125" w:id="79"/>
    <w:p>
      <w:pPr>
        <w:spacing w:after="0"/>
        <w:ind w:left="0"/>
        <w:jc w:val="both"/>
      </w:pPr>
      <w:r>
        <w:rPr>
          <w:rFonts w:ascii="Times New Roman"/>
          <w:b w:val="false"/>
          <w:i w:val="false"/>
          <w:color w:val="000000"/>
          <w:sz w:val="28"/>
        </w:rPr>
        <w:t>
      Средняя урожайность картофеля выросла на 4 %, овощей – на 3 %, сахарной свеклы – на 6%, плодово-ягодных культур – на 7,8 %.</w:t>
      </w:r>
    </w:p>
    <w:bookmarkEnd w:id="79"/>
    <w:bookmarkStart w:name="z126" w:id="80"/>
    <w:p>
      <w:pPr>
        <w:spacing w:after="0"/>
        <w:ind w:left="0"/>
        <w:jc w:val="both"/>
      </w:pPr>
      <w:r>
        <w:rPr>
          <w:rFonts w:ascii="Times New Roman"/>
          <w:b w:val="false"/>
          <w:i w:val="false"/>
          <w:color w:val="000000"/>
          <w:sz w:val="28"/>
        </w:rPr>
        <w:t>
      Вместе с тем не на должном уровне идет процесс диверсификации в растениеводческой отрасли. В основных зерносеющих регионах страны преобладает монокультура. Недостаточное внимание уделяется развитию кормопроизводства. Крайне медленными темпами идут расширение орошаемых земель и внедрение современных влагосберегающих технологий. Имеются недостатки в работе по сохранению плодородия почвы. Объемы вносимых минеральных удобрений составляют только 23 % от научно-обоснованных норм, а по органическим – всего лишь 1,2 %. За указанный период объемы отечественных удобрений составили в среднем 65 % от общего объема внесения удобрений, импортных – 35 %. У сельхозтоваропроизводителей пользуются спросом удобрения, не производимые в республике (карбамид, сульфат аммония, сложные (азотно-фосфорно-калийные) удобрения, жидкие и микроудобрения). Сложная ситуация складывается и в системе семеноводства. Из-за недостаточного развития отечественной системы семеноводства снижается обеспеченность по семенам основных видов сельскохозяйственных культур. Так, импорт семян пшеницы за последние пять лет вырос в 7 раз, ячменя в 4 раза, а обеспеченность по семенам гибридов масличных, овощных культур и сахарной свеклы составляет порядка 10 %. Отстают от требований времени и темпы обновления технического парка сельского хозяйства. Так, в 2020 году этот показатель составил 4,1 % при нормативе 6-8 %. В настоящее время около 76 % технического парка имеют сроки эксплуатации свыше 10 лет. В большинстве регионов нет реальной диверсификации в растениеводческой отрасли, нарушаются правила землепользования на фоне отсутствия действенных методов контроля.</w:t>
      </w:r>
    </w:p>
    <w:bookmarkEnd w:id="80"/>
    <w:bookmarkStart w:name="z783" w:id="81"/>
    <w:p>
      <w:pPr>
        <w:spacing w:after="0"/>
        <w:ind w:left="0"/>
        <w:jc w:val="both"/>
      </w:pPr>
      <w:r>
        <w:rPr>
          <w:rFonts w:ascii="Times New Roman"/>
          <w:b w:val="false"/>
          <w:i w:val="false"/>
          <w:color w:val="000000"/>
          <w:sz w:val="28"/>
        </w:rPr>
        <w:t>
      В Республике Казахстан ежегодная потребность семян по группам культур: зерновых культур и зернобобовых – 2,0 млн тонн, масличных культур – 87 тыс. тонн, кормовых культур – 23 тыс. тонн, картофеля – 289 тыс. тонн. По остальным культурам, таким как кукуруза, плодовые, ягодные, орехоплодные, рожь озимая, овощные, бахчевые, семена картофеля и сахарная свекла, обеспеченность семенами отечественной селекции составляет менее 10 %.</w:t>
      </w:r>
    </w:p>
    <w:bookmarkEnd w:id="81"/>
    <w:bookmarkStart w:name="z784" w:id="82"/>
    <w:p>
      <w:pPr>
        <w:spacing w:after="0"/>
        <w:ind w:left="0"/>
        <w:jc w:val="both"/>
      </w:pPr>
      <w:r>
        <w:rPr>
          <w:rFonts w:ascii="Times New Roman"/>
          <w:b w:val="false"/>
          <w:i w:val="false"/>
          <w:color w:val="000000"/>
          <w:sz w:val="28"/>
        </w:rPr>
        <w:t>
      Материально-техническое оснащение семеноводческих хозяйств в Казахстане исправной техникой составляет 36 %, более 60 % семеноводческих хозяйств имеют технику со сроком службы свыше 10 лет, требующую обновления.</w:t>
      </w:r>
    </w:p>
    <w:bookmarkEnd w:id="82"/>
    <w:bookmarkStart w:name="z127" w:id="83"/>
    <w:p>
      <w:pPr>
        <w:spacing w:after="0"/>
        <w:ind w:left="0"/>
        <w:jc w:val="both"/>
      </w:pPr>
      <w:r>
        <w:rPr>
          <w:rFonts w:ascii="Times New Roman"/>
          <w:b w:val="false"/>
          <w:i w:val="false"/>
          <w:color w:val="000000"/>
          <w:sz w:val="28"/>
        </w:rPr>
        <w:t>
      Начата работа по развитию органического земледелия. С 2009 года сертифицированные площади органических земельных угодий увеличились более чем в 2 раза – с 134 тысяч га до 300 тысяч га. В настоящее время 70 хозяйств получили сертификаты иностранных органов по подтверждению соответствия на производство органической продукции. В 2020 году Казахстан экспортировал органическую продукцию на сумму 12,5 млн млрд долларов США.</w:t>
      </w:r>
    </w:p>
    <w:bookmarkEnd w:id="83"/>
    <w:bookmarkStart w:name="z128" w:id="84"/>
    <w:p>
      <w:pPr>
        <w:spacing w:after="0"/>
        <w:ind w:left="0"/>
        <w:jc w:val="both"/>
      </w:pPr>
      <w:r>
        <w:rPr>
          <w:rFonts w:ascii="Times New Roman"/>
          <w:b w:val="false"/>
          <w:i w:val="false"/>
          <w:color w:val="000000"/>
          <w:sz w:val="28"/>
        </w:rPr>
        <w:t>
      По международному рейтингу IFOAM из 123 стран, экспортирующих органическую продукцию в страны-члены ЕС, Казахстан занимает 9-е место, в том числе по органической пшенице – 4-е место, по органическим семенам масличного льна – 6-е место.</w:t>
      </w:r>
    </w:p>
    <w:bookmarkEnd w:id="84"/>
    <w:bookmarkStart w:name="z129" w:id="85"/>
    <w:p>
      <w:pPr>
        <w:spacing w:after="0"/>
        <w:ind w:left="0"/>
        <w:jc w:val="both"/>
      </w:pPr>
      <w:r>
        <w:rPr>
          <w:rFonts w:ascii="Times New Roman"/>
          <w:b w:val="false"/>
          <w:i w:val="false"/>
          <w:color w:val="000000"/>
          <w:sz w:val="28"/>
        </w:rPr>
        <w:t>
      Не на должном уровне используются имеющие возможности по развитию органического земледелия. Из общей площади сельхозкультур 22 млн га по технологиям органического растениеводства возделываются всего лишь около 1,5 %. При этом по расчетам зарубежных экспертов в Казахстане 46 % используемой пашни (11,5 млн га) и 70 % пастбищ по экологическому состоянию пригодны для ведения органического растениеводства и животноводства. В стране не существует внутреннего рынка сертификационных услуг в области органического производства. Отсутствуют формы коллективной сертификации производителей органической продукции.</w:t>
      </w:r>
    </w:p>
    <w:bookmarkEnd w:id="85"/>
    <w:bookmarkStart w:name="z130" w:id="86"/>
    <w:p>
      <w:pPr>
        <w:spacing w:after="0"/>
        <w:ind w:left="0"/>
        <w:jc w:val="both"/>
      </w:pPr>
      <w:r>
        <w:rPr>
          <w:rFonts w:ascii="Times New Roman"/>
          <w:b w:val="false"/>
          <w:i w:val="false"/>
          <w:color w:val="000000"/>
          <w:sz w:val="28"/>
        </w:rPr>
        <w:t>
      Нуждается в совершенствовании нормативно-правовая база производства и оборота органической продукции.</w:t>
      </w:r>
    </w:p>
    <w:bookmarkEnd w:id="86"/>
    <w:bookmarkStart w:name="z131" w:id="87"/>
    <w:p>
      <w:pPr>
        <w:spacing w:after="0"/>
        <w:ind w:left="0"/>
        <w:jc w:val="both"/>
      </w:pPr>
      <w:r>
        <w:rPr>
          <w:rFonts w:ascii="Times New Roman"/>
          <w:b w:val="false"/>
          <w:i w:val="false"/>
          <w:color w:val="000000"/>
          <w:sz w:val="28"/>
        </w:rPr>
        <w:t xml:space="preserve">
      За 2018 – 2020 годы площадь очагов карантинных объектов снижена с 135,8 тысяч га до 61,8 тысяч га в 2021 году. Вместе с тем, в связи с развитием интеграционных процессов и ростом товарооборота с другими странами остро стоит вопрос модернизации фитосанитарной службы. </w:t>
      </w:r>
    </w:p>
    <w:bookmarkEnd w:id="87"/>
    <w:bookmarkStart w:name="z132" w:id="88"/>
    <w:p>
      <w:pPr>
        <w:spacing w:after="0"/>
        <w:ind w:left="0"/>
        <w:jc w:val="both"/>
      </w:pPr>
      <w:r>
        <w:rPr>
          <w:rFonts w:ascii="Times New Roman"/>
          <w:b w:val="false"/>
          <w:i w:val="false"/>
          <w:color w:val="000000"/>
          <w:sz w:val="28"/>
        </w:rPr>
        <w:t xml:space="preserve">
      Нет системы фитосанитарной прослеживаемости, учета оборота и применения средств защиты растений. </w:t>
      </w:r>
    </w:p>
    <w:bookmarkEnd w:id="88"/>
    <w:bookmarkStart w:name="z133" w:id="89"/>
    <w:p>
      <w:pPr>
        <w:spacing w:after="0"/>
        <w:ind w:left="0"/>
        <w:jc w:val="both"/>
      </w:pPr>
      <w:r>
        <w:rPr>
          <w:rFonts w:ascii="Times New Roman"/>
          <w:b w:val="false"/>
          <w:i w:val="false"/>
          <w:color w:val="000000"/>
          <w:sz w:val="28"/>
        </w:rPr>
        <w:t>
      Основными проблемами растениеводческой отрасли являются:</w:t>
      </w:r>
    </w:p>
    <w:bookmarkEnd w:id="89"/>
    <w:bookmarkStart w:name="z134" w:id="90"/>
    <w:p>
      <w:pPr>
        <w:spacing w:after="0"/>
        <w:ind w:left="0"/>
        <w:jc w:val="both"/>
      </w:pPr>
      <w:r>
        <w:rPr>
          <w:rFonts w:ascii="Times New Roman"/>
          <w:b w:val="false"/>
          <w:i w:val="false"/>
          <w:color w:val="000000"/>
          <w:sz w:val="28"/>
        </w:rPr>
        <w:t>
      низкий уровень диверсификации;</w:t>
      </w:r>
    </w:p>
    <w:bookmarkEnd w:id="90"/>
    <w:bookmarkStart w:name="z135" w:id="91"/>
    <w:p>
      <w:pPr>
        <w:spacing w:after="0"/>
        <w:ind w:left="0"/>
        <w:jc w:val="both"/>
      </w:pPr>
      <w:r>
        <w:rPr>
          <w:rFonts w:ascii="Times New Roman"/>
          <w:b w:val="false"/>
          <w:i w:val="false"/>
          <w:color w:val="000000"/>
          <w:sz w:val="28"/>
        </w:rPr>
        <w:t>
      отсталость селекционной работы и системы семеноводства, необеспеченность семенами отечественной селекции;</w:t>
      </w:r>
    </w:p>
    <w:bookmarkEnd w:id="91"/>
    <w:bookmarkStart w:name="z136" w:id="92"/>
    <w:p>
      <w:pPr>
        <w:spacing w:after="0"/>
        <w:ind w:left="0"/>
        <w:jc w:val="both"/>
      </w:pPr>
      <w:r>
        <w:rPr>
          <w:rFonts w:ascii="Times New Roman"/>
          <w:b w:val="false"/>
          <w:i w:val="false"/>
          <w:color w:val="000000"/>
          <w:sz w:val="28"/>
        </w:rPr>
        <w:t>
      ухудшение плодородия почвы;</w:t>
      </w:r>
    </w:p>
    <w:bookmarkEnd w:id="92"/>
    <w:bookmarkStart w:name="z137" w:id="93"/>
    <w:p>
      <w:pPr>
        <w:spacing w:after="0"/>
        <w:ind w:left="0"/>
        <w:jc w:val="both"/>
      </w:pPr>
      <w:r>
        <w:rPr>
          <w:rFonts w:ascii="Times New Roman"/>
          <w:b w:val="false"/>
          <w:i w:val="false"/>
          <w:color w:val="000000"/>
          <w:sz w:val="28"/>
        </w:rPr>
        <w:t>
      низкий уровень применения водосберегающих технологий на орошении;</w:t>
      </w:r>
    </w:p>
    <w:bookmarkEnd w:id="93"/>
    <w:bookmarkStart w:name="z138" w:id="94"/>
    <w:p>
      <w:pPr>
        <w:spacing w:after="0"/>
        <w:ind w:left="0"/>
        <w:jc w:val="both"/>
      </w:pPr>
      <w:r>
        <w:rPr>
          <w:rFonts w:ascii="Times New Roman"/>
          <w:b w:val="false"/>
          <w:i w:val="false"/>
          <w:color w:val="000000"/>
          <w:sz w:val="28"/>
        </w:rPr>
        <w:t>
      низкая техническая и технологическая оснащенность отрасли;</w:t>
      </w:r>
    </w:p>
    <w:bookmarkEnd w:id="94"/>
    <w:bookmarkStart w:name="z139" w:id="95"/>
    <w:p>
      <w:pPr>
        <w:spacing w:after="0"/>
        <w:ind w:left="0"/>
        <w:jc w:val="both"/>
      </w:pPr>
      <w:r>
        <w:rPr>
          <w:rFonts w:ascii="Times New Roman"/>
          <w:b w:val="false"/>
          <w:i w:val="false"/>
          <w:color w:val="000000"/>
          <w:sz w:val="28"/>
        </w:rPr>
        <w:t xml:space="preserve">
      высокая коррупционная составляющая при осуществлении контрольных и надзорных функций, оказании государственных услуг; </w:t>
      </w:r>
    </w:p>
    <w:bookmarkEnd w:id="95"/>
    <w:bookmarkStart w:name="z140" w:id="96"/>
    <w:p>
      <w:pPr>
        <w:spacing w:after="0"/>
        <w:ind w:left="0"/>
        <w:jc w:val="both"/>
      </w:pPr>
      <w:r>
        <w:rPr>
          <w:rFonts w:ascii="Times New Roman"/>
          <w:b w:val="false"/>
          <w:i w:val="false"/>
          <w:color w:val="000000"/>
          <w:sz w:val="28"/>
        </w:rPr>
        <w:t>
      низкий уровень цифровизации отрасли;</w:t>
      </w:r>
    </w:p>
    <w:bookmarkEnd w:id="96"/>
    <w:bookmarkStart w:name="z141" w:id="97"/>
    <w:p>
      <w:pPr>
        <w:spacing w:after="0"/>
        <w:ind w:left="0"/>
        <w:jc w:val="both"/>
      </w:pPr>
      <w:r>
        <w:rPr>
          <w:rFonts w:ascii="Times New Roman"/>
          <w:b w:val="false"/>
          <w:i w:val="false"/>
          <w:color w:val="000000"/>
          <w:sz w:val="28"/>
        </w:rPr>
        <w:t>
      неразвитость органического земледелия, отсталость технологий производства и переработки органического сырья, а нормативные правовые акты и национальные стандарты, действующие в области органического производства, не отвечают интересам отечественных производителей и не соответствуют международной практике.</w:t>
      </w:r>
    </w:p>
    <w:bookmarkEnd w:id="97"/>
    <w:bookmarkStart w:name="z142" w:id="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w:t>
      </w:r>
      <w:r>
        <w:rPr>
          <w:rFonts w:ascii="Times New Roman"/>
          <w:b w:val="false"/>
          <w:i/>
          <w:color w:val="000000"/>
          <w:sz w:val="28"/>
        </w:rPr>
        <w:t>Животноводство</w:t>
      </w:r>
    </w:p>
    <w:bookmarkEnd w:id="98"/>
    <w:bookmarkStart w:name="z143" w:id="99"/>
    <w:p>
      <w:pPr>
        <w:spacing w:after="0"/>
        <w:ind w:left="0"/>
        <w:jc w:val="both"/>
      </w:pPr>
      <w:r>
        <w:rPr>
          <w:rFonts w:ascii="Times New Roman"/>
          <w:b w:val="false"/>
          <w:i w:val="false"/>
          <w:color w:val="000000"/>
          <w:sz w:val="28"/>
        </w:rPr>
        <w:t>
      За 2018 – 2020 годы валовой выпуск продукции отрасли (далее – ВВП) животноводства увеличился с 2,1 до 2,6 трлн тенге, в т.ч. за счет увеличения производства: мяса всех видов в убойном весе – на 10,3 %, молока – на 6,4 %.</w:t>
      </w:r>
    </w:p>
    <w:bookmarkEnd w:id="99"/>
    <w:bookmarkStart w:name="z144" w:id="100"/>
    <w:p>
      <w:pPr>
        <w:spacing w:after="0"/>
        <w:ind w:left="0"/>
        <w:jc w:val="both"/>
      </w:pPr>
      <w:r>
        <w:rPr>
          <w:rFonts w:ascii="Times New Roman"/>
          <w:b w:val="false"/>
          <w:i w:val="false"/>
          <w:color w:val="000000"/>
          <w:sz w:val="28"/>
        </w:rPr>
        <w:t xml:space="preserve">
      Отмечается увеличение поголовья крупного рогатого скота – на 9,8 % до 7,9 млн голов, овец – на 8,1 % до 17,7 млн голов, лошадей – на 19 % до 3,1 млн голов, верблюдов – на 9,7 % до 227,7 тысяч голов. </w:t>
      </w:r>
    </w:p>
    <w:bookmarkEnd w:id="100"/>
    <w:bookmarkStart w:name="z145" w:id="101"/>
    <w:p>
      <w:pPr>
        <w:spacing w:after="0"/>
        <w:ind w:left="0"/>
        <w:jc w:val="both"/>
      </w:pPr>
      <w:r>
        <w:rPr>
          <w:rFonts w:ascii="Times New Roman"/>
          <w:b w:val="false"/>
          <w:i w:val="false"/>
          <w:color w:val="000000"/>
          <w:sz w:val="28"/>
        </w:rPr>
        <w:t>
      Увеличилась продуктивность скота. Так, за эти годы средний надой молока на одну корову в сельхозпредприятиях увеличился на 5,2% и достиг уровня 4320 кг, среднесдаточный вес КРС на 1,7 % и составил 418 кг.</w:t>
      </w:r>
    </w:p>
    <w:bookmarkEnd w:id="101"/>
    <w:bookmarkStart w:name="z146" w:id="102"/>
    <w:p>
      <w:pPr>
        <w:spacing w:after="0"/>
        <w:ind w:left="0"/>
        <w:jc w:val="both"/>
      </w:pPr>
      <w:r>
        <w:rPr>
          <w:rFonts w:ascii="Times New Roman"/>
          <w:b w:val="false"/>
          <w:i w:val="false"/>
          <w:color w:val="000000"/>
          <w:sz w:val="28"/>
        </w:rPr>
        <w:t xml:space="preserve">
      Увеличилось количество фермерских хозяйств, занятых породным преобразованием, с 6,3 тысяч до 25,3 тысяч, промышленных молочно-товарных ферм с 65 до 206, что позволило увеличить производство товарного молока в организованных хозяйствах на 14,7 % с 894,2 до 1 025,8 тысяч тонн. </w:t>
      </w:r>
    </w:p>
    <w:bookmarkEnd w:id="102"/>
    <w:bookmarkStart w:name="z147" w:id="103"/>
    <w:p>
      <w:pPr>
        <w:spacing w:after="0"/>
        <w:ind w:left="0"/>
        <w:jc w:val="both"/>
      </w:pPr>
      <w:r>
        <w:rPr>
          <w:rFonts w:ascii="Times New Roman"/>
          <w:b w:val="false"/>
          <w:i w:val="false"/>
          <w:color w:val="000000"/>
          <w:sz w:val="28"/>
        </w:rPr>
        <w:t>
      Доля маточного поголовья КРС, охваченного породным преобразованием, увеличилась с 29,6 % до 37,7 %.</w:t>
      </w:r>
    </w:p>
    <w:bookmarkEnd w:id="103"/>
    <w:bookmarkStart w:name="z148" w:id="104"/>
    <w:p>
      <w:pPr>
        <w:spacing w:after="0"/>
        <w:ind w:left="0"/>
        <w:jc w:val="both"/>
      </w:pPr>
      <w:r>
        <w:rPr>
          <w:rFonts w:ascii="Times New Roman"/>
          <w:b w:val="false"/>
          <w:i w:val="false"/>
          <w:color w:val="000000"/>
          <w:sz w:val="28"/>
        </w:rPr>
        <w:t xml:space="preserve">
      Вместе с тем развитие животноводства идет без учета возможности кормовой базы. В целом по стране объемы производства кормов ниже в 2 раза, чем это требуется по зоотехническим нормам. В зависимости от регионов от 20 % до 60 % пастбищных угодий деградированы. 48 % пастбищных угодий не используется из-за отсутствия водопоя. Ощущается острый дефицит пастбищных угодий для скота личных подсобных хозяйств, что стало одной из самой злободневной проблемой сегодняшнего дня. </w:t>
      </w:r>
    </w:p>
    <w:bookmarkEnd w:id="104"/>
    <w:bookmarkStart w:name="z149" w:id="105"/>
    <w:p>
      <w:pPr>
        <w:spacing w:after="0"/>
        <w:ind w:left="0"/>
        <w:jc w:val="both"/>
      </w:pPr>
      <w:r>
        <w:rPr>
          <w:rFonts w:ascii="Times New Roman"/>
          <w:b w:val="false"/>
          <w:i w:val="false"/>
          <w:color w:val="000000"/>
          <w:sz w:val="28"/>
        </w:rPr>
        <w:t xml:space="preserve">
      Страна не достигла самообеспеченности по мясу птицы и молочной продукции. </w:t>
      </w:r>
    </w:p>
    <w:bookmarkEnd w:id="105"/>
    <w:bookmarkStart w:name="z150" w:id="106"/>
    <w:p>
      <w:pPr>
        <w:spacing w:after="0"/>
        <w:ind w:left="0"/>
        <w:jc w:val="both"/>
      </w:pPr>
      <w:r>
        <w:rPr>
          <w:rFonts w:ascii="Times New Roman"/>
          <w:b w:val="false"/>
          <w:i w:val="false"/>
          <w:color w:val="000000"/>
          <w:sz w:val="28"/>
        </w:rPr>
        <w:t xml:space="preserve">
      За этот же период эпизоотическая ситуация в стране по ряду особо опасных болезней останется сложной. Это в основном связано с имеющими рисками заноса болезней животных из других стран, климатическими условиями, увеличением объемов международной торговли, движением и перемещением животных и продукции животного происхождения и т.д. В 2018 году по стране было зарегистрировано 226 очагов особо опасных болезней, а за 2020 год это количество составило 330 очагов. В частности, такое резкое увеличение связано с регистрацией 98 очагов высокопатогенного гриппа птиц в конце 2020 года, в результате которых уничтожено около 2,0 млн голов птиц. </w:t>
      </w:r>
    </w:p>
    <w:bookmarkEnd w:id="106"/>
    <w:bookmarkStart w:name="z151" w:id="107"/>
    <w:p>
      <w:pPr>
        <w:spacing w:after="0"/>
        <w:ind w:left="0"/>
        <w:jc w:val="both"/>
      </w:pPr>
      <w:r>
        <w:rPr>
          <w:rFonts w:ascii="Times New Roman"/>
          <w:b w:val="false"/>
          <w:i w:val="false"/>
          <w:color w:val="000000"/>
          <w:sz w:val="28"/>
        </w:rPr>
        <w:t xml:space="preserve">
      На сегодня государственная монополия сохраняется на проведение диагностики особо опасных и энзоотических болезней животных, что ограничивает развитие конкуренции в этом секторе. </w:t>
      </w:r>
    </w:p>
    <w:bookmarkEnd w:id="107"/>
    <w:bookmarkStart w:name="z152" w:id="108"/>
    <w:p>
      <w:pPr>
        <w:spacing w:after="0"/>
        <w:ind w:left="0"/>
        <w:jc w:val="both"/>
      </w:pPr>
      <w:r>
        <w:rPr>
          <w:rFonts w:ascii="Times New Roman"/>
          <w:b w:val="false"/>
          <w:i w:val="false"/>
          <w:color w:val="000000"/>
          <w:sz w:val="28"/>
        </w:rPr>
        <w:t>
      Из-за ограниченности бюджетных возможностей государства из года в год ухудшается материально-техническая оснащенность государственных ветеринарных организаций. В большинстве из них основные средства производства физически изношены и морально устарели. Низкий уровень заработной платы привел к тому, что на местах все больше ощущается дефицит практических ветеринарных работников, а также снижается привлекательность данной профессии. Подготовка кадров в области ветеринарии, а также повышение квалификации ветеринарных специалистов также являются одним из проблемных вопросов.</w:t>
      </w:r>
    </w:p>
    <w:bookmarkEnd w:id="108"/>
    <w:bookmarkStart w:name="z153" w:id="109"/>
    <w:p>
      <w:pPr>
        <w:spacing w:after="0"/>
        <w:ind w:left="0"/>
        <w:jc w:val="both"/>
      </w:pPr>
      <w:r>
        <w:rPr>
          <w:rFonts w:ascii="Times New Roman"/>
          <w:b w:val="false"/>
          <w:i w:val="false"/>
          <w:color w:val="000000"/>
          <w:sz w:val="28"/>
        </w:rPr>
        <w:t>
      Основными проблемами отрасли являются:</w:t>
      </w:r>
    </w:p>
    <w:bookmarkEnd w:id="109"/>
    <w:bookmarkStart w:name="z154" w:id="110"/>
    <w:p>
      <w:pPr>
        <w:spacing w:after="0"/>
        <w:ind w:left="0"/>
        <w:jc w:val="both"/>
      </w:pPr>
      <w:r>
        <w:rPr>
          <w:rFonts w:ascii="Times New Roman"/>
          <w:b w:val="false"/>
          <w:i w:val="false"/>
          <w:color w:val="000000"/>
          <w:sz w:val="28"/>
        </w:rPr>
        <w:t>
      высокий удельный вес скота в личных подсобных хозяйствах населения, не охваченного технологическими процессами и не обеспеченного достаточным количеством кормов;</w:t>
      </w:r>
    </w:p>
    <w:bookmarkEnd w:id="110"/>
    <w:bookmarkStart w:name="z155" w:id="111"/>
    <w:p>
      <w:pPr>
        <w:spacing w:after="0"/>
        <w:ind w:left="0"/>
        <w:jc w:val="both"/>
      </w:pPr>
      <w:r>
        <w:rPr>
          <w:rFonts w:ascii="Times New Roman"/>
          <w:b w:val="false"/>
          <w:i w:val="false"/>
          <w:color w:val="000000"/>
          <w:sz w:val="28"/>
        </w:rPr>
        <w:t>
      высокая доля беспородного скота, прежде всего в личных подсобных хозяйствах населения;</w:t>
      </w:r>
    </w:p>
    <w:bookmarkEnd w:id="111"/>
    <w:bookmarkStart w:name="z156" w:id="112"/>
    <w:p>
      <w:pPr>
        <w:spacing w:after="0"/>
        <w:ind w:left="0"/>
        <w:jc w:val="both"/>
      </w:pPr>
      <w:r>
        <w:rPr>
          <w:rFonts w:ascii="Times New Roman"/>
          <w:b w:val="false"/>
          <w:i w:val="false"/>
          <w:color w:val="000000"/>
          <w:sz w:val="28"/>
        </w:rPr>
        <w:t>
      дефицит пастбищ для поголовья сельских населенных пунктов;</w:t>
      </w:r>
    </w:p>
    <w:bookmarkEnd w:id="112"/>
    <w:bookmarkStart w:name="z157" w:id="113"/>
    <w:p>
      <w:pPr>
        <w:spacing w:after="0"/>
        <w:ind w:left="0"/>
        <w:jc w:val="both"/>
      </w:pPr>
      <w:r>
        <w:rPr>
          <w:rFonts w:ascii="Times New Roman"/>
          <w:b w:val="false"/>
          <w:i w:val="false"/>
          <w:color w:val="000000"/>
          <w:sz w:val="28"/>
        </w:rPr>
        <w:t>
      слабость кормовой базы, низкая доля кормовых культур в севообороте, на орошаемых землях, а также деградация и низкая продуктивность пастбищных угодий;</w:t>
      </w:r>
    </w:p>
    <w:bookmarkEnd w:id="113"/>
    <w:bookmarkStart w:name="z158" w:id="114"/>
    <w:p>
      <w:pPr>
        <w:spacing w:after="0"/>
        <w:ind w:left="0"/>
        <w:jc w:val="both"/>
      </w:pPr>
      <w:r>
        <w:rPr>
          <w:rFonts w:ascii="Times New Roman"/>
          <w:b w:val="false"/>
          <w:i w:val="false"/>
          <w:color w:val="000000"/>
          <w:sz w:val="28"/>
        </w:rPr>
        <w:t>
      сложная эпизоотическая ситуация и низкий уровень заработной платы ветеринарных специалистов;</w:t>
      </w:r>
    </w:p>
    <w:bookmarkEnd w:id="114"/>
    <w:bookmarkStart w:name="z159" w:id="115"/>
    <w:p>
      <w:pPr>
        <w:spacing w:after="0"/>
        <w:ind w:left="0"/>
        <w:jc w:val="both"/>
      </w:pPr>
      <w:r>
        <w:rPr>
          <w:rFonts w:ascii="Times New Roman"/>
          <w:b w:val="false"/>
          <w:i w:val="false"/>
          <w:color w:val="000000"/>
          <w:sz w:val="28"/>
        </w:rPr>
        <w:t>
      низкий уровень освоения отгонных пастбищ в виду их недостаточной обводненности;</w:t>
      </w:r>
    </w:p>
    <w:bookmarkEnd w:id="115"/>
    <w:bookmarkStart w:name="z160" w:id="116"/>
    <w:p>
      <w:pPr>
        <w:spacing w:after="0"/>
        <w:ind w:left="0"/>
        <w:jc w:val="both"/>
      </w:pPr>
      <w:r>
        <w:rPr>
          <w:rFonts w:ascii="Times New Roman"/>
          <w:b w:val="false"/>
          <w:i w:val="false"/>
          <w:color w:val="000000"/>
          <w:sz w:val="28"/>
        </w:rPr>
        <w:t>
      ограниченный экологический мониторинг в секторе, в частности, в отношении эмиссии парниковых газов;</w:t>
      </w:r>
    </w:p>
    <w:bookmarkEnd w:id="116"/>
    <w:bookmarkStart w:name="z161" w:id="117"/>
    <w:p>
      <w:pPr>
        <w:spacing w:after="0"/>
        <w:ind w:left="0"/>
        <w:jc w:val="both"/>
      </w:pPr>
      <w:r>
        <w:rPr>
          <w:rFonts w:ascii="Times New Roman"/>
          <w:b w:val="false"/>
          <w:i w:val="false"/>
          <w:color w:val="000000"/>
          <w:sz w:val="28"/>
        </w:rPr>
        <w:t>
      дефицит квалифицированных кадров в животноводстве.</w:t>
      </w:r>
    </w:p>
    <w:bookmarkEnd w:id="117"/>
    <w:bookmarkStart w:name="z162"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 </w:t>
      </w:r>
      <w:r>
        <w:rPr>
          <w:rFonts w:ascii="Times New Roman"/>
          <w:b w:val="false"/>
          <w:i/>
          <w:color w:val="000000"/>
          <w:sz w:val="28"/>
        </w:rPr>
        <w:t>Переработка сельскохозяйственной продукции</w:t>
      </w:r>
    </w:p>
    <w:bookmarkEnd w:id="118"/>
    <w:bookmarkStart w:name="z163" w:id="119"/>
    <w:p>
      <w:pPr>
        <w:spacing w:after="0"/>
        <w:ind w:left="0"/>
        <w:jc w:val="both"/>
      </w:pPr>
      <w:r>
        <w:rPr>
          <w:rFonts w:ascii="Times New Roman"/>
          <w:b w:val="false"/>
          <w:i w:val="false"/>
          <w:color w:val="000000"/>
          <w:sz w:val="28"/>
        </w:rPr>
        <w:t>
      За 2018 – 2020 годы производство продуктов питания увеличилось с 1 527,7 млрд тенге до 1 957,2 млрд тенге. Темп роста за период 2018-2020 годы составил в среднем 100,9 %. Индекс физического объема в 2020 году составил 103,2 %.</w:t>
      </w:r>
    </w:p>
    <w:bookmarkEnd w:id="119"/>
    <w:bookmarkStart w:name="z164" w:id="120"/>
    <w:p>
      <w:pPr>
        <w:spacing w:after="0"/>
        <w:ind w:left="0"/>
        <w:jc w:val="both"/>
      </w:pPr>
      <w:r>
        <w:rPr>
          <w:rFonts w:ascii="Times New Roman"/>
          <w:b w:val="false"/>
          <w:i w:val="false"/>
          <w:color w:val="000000"/>
          <w:sz w:val="28"/>
        </w:rPr>
        <w:t>
      По состоянию на 1 января 2021 года в республике функционирует 1 168 предприятий, в том числе зерноперерабатывающих – 248, мясоперерабатывающих – 172, масложировых – 68, по переработке плодов и овощей – 36, молокоперерабатывающих – 172, крупяных – 59, макаронных – 40, кондитерских – 40, пекарен – 305, рыбоперерабатывающих – 25, сахарных завода – 4, по глубокой переработке зерна – 3 и т.д.</w:t>
      </w:r>
    </w:p>
    <w:bookmarkEnd w:id="120"/>
    <w:bookmarkStart w:name="z165" w:id="121"/>
    <w:p>
      <w:pPr>
        <w:spacing w:after="0"/>
        <w:ind w:left="0"/>
        <w:jc w:val="both"/>
      </w:pPr>
      <w:r>
        <w:rPr>
          <w:rFonts w:ascii="Times New Roman"/>
          <w:b w:val="false"/>
          <w:i w:val="false"/>
          <w:color w:val="000000"/>
          <w:sz w:val="28"/>
        </w:rPr>
        <w:t xml:space="preserve">
      Доля переработки зерновых культур в 2020 году составила 38 % (в 2018 году – 33,8 %), масличных культур – 40,2 % (в 2018 году – 36 %), сахарной свеклы – 89 % (в 2018 году – 87 %), молока – 35,8 % (в 2018 году – 31,2 %), мяса – 32,4 % (в 2018 году – 32, 9%). </w:t>
      </w:r>
    </w:p>
    <w:bookmarkEnd w:id="121"/>
    <w:bookmarkStart w:name="z166" w:id="122"/>
    <w:p>
      <w:pPr>
        <w:spacing w:after="0"/>
        <w:ind w:left="0"/>
        <w:jc w:val="both"/>
      </w:pPr>
      <w:r>
        <w:rPr>
          <w:rFonts w:ascii="Times New Roman"/>
          <w:b w:val="false"/>
          <w:i w:val="false"/>
          <w:color w:val="000000"/>
          <w:sz w:val="28"/>
        </w:rPr>
        <w:t>
      Инвестиции в основной капитал в производство продуктов питания в 2020 году составляли 109 млрд тенге, в 2018 году – 125,7 млрд тенге.</w:t>
      </w:r>
    </w:p>
    <w:bookmarkEnd w:id="122"/>
    <w:bookmarkStart w:name="z167" w:id="123"/>
    <w:p>
      <w:pPr>
        <w:spacing w:after="0"/>
        <w:ind w:left="0"/>
        <w:jc w:val="both"/>
      </w:pPr>
      <w:r>
        <w:rPr>
          <w:rFonts w:ascii="Times New Roman"/>
          <w:b w:val="false"/>
          <w:i w:val="false"/>
          <w:color w:val="000000"/>
          <w:sz w:val="28"/>
        </w:rPr>
        <w:t>
      За 2018 – 2020 годы в сфере переработки сельхозпродукции введено в эксплуатацию 49 новых предприятий, в том числе по переработке масличных - 9 предприятий, плодов и овощей – 6, молока – 15, мяса - 5, риса – 6, по производству кондитерских изделий – 3, крупы – 2, муки – 1, макаронных изделий – 1, глубокой переработке зерна – 1.</w:t>
      </w:r>
    </w:p>
    <w:bookmarkEnd w:id="123"/>
    <w:bookmarkStart w:name="z168" w:id="124"/>
    <w:p>
      <w:pPr>
        <w:spacing w:after="0"/>
        <w:ind w:left="0"/>
        <w:jc w:val="both"/>
      </w:pPr>
      <w:r>
        <w:rPr>
          <w:rFonts w:ascii="Times New Roman"/>
          <w:b w:val="false"/>
          <w:i w:val="false"/>
          <w:color w:val="000000"/>
          <w:sz w:val="28"/>
        </w:rPr>
        <w:t>
      В целом в сфере переработки сельскохозяйственной продукции существует потенциал двукратного увеличения объемов производства на существующих мощностях.</w:t>
      </w:r>
    </w:p>
    <w:bookmarkEnd w:id="124"/>
    <w:bookmarkStart w:name="z169" w:id="125"/>
    <w:p>
      <w:pPr>
        <w:spacing w:after="0"/>
        <w:ind w:left="0"/>
        <w:jc w:val="both"/>
      </w:pPr>
      <w:r>
        <w:rPr>
          <w:rFonts w:ascii="Times New Roman"/>
          <w:b w:val="false"/>
          <w:i w:val="false"/>
          <w:color w:val="000000"/>
          <w:sz w:val="28"/>
        </w:rPr>
        <w:t>
      Основными проблемами отрасли являются:</w:t>
      </w:r>
    </w:p>
    <w:bookmarkEnd w:id="125"/>
    <w:bookmarkStart w:name="z170" w:id="126"/>
    <w:p>
      <w:pPr>
        <w:spacing w:after="0"/>
        <w:ind w:left="0"/>
        <w:jc w:val="both"/>
      </w:pPr>
      <w:r>
        <w:rPr>
          <w:rFonts w:ascii="Times New Roman"/>
          <w:b w:val="false"/>
          <w:i w:val="false"/>
          <w:color w:val="000000"/>
          <w:sz w:val="28"/>
        </w:rPr>
        <w:t>
      недостаточность, высокая стоимость и низкое качество сырья;</w:t>
      </w:r>
    </w:p>
    <w:bookmarkEnd w:id="126"/>
    <w:bookmarkStart w:name="z171" w:id="127"/>
    <w:p>
      <w:pPr>
        <w:spacing w:after="0"/>
        <w:ind w:left="0"/>
        <w:jc w:val="both"/>
      </w:pPr>
      <w:r>
        <w:rPr>
          <w:rFonts w:ascii="Times New Roman"/>
          <w:b w:val="false"/>
          <w:i w:val="false"/>
          <w:color w:val="000000"/>
          <w:sz w:val="28"/>
        </w:rPr>
        <w:t>
      высокий уровень морального и физического износа основных средств;</w:t>
      </w:r>
    </w:p>
    <w:bookmarkEnd w:id="127"/>
    <w:p>
      <w:pPr>
        <w:spacing w:after="0"/>
        <w:ind w:left="0"/>
        <w:jc w:val="both"/>
      </w:pPr>
      <w:r>
        <w:rPr>
          <w:rFonts w:ascii="Times New Roman"/>
          <w:b w:val="false"/>
          <w:i w:val="false"/>
          <w:color w:val="000000"/>
          <w:sz w:val="28"/>
        </w:rPr>
        <w:t>
      ограниченность рынков сбыта произведенной продукции;</w:t>
      </w:r>
    </w:p>
    <w:p>
      <w:pPr>
        <w:spacing w:after="0"/>
        <w:ind w:left="0"/>
        <w:jc w:val="both"/>
      </w:pPr>
      <w:r>
        <w:rPr>
          <w:rFonts w:ascii="Times New Roman"/>
          <w:b w:val="false"/>
          <w:i w:val="false"/>
          <w:color w:val="000000"/>
          <w:sz w:val="28"/>
        </w:rPr>
        <w:t>
      отсутствие льготных кредитных ресурсов для пополнения основных и оборотных средств;</w:t>
      </w:r>
    </w:p>
    <w:p>
      <w:pPr>
        <w:spacing w:after="0"/>
        <w:ind w:left="0"/>
        <w:jc w:val="both"/>
      </w:pPr>
      <w:r>
        <w:rPr>
          <w:rFonts w:ascii="Times New Roman"/>
          <w:b w:val="false"/>
          <w:i w:val="false"/>
          <w:color w:val="000000"/>
          <w:sz w:val="28"/>
        </w:rPr>
        <w:t>
      недостаточность субсидий для дальнейшего развития отрасли;</w:t>
      </w:r>
    </w:p>
    <w:p>
      <w:pPr>
        <w:spacing w:after="0"/>
        <w:ind w:left="0"/>
        <w:jc w:val="both"/>
      </w:pPr>
      <w:r>
        <w:rPr>
          <w:rFonts w:ascii="Times New Roman"/>
          <w:b w:val="false"/>
          <w:i w:val="false"/>
          <w:color w:val="000000"/>
          <w:sz w:val="28"/>
        </w:rPr>
        <w:t>
      снижение конкурентоспособности отечественной сельскохозяйственной продукции ввиду меньших объемов государственной поддержки.</w:t>
      </w:r>
    </w:p>
    <w:bookmarkStart w:name="z172" w:id="1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 </w:t>
      </w:r>
      <w:r>
        <w:rPr>
          <w:rFonts w:ascii="Times New Roman"/>
          <w:b w:val="false"/>
          <w:i/>
          <w:color w:val="000000"/>
          <w:sz w:val="28"/>
        </w:rPr>
        <w:t>Развитие рынков</w:t>
      </w:r>
    </w:p>
    <w:bookmarkEnd w:id="128"/>
    <w:bookmarkStart w:name="z173" w:id="129"/>
    <w:p>
      <w:pPr>
        <w:spacing w:after="0"/>
        <w:ind w:left="0"/>
        <w:jc w:val="both"/>
      </w:pPr>
      <w:r>
        <w:rPr>
          <w:rFonts w:ascii="Times New Roman"/>
          <w:b w:val="false"/>
          <w:i w:val="false"/>
          <w:color w:val="000000"/>
          <w:sz w:val="28"/>
        </w:rPr>
        <w:t xml:space="preserve">
      Обеспеченность внутреннего рынка по основным видам продовольственных товаров, включая 19 видов социально значимых продовольственных товаров, за счет отечественного производства составляет 80 и более процентов. </w:t>
      </w:r>
    </w:p>
    <w:bookmarkEnd w:id="129"/>
    <w:bookmarkStart w:name="z174" w:id="130"/>
    <w:p>
      <w:pPr>
        <w:spacing w:after="0"/>
        <w:ind w:left="0"/>
        <w:jc w:val="both"/>
      </w:pPr>
      <w:r>
        <w:rPr>
          <w:rFonts w:ascii="Times New Roman"/>
          <w:b w:val="false"/>
          <w:i w:val="false"/>
          <w:color w:val="000000"/>
          <w:sz w:val="28"/>
        </w:rPr>
        <w:t>
      При этом по шести товарным позициям доля отечественного производства во внутреннем потреблении все еще остается на низком уровне. В частности, это яблоки (73 %), мясо птицы (58 %), колбасные изделия (61,5 %), сыры и творог (51 %), сахар (31 %), рыба (75 %).</w:t>
      </w:r>
    </w:p>
    <w:bookmarkEnd w:id="130"/>
    <w:bookmarkStart w:name="z175" w:id="131"/>
    <w:p>
      <w:pPr>
        <w:spacing w:after="0"/>
        <w:ind w:left="0"/>
        <w:jc w:val="both"/>
      </w:pPr>
      <w:r>
        <w:rPr>
          <w:rFonts w:ascii="Times New Roman"/>
          <w:b w:val="false"/>
          <w:i w:val="false"/>
          <w:color w:val="000000"/>
          <w:sz w:val="28"/>
        </w:rPr>
        <w:t xml:space="preserve">
      За последние 3 года экспорт продукции АПК увеличился на 289 млн долларов США и составил 3,3 млрд долларов США (2018 год – 3,1 млрд долларов США). </w:t>
      </w:r>
    </w:p>
    <w:bookmarkEnd w:id="131"/>
    <w:bookmarkStart w:name="z176" w:id="132"/>
    <w:p>
      <w:pPr>
        <w:spacing w:after="0"/>
        <w:ind w:left="0"/>
        <w:jc w:val="both"/>
      </w:pPr>
      <w:r>
        <w:rPr>
          <w:rFonts w:ascii="Times New Roman"/>
          <w:b w:val="false"/>
          <w:i w:val="false"/>
          <w:color w:val="000000"/>
          <w:sz w:val="28"/>
        </w:rPr>
        <w:t xml:space="preserve">
      Наблюдается рост экспорта пшеницы на 24,2 % (с 971,8 млн долларов США до 1 млрд долларов США), льна на 48 % (со 141,1 млн долларов США до 206,5 млн долларов США), масла подсолнечного на 72,5 % (с 66,2 млн долларов США до 103,4 млн долларов США), макаронных изделий в 1,4 раза (с 18 млн долларов США до 44,2 млн долларов США). </w:t>
      </w:r>
    </w:p>
    <w:bookmarkEnd w:id="132"/>
    <w:bookmarkStart w:name="z177" w:id="133"/>
    <w:p>
      <w:pPr>
        <w:spacing w:after="0"/>
        <w:ind w:left="0"/>
        <w:jc w:val="both"/>
      </w:pPr>
      <w:r>
        <w:rPr>
          <w:rFonts w:ascii="Times New Roman"/>
          <w:b w:val="false"/>
          <w:i w:val="false"/>
          <w:color w:val="000000"/>
          <w:sz w:val="28"/>
        </w:rPr>
        <w:t xml:space="preserve">
      При этом экспорт переработанной продукции АПК за три года увеличился на 215,2 млн долларов США и составил 1,3 млрд долларов США (2018 г. – 1,1 млрд долларов США). </w:t>
      </w:r>
    </w:p>
    <w:bookmarkEnd w:id="133"/>
    <w:bookmarkStart w:name="z178" w:id="134"/>
    <w:p>
      <w:pPr>
        <w:spacing w:after="0"/>
        <w:ind w:left="0"/>
        <w:jc w:val="both"/>
      </w:pPr>
      <w:r>
        <w:rPr>
          <w:rFonts w:ascii="Times New Roman"/>
          <w:b w:val="false"/>
          <w:i w:val="false"/>
          <w:color w:val="000000"/>
          <w:sz w:val="28"/>
        </w:rPr>
        <w:t>
      В общей структуре экспорта продуктов переработки сельскохозяйственной продукции на долю муки приходится 36,3 %, растительного масла – 7,7 %, кондитерских изделий – 8,4 %, молочной продукции – 4,1 %, рыбопродуктов – 10,7 %, минеральных вод – 2,7 %.</w:t>
      </w:r>
    </w:p>
    <w:bookmarkEnd w:id="134"/>
    <w:bookmarkStart w:name="z179" w:id="135"/>
    <w:p>
      <w:pPr>
        <w:spacing w:after="0"/>
        <w:ind w:left="0"/>
        <w:jc w:val="both"/>
      </w:pPr>
      <w:r>
        <w:rPr>
          <w:rFonts w:ascii="Times New Roman"/>
          <w:b w:val="false"/>
          <w:i w:val="false"/>
          <w:color w:val="000000"/>
          <w:sz w:val="28"/>
        </w:rPr>
        <w:t xml:space="preserve">
      Основными рынками сбыта являются страны СНГ, Азии и ЕС. В страны СНГ экспортируется порядка 58,4% сельскохозяйственной продукции, Азии (17,6 %) и ЕС (7,3 %) и другие страны – 17 %. Порядка 57,7 % экспорта продукции АПК составляет растениеводческая продукция – зерновые и масличные, лен, хлопковое волокно, зернобобовые, картофель. </w:t>
      </w:r>
    </w:p>
    <w:bookmarkEnd w:id="135"/>
    <w:bookmarkStart w:name="z180" w:id="136"/>
    <w:p>
      <w:pPr>
        <w:spacing w:after="0"/>
        <w:ind w:left="0"/>
        <w:jc w:val="both"/>
      </w:pPr>
      <w:r>
        <w:rPr>
          <w:rFonts w:ascii="Times New Roman"/>
          <w:b w:val="false"/>
          <w:i w:val="false"/>
          <w:color w:val="000000"/>
          <w:sz w:val="28"/>
        </w:rPr>
        <w:t>
      Также в настоящее время открыты рынки Ирана, стран ЕС, Объединенных Арабских Эмиратов, Королевства Саудовской Аравии, Монголии, Японии, Турции, Кореи, Грузии, Китая для экспорта живых животных и продукции животного происхождения.</w:t>
      </w:r>
    </w:p>
    <w:bookmarkEnd w:id="136"/>
    <w:bookmarkStart w:name="z181" w:id="137"/>
    <w:p>
      <w:pPr>
        <w:spacing w:after="0"/>
        <w:ind w:left="0"/>
        <w:jc w:val="both"/>
      </w:pPr>
      <w:r>
        <w:rPr>
          <w:rFonts w:ascii="Times New Roman"/>
          <w:b w:val="false"/>
          <w:i w:val="false"/>
          <w:color w:val="000000"/>
          <w:sz w:val="28"/>
        </w:rPr>
        <w:t xml:space="preserve">
      Обеспеченность внутреннего рынка по основным видам продовольственных товаров за счет отечественного производства составляет 80 % и более процентов. </w:t>
      </w:r>
    </w:p>
    <w:bookmarkEnd w:id="137"/>
    <w:bookmarkStart w:name="z182" w:id="138"/>
    <w:p>
      <w:pPr>
        <w:spacing w:after="0"/>
        <w:ind w:left="0"/>
        <w:jc w:val="both"/>
      </w:pPr>
      <w:r>
        <w:rPr>
          <w:rFonts w:ascii="Times New Roman"/>
          <w:b w:val="false"/>
          <w:i w:val="false"/>
          <w:color w:val="000000"/>
          <w:sz w:val="28"/>
        </w:rPr>
        <w:t>
      Вместе с тем сохраняются импортозависимость по шести товарным позициям, слабая вовлеченность мелких и средних производителей в сбытовую цепочку, сложность доступа к торговым объектам для средних и мелких фермеров в силу их мелкотоварности и нестабильности поставок продукции.</w:t>
      </w:r>
    </w:p>
    <w:bookmarkEnd w:id="138"/>
    <w:bookmarkStart w:name="z183" w:id="139"/>
    <w:p>
      <w:pPr>
        <w:spacing w:after="0"/>
        <w:ind w:left="0"/>
        <w:jc w:val="both"/>
      </w:pPr>
      <w:r>
        <w:rPr>
          <w:rFonts w:ascii="Times New Roman"/>
          <w:b w:val="false"/>
          <w:i w:val="false"/>
          <w:color w:val="000000"/>
          <w:sz w:val="28"/>
        </w:rPr>
        <w:t xml:space="preserve">
      Не выстроенная система цепочки сбыта отечественной сельхозпродукции приводит к увеличению цены, появлению неэффективных посредников. </w:t>
      </w:r>
    </w:p>
    <w:bookmarkEnd w:id="139"/>
    <w:bookmarkStart w:name="z184" w:id="140"/>
    <w:p>
      <w:pPr>
        <w:spacing w:after="0"/>
        <w:ind w:left="0"/>
        <w:jc w:val="both"/>
      </w:pPr>
      <w:r>
        <w:rPr>
          <w:rFonts w:ascii="Times New Roman"/>
          <w:b w:val="false"/>
          <w:i w:val="false"/>
          <w:color w:val="000000"/>
          <w:sz w:val="28"/>
        </w:rPr>
        <w:t>
      Также ввиду нестабильности и мелкотоварности поставок, несоответствия требованиям (калибровка, фасовка, пищевая безопасность) торговые сети предпочитают работать с крупными производителями и поставщиками.</w:t>
      </w:r>
    </w:p>
    <w:bookmarkEnd w:id="140"/>
    <w:bookmarkStart w:name="z185" w:id="141"/>
    <w:p>
      <w:pPr>
        <w:spacing w:after="0"/>
        <w:ind w:left="0"/>
        <w:jc w:val="both"/>
      </w:pPr>
      <w:r>
        <w:rPr>
          <w:rFonts w:ascii="Times New Roman"/>
          <w:b w:val="false"/>
          <w:i w:val="false"/>
          <w:color w:val="000000"/>
          <w:sz w:val="28"/>
        </w:rPr>
        <w:t>
      Основными проблемами в вопросах развития рынков являются:</w:t>
      </w:r>
    </w:p>
    <w:bookmarkEnd w:id="141"/>
    <w:bookmarkStart w:name="z186" w:id="142"/>
    <w:p>
      <w:pPr>
        <w:spacing w:after="0"/>
        <w:ind w:left="0"/>
        <w:jc w:val="both"/>
      </w:pPr>
      <w:r>
        <w:rPr>
          <w:rFonts w:ascii="Times New Roman"/>
          <w:b w:val="false"/>
          <w:i w:val="false"/>
          <w:color w:val="000000"/>
          <w:sz w:val="28"/>
        </w:rPr>
        <w:t>
      низкая конкурентоспособность отечественной продукции;</w:t>
      </w:r>
    </w:p>
    <w:bookmarkEnd w:id="142"/>
    <w:bookmarkStart w:name="z187" w:id="143"/>
    <w:p>
      <w:pPr>
        <w:spacing w:after="0"/>
        <w:ind w:left="0"/>
        <w:jc w:val="both"/>
      </w:pPr>
      <w:r>
        <w:rPr>
          <w:rFonts w:ascii="Times New Roman"/>
          <w:b w:val="false"/>
          <w:i w:val="false"/>
          <w:color w:val="000000"/>
          <w:sz w:val="28"/>
        </w:rPr>
        <w:t>
      неразвитая система заготовки, хранения, первичной подработки и сбыта продукции;</w:t>
      </w:r>
    </w:p>
    <w:bookmarkEnd w:id="143"/>
    <w:bookmarkStart w:name="z188" w:id="144"/>
    <w:p>
      <w:pPr>
        <w:spacing w:after="0"/>
        <w:ind w:left="0"/>
        <w:jc w:val="both"/>
      </w:pPr>
      <w:r>
        <w:rPr>
          <w:rFonts w:ascii="Times New Roman"/>
          <w:b w:val="false"/>
          <w:i w:val="false"/>
          <w:color w:val="000000"/>
          <w:sz w:val="28"/>
        </w:rPr>
        <w:t>
      наличие большого числа посреднических структур;</w:t>
      </w:r>
    </w:p>
    <w:bookmarkEnd w:id="144"/>
    <w:bookmarkStart w:name="z189" w:id="145"/>
    <w:p>
      <w:pPr>
        <w:spacing w:after="0"/>
        <w:ind w:left="0"/>
        <w:jc w:val="both"/>
      </w:pPr>
      <w:r>
        <w:rPr>
          <w:rFonts w:ascii="Times New Roman"/>
          <w:b w:val="false"/>
          <w:i w:val="false"/>
          <w:color w:val="000000"/>
          <w:sz w:val="28"/>
        </w:rPr>
        <w:t>
      импортозависимость по некоторым товарным позициям;</w:t>
      </w:r>
    </w:p>
    <w:bookmarkEnd w:id="145"/>
    <w:bookmarkStart w:name="z190" w:id="146"/>
    <w:p>
      <w:pPr>
        <w:spacing w:after="0"/>
        <w:ind w:left="0"/>
        <w:jc w:val="both"/>
      </w:pPr>
      <w:r>
        <w:rPr>
          <w:rFonts w:ascii="Times New Roman"/>
          <w:b w:val="false"/>
          <w:i w:val="false"/>
          <w:color w:val="000000"/>
          <w:sz w:val="28"/>
        </w:rPr>
        <w:t>
      недостаточный уровень интеграции в систему сбыта;</w:t>
      </w:r>
    </w:p>
    <w:bookmarkEnd w:id="146"/>
    <w:bookmarkStart w:name="z191" w:id="147"/>
    <w:p>
      <w:pPr>
        <w:spacing w:after="0"/>
        <w:ind w:left="0"/>
        <w:jc w:val="both"/>
      </w:pPr>
      <w:r>
        <w:rPr>
          <w:rFonts w:ascii="Times New Roman"/>
          <w:b w:val="false"/>
          <w:i w:val="false"/>
          <w:color w:val="000000"/>
          <w:sz w:val="28"/>
        </w:rPr>
        <w:t>
      ветеринарные, фитосанитарные и торговые барьеры;</w:t>
      </w:r>
    </w:p>
    <w:bookmarkEnd w:id="147"/>
    <w:p>
      <w:pPr>
        <w:spacing w:after="0"/>
        <w:ind w:left="0"/>
        <w:jc w:val="both"/>
      </w:pPr>
      <w:r>
        <w:rPr>
          <w:rFonts w:ascii="Times New Roman"/>
          <w:b w:val="false"/>
          <w:i w:val="false"/>
          <w:color w:val="000000"/>
          <w:sz w:val="28"/>
        </w:rPr>
        <w:t>
      ограниченность транспортных возможностей;</w:t>
      </w:r>
    </w:p>
    <w:p>
      <w:pPr>
        <w:spacing w:after="0"/>
        <w:ind w:left="0"/>
        <w:jc w:val="both"/>
      </w:pPr>
      <w:r>
        <w:rPr>
          <w:rFonts w:ascii="Times New Roman"/>
          <w:b w:val="false"/>
          <w:i w:val="false"/>
          <w:color w:val="000000"/>
          <w:sz w:val="28"/>
        </w:rPr>
        <w:t>
      отсутствие развитой транспортно-логистической инфраструктуры (изношенная инфраструктура, низкая пропускная способность железной дороги, нехватка вагонов в сезон);</w:t>
      </w:r>
    </w:p>
    <w:p>
      <w:pPr>
        <w:spacing w:after="0"/>
        <w:ind w:left="0"/>
        <w:jc w:val="both"/>
      </w:pPr>
      <w:r>
        <w:rPr>
          <w:rFonts w:ascii="Times New Roman"/>
          <w:b w:val="false"/>
          <w:i w:val="false"/>
          <w:color w:val="000000"/>
          <w:sz w:val="28"/>
        </w:rPr>
        <w:t>
      высокие транспортные издержки и логистические сложности;</w:t>
      </w:r>
    </w:p>
    <w:p>
      <w:pPr>
        <w:spacing w:after="0"/>
        <w:ind w:left="0"/>
        <w:jc w:val="both"/>
      </w:pPr>
      <w:r>
        <w:rPr>
          <w:rFonts w:ascii="Times New Roman"/>
          <w:b w:val="false"/>
          <w:i w:val="false"/>
          <w:color w:val="000000"/>
          <w:sz w:val="28"/>
        </w:rPr>
        <w:t>
      таможенные барьеры, включая сложности в процессе таможенного оформления;</w:t>
      </w:r>
    </w:p>
    <w:p>
      <w:pPr>
        <w:spacing w:after="0"/>
        <w:ind w:left="0"/>
        <w:jc w:val="both"/>
      </w:pPr>
      <w:r>
        <w:rPr>
          <w:rFonts w:ascii="Times New Roman"/>
          <w:b w:val="false"/>
          <w:i w:val="false"/>
          <w:color w:val="000000"/>
          <w:sz w:val="28"/>
        </w:rPr>
        <w:t>
      недостаточное использование экспортерами нефинансовых мер поддержки (аналитика рынка, обучение, участие в торговых экономических миссиях и выставках, вывод на электронные торговые площадки, экспортная акселерация);</w:t>
      </w:r>
    </w:p>
    <w:p>
      <w:pPr>
        <w:spacing w:after="0"/>
        <w:ind w:left="0"/>
        <w:jc w:val="both"/>
      </w:pPr>
      <w:r>
        <w:rPr>
          <w:rFonts w:ascii="Times New Roman"/>
          <w:b w:val="false"/>
          <w:i w:val="false"/>
          <w:color w:val="000000"/>
          <w:sz w:val="28"/>
        </w:rPr>
        <w:t>
      волатильность рынка и колебания цен на мировых рынках.</w:t>
      </w:r>
    </w:p>
    <w:bookmarkStart w:name="z192" w:id="1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 </w:t>
      </w:r>
      <w:r>
        <w:rPr>
          <w:rFonts w:ascii="Times New Roman"/>
          <w:b w:val="false"/>
          <w:i/>
          <w:color w:val="000000"/>
          <w:sz w:val="28"/>
        </w:rPr>
        <w:t xml:space="preserve">Техническое оснащение </w:t>
      </w:r>
    </w:p>
    <w:bookmarkEnd w:id="148"/>
    <w:bookmarkStart w:name="z193" w:id="149"/>
    <w:p>
      <w:pPr>
        <w:spacing w:after="0"/>
        <w:ind w:left="0"/>
        <w:jc w:val="both"/>
      </w:pPr>
      <w:r>
        <w:rPr>
          <w:rFonts w:ascii="Times New Roman"/>
          <w:b w:val="false"/>
          <w:i w:val="false"/>
          <w:color w:val="000000"/>
          <w:sz w:val="28"/>
        </w:rPr>
        <w:t>
      Уровень обновления парка сельхозтехники за последние 3 года показывает положительную динамику.</w:t>
      </w:r>
    </w:p>
    <w:bookmarkEnd w:id="149"/>
    <w:bookmarkStart w:name="z194" w:id="150"/>
    <w:p>
      <w:pPr>
        <w:spacing w:after="0"/>
        <w:ind w:left="0"/>
        <w:jc w:val="both"/>
      </w:pPr>
      <w:r>
        <w:rPr>
          <w:rFonts w:ascii="Times New Roman"/>
          <w:b w:val="false"/>
          <w:i w:val="false"/>
          <w:color w:val="000000"/>
          <w:sz w:val="28"/>
        </w:rPr>
        <w:t xml:space="preserve">
      Так, если в 2018 году уровень обновления составлял 3,5 %, то к 2020 году составил 4,1 % (увеличение 17 %). Оптимальный технологический уровень обновления составляет 6-8 %. При этом основными проблемами являются: </w:t>
      </w:r>
    </w:p>
    <w:bookmarkEnd w:id="150"/>
    <w:bookmarkStart w:name="z195" w:id="151"/>
    <w:p>
      <w:pPr>
        <w:spacing w:after="0"/>
        <w:ind w:left="0"/>
        <w:jc w:val="both"/>
      </w:pPr>
      <w:r>
        <w:rPr>
          <w:rFonts w:ascii="Times New Roman"/>
          <w:b w:val="false"/>
          <w:i w:val="false"/>
          <w:color w:val="000000"/>
          <w:sz w:val="28"/>
        </w:rPr>
        <w:t>
      низкие темпы уровня обновления техники, в том числе в средних и мелких хозяйствах;</w:t>
      </w:r>
    </w:p>
    <w:bookmarkEnd w:id="151"/>
    <w:bookmarkStart w:name="z196" w:id="152"/>
    <w:p>
      <w:pPr>
        <w:spacing w:after="0"/>
        <w:ind w:left="0"/>
        <w:jc w:val="both"/>
      </w:pPr>
      <w:r>
        <w:rPr>
          <w:rFonts w:ascii="Times New Roman"/>
          <w:b w:val="false"/>
          <w:i w:val="false"/>
          <w:color w:val="000000"/>
          <w:sz w:val="28"/>
        </w:rPr>
        <w:t>
      низкая доля локализации сельскохозяйственной техники отечественного производства, и соответственно, рост цен на сельхозтехнику.</w:t>
      </w:r>
    </w:p>
    <w:bookmarkEnd w:id="152"/>
    <w:bookmarkStart w:name="z197" w:id="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 </w:t>
      </w:r>
      <w:r>
        <w:rPr>
          <w:rFonts w:ascii="Times New Roman"/>
          <w:b w:val="false"/>
          <w:i/>
          <w:color w:val="000000"/>
          <w:sz w:val="28"/>
        </w:rPr>
        <w:t>Сельскохозяйственная кооперация и инфраструктура АПК</w:t>
      </w:r>
    </w:p>
    <w:bookmarkEnd w:id="153"/>
    <w:bookmarkStart w:name="z198" w:id="154"/>
    <w:p>
      <w:pPr>
        <w:spacing w:after="0"/>
        <w:ind w:left="0"/>
        <w:jc w:val="both"/>
      </w:pPr>
      <w:r>
        <w:rPr>
          <w:rFonts w:ascii="Times New Roman"/>
          <w:b w:val="false"/>
          <w:i w:val="false"/>
          <w:color w:val="000000"/>
          <w:sz w:val="28"/>
        </w:rPr>
        <w:t>
      За 2018 – 2020 годы общий объем валовой продукции сельского хозяйства увеличился с 4,5 до 6,3 трлн тенге. Доля сферы услуг в общем объеме валовой продукции сельского хозяйства снизилась с 13,1 до 10,9 млрд тенге, что составляет менее 0,2 %. Именно из-за неразвитости обслуживающей инфраструктуры сегодня СХТП вынуждены покупать товаро-материальные ресурсы, необходимые для производства, по высоким ценам, а продавать свою продукцию по низким ценам. К тому же абсолютное большинство средних и мелких товаропроизводителей не в состоянии содержать у себя в штате специалистов, хотя в их услугах они нуждаются больше всего.</w:t>
      </w:r>
    </w:p>
    <w:bookmarkEnd w:id="154"/>
    <w:bookmarkStart w:name="z199" w:id="155"/>
    <w:p>
      <w:pPr>
        <w:spacing w:after="0"/>
        <w:ind w:left="0"/>
        <w:jc w:val="both"/>
      </w:pPr>
      <w:r>
        <w:rPr>
          <w:rFonts w:ascii="Times New Roman"/>
          <w:b w:val="false"/>
          <w:i w:val="false"/>
          <w:color w:val="000000"/>
          <w:sz w:val="28"/>
        </w:rPr>
        <w:t>
      Для большинства фермеров остаются недоступными кредитные ресурсы. Причинами тому являются, с одной стороны, неразвитость различных видов финансовых инструментов, отсутствие структурных подразделений банков второго уровня на местах, а с другой, отсутствие у них приемлемого залогового обеспечения.</w:t>
      </w:r>
    </w:p>
    <w:bookmarkEnd w:id="155"/>
    <w:bookmarkStart w:name="z200" w:id="156"/>
    <w:p>
      <w:pPr>
        <w:spacing w:after="0"/>
        <w:ind w:left="0"/>
        <w:jc w:val="both"/>
      </w:pPr>
      <w:r>
        <w:rPr>
          <w:rFonts w:ascii="Times New Roman"/>
          <w:b w:val="false"/>
          <w:i w:val="false"/>
          <w:color w:val="000000"/>
          <w:sz w:val="28"/>
        </w:rPr>
        <w:t>
      На фоне низких темпов обновления сельскохозяйственной техники и оборудования в целом по отрасли особенно сложная ситуация сложилась с энерговооруженностью и техническим оснащением малых крестьянских и личных подсобных хозяйств.</w:t>
      </w:r>
    </w:p>
    <w:bookmarkEnd w:id="156"/>
    <w:bookmarkStart w:name="z201" w:id="157"/>
    <w:p>
      <w:pPr>
        <w:spacing w:after="0"/>
        <w:ind w:left="0"/>
        <w:jc w:val="both"/>
      </w:pPr>
      <w:r>
        <w:rPr>
          <w:rFonts w:ascii="Times New Roman"/>
          <w:b w:val="false"/>
          <w:i w:val="false"/>
          <w:color w:val="000000"/>
          <w:sz w:val="28"/>
        </w:rPr>
        <w:t>
      В последние годы для стимулирования развития кооперации введены следующие меры господдержки:</w:t>
      </w:r>
    </w:p>
    <w:bookmarkEnd w:id="157"/>
    <w:bookmarkStart w:name="z202" w:id="158"/>
    <w:p>
      <w:pPr>
        <w:spacing w:after="0"/>
        <w:ind w:left="0"/>
        <w:jc w:val="both"/>
      </w:pPr>
      <w:r>
        <w:rPr>
          <w:rFonts w:ascii="Times New Roman"/>
          <w:b w:val="false"/>
          <w:i w:val="false"/>
          <w:color w:val="000000"/>
          <w:sz w:val="28"/>
        </w:rPr>
        <w:t>
      инвестиционное субсидирование;</w:t>
      </w:r>
    </w:p>
    <w:bookmarkEnd w:id="158"/>
    <w:bookmarkStart w:name="z203" w:id="159"/>
    <w:p>
      <w:pPr>
        <w:spacing w:after="0"/>
        <w:ind w:left="0"/>
        <w:jc w:val="both"/>
      </w:pPr>
      <w:r>
        <w:rPr>
          <w:rFonts w:ascii="Times New Roman"/>
          <w:b w:val="false"/>
          <w:i w:val="false"/>
          <w:color w:val="000000"/>
          <w:sz w:val="28"/>
        </w:rPr>
        <w:t>
      удешевление стоимости заготовленного сельскохозяйственного сырья;</w:t>
      </w:r>
    </w:p>
    <w:bookmarkEnd w:id="159"/>
    <w:bookmarkStart w:name="z204" w:id="160"/>
    <w:p>
      <w:pPr>
        <w:spacing w:after="0"/>
        <w:ind w:left="0"/>
        <w:jc w:val="both"/>
      </w:pPr>
      <w:r>
        <w:rPr>
          <w:rFonts w:ascii="Times New Roman"/>
          <w:b w:val="false"/>
          <w:i w:val="false"/>
          <w:color w:val="000000"/>
          <w:sz w:val="28"/>
        </w:rPr>
        <w:t>
      установлен специальный налоговый режим для сельскохозяйственных кооперативов, предусматривающий 70 %-ую льготу по всем налогам.</w:t>
      </w:r>
    </w:p>
    <w:bookmarkEnd w:id="160"/>
    <w:bookmarkStart w:name="z205" w:id="161"/>
    <w:p>
      <w:pPr>
        <w:spacing w:after="0"/>
        <w:ind w:left="0"/>
        <w:jc w:val="both"/>
      </w:pPr>
      <w:r>
        <w:rPr>
          <w:rFonts w:ascii="Times New Roman"/>
          <w:b w:val="false"/>
          <w:i w:val="false"/>
          <w:color w:val="000000"/>
          <w:sz w:val="28"/>
        </w:rPr>
        <w:t>
      Кроме того, предусмотрены упрощенная процедура регистрации, информационная и финансовая поддержка, составлены государственный реестр и статистический мониторинг.</w:t>
      </w:r>
    </w:p>
    <w:bookmarkEnd w:id="161"/>
    <w:bookmarkStart w:name="z206" w:id="162"/>
    <w:p>
      <w:pPr>
        <w:spacing w:after="0"/>
        <w:ind w:left="0"/>
        <w:jc w:val="both"/>
      </w:pPr>
      <w:r>
        <w:rPr>
          <w:rFonts w:ascii="Times New Roman"/>
          <w:b w:val="false"/>
          <w:i w:val="false"/>
          <w:color w:val="000000"/>
          <w:sz w:val="28"/>
        </w:rPr>
        <w:t xml:space="preserve">
      На начало 2021 года в Казахстане зарегистрировано 2 919 сельскохозяйственных кооперативов и 49 374 их члена. </w:t>
      </w:r>
    </w:p>
    <w:bookmarkEnd w:id="162"/>
    <w:bookmarkStart w:name="z207" w:id="163"/>
    <w:p>
      <w:pPr>
        <w:spacing w:after="0"/>
        <w:ind w:left="0"/>
        <w:jc w:val="both"/>
      </w:pPr>
      <w:r>
        <w:rPr>
          <w:rFonts w:ascii="Times New Roman"/>
          <w:b w:val="false"/>
          <w:i w:val="false"/>
          <w:color w:val="000000"/>
          <w:sz w:val="28"/>
        </w:rPr>
        <w:t xml:space="preserve">
      Вместе с тем эффективность деятельности этих кооперативов остается крайне низкой и это для большинства СХТП выступает отталкивающим фактором. По итогам проведенного аудита 2018 года выявлено, что 18 % кооперативов являлись недействующими, а 42 % – "фиктивными", организованными для получения государственных субсидий. </w:t>
      </w:r>
    </w:p>
    <w:bookmarkEnd w:id="163"/>
    <w:bookmarkStart w:name="z208" w:id="164"/>
    <w:p>
      <w:pPr>
        <w:spacing w:after="0"/>
        <w:ind w:left="0"/>
        <w:jc w:val="both"/>
      </w:pPr>
      <w:r>
        <w:rPr>
          <w:rFonts w:ascii="Times New Roman"/>
          <w:b w:val="false"/>
          <w:i w:val="false"/>
          <w:color w:val="000000"/>
          <w:sz w:val="28"/>
        </w:rPr>
        <w:t>
      Однако есть и успешные примеры кооперативов. Так, в Павлодарской области "Ертіс-Агро", который объединяет порядка 40 крестьянских хозяйств. Члены данного кооператива оптом подешевле покупают ГСМ, удобрения и гербициды и пулом, однородной партией продают выращенный урожай. Более того, данный кооператив приобрел элеватор и все члены кооператива являются его совладельцами, сами определяют правила работы элеватора по принципу один член-один голос.</w:t>
      </w:r>
    </w:p>
    <w:bookmarkEnd w:id="164"/>
    <w:bookmarkStart w:name="z209" w:id="165"/>
    <w:p>
      <w:pPr>
        <w:spacing w:after="0"/>
        <w:ind w:left="0"/>
        <w:jc w:val="both"/>
      </w:pPr>
      <w:r>
        <w:rPr>
          <w:rFonts w:ascii="Times New Roman"/>
          <w:b w:val="false"/>
          <w:i w:val="false"/>
          <w:color w:val="000000"/>
          <w:sz w:val="28"/>
        </w:rPr>
        <w:t>
      В Костанайской области действует успешная модель организации кооператива "Успеновка Сут" по производству и реализации молока, объединяющего личные подсобные хозяйства. Данный кооператив заключил договор с крупным молокоперерабатывающим предприятием "МИЛХ" по гарантированному закупу сырого молока по фиксированной цене в 110 тенге/литр.</w:t>
      </w:r>
    </w:p>
    <w:bookmarkEnd w:id="165"/>
    <w:bookmarkStart w:name="z210" w:id="166"/>
    <w:p>
      <w:pPr>
        <w:spacing w:after="0"/>
        <w:ind w:left="0"/>
        <w:jc w:val="both"/>
      </w:pPr>
      <w:r>
        <w:rPr>
          <w:rFonts w:ascii="Times New Roman"/>
          <w:b w:val="false"/>
          <w:i w:val="false"/>
          <w:color w:val="000000"/>
          <w:sz w:val="28"/>
        </w:rPr>
        <w:t>
      На юге страны успешно работают кооперативы по выращиванию и откорму молодняка КРС.</w:t>
      </w:r>
    </w:p>
    <w:bookmarkEnd w:id="166"/>
    <w:bookmarkStart w:name="z211" w:id="167"/>
    <w:p>
      <w:pPr>
        <w:spacing w:after="0"/>
        <w:ind w:left="0"/>
        <w:jc w:val="both"/>
      </w:pPr>
      <w:r>
        <w:rPr>
          <w:rFonts w:ascii="Times New Roman"/>
          <w:b w:val="false"/>
          <w:i w:val="false"/>
          <w:color w:val="000000"/>
          <w:sz w:val="28"/>
        </w:rPr>
        <w:t>
      Успешный опыт кооперации личных подсобных хозяйств в Жамбылской области показал перспективность объединения ЛПХ для совместного решения общих вопросов.</w:t>
      </w:r>
    </w:p>
    <w:bookmarkEnd w:id="167"/>
    <w:bookmarkStart w:name="z785" w:id="168"/>
    <w:p>
      <w:pPr>
        <w:spacing w:after="0"/>
        <w:ind w:left="0"/>
        <w:jc w:val="both"/>
      </w:pPr>
      <w:r>
        <w:rPr>
          <w:rFonts w:ascii="Times New Roman"/>
          <w:b w:val="false"/>
          <w:i w:val="false"/>
          <w:color w:val="000000"/>
          <w:sz w:val="28"/>
        </w:rPr>
        <w:t>
      В 2020 году в Северо-Казахстанской области для реализации проектов в отрасли АПК был запущен механизм по льготному кредитованию, который предусматривает реализацию крупных инвестиционных проектов. Механизм кредитования через СПК предусматривает более оперативное рассмотрение кредитной заявки потенциального инвестора, гибкие условия залогового обеспечения (прием в залог приобретаемого оборудования и скота), а также диверсификацию экономики крупных зерновых компаний путем развития животноводства, что позволило обеспечить круглогодичную занятость сельского населения.</w:t>
      </w:r>
    </w:p>
    <w:bookmarkEnd w:id="168"/>
    <w:bookmarkStart w:name="z786" w:id="169"/>
    <w:p>
      <w:pPr>
        <w:spacing w:after="0"/>
        <w:ind w:left="0"/>
        <w:jc w:val="both"/>
      </w:pPr>
      <w:r>
        <w:rPr>
          <w:rFonts w:ascii="Times New Roman"/>
          <w:b w:val="false"/>
          <w:i w:val="false"/>
          <w:color w:val="000000"/>
          <w:sz w:val="28"/>
        </w:rPr>
        <w:t>
      Благодаря этому механизму за 2 года в Северном Казахстане построена 21 молочно-товарная ферма. В результате порядка 648 тыс. тонн молока или 10,3% всего молока по стране производит Северо-Казахстанская область.</w:t>
      </w:r>
    </w:p>
    <w:bookmarkEnd w:id="169"/>
    <w:bookmarkStart w:name="z212" w:id="170"/>
    <w:p>
      <w:pPr>
        <w:spacing w:after="0"/>
        <w:ind w:left="0"/>
        <w:jc w:val="both"/>
      </w:pPr>
      <w:r>
        <w:rPr>
          <w:rFonts w:ascii="Times New Roman"/>
          <w:b w:val="false"/>
          <w:i w:val="false"/>
          <w:color w:val="000000"/>
          <w:sz w:val="28"/>
        </w:rPr>
        <w:t>
      Основными проблемами кооперации на селе являются:</w:t>
      </w:r>
    </w:p>
    <w:bookmarkEnd w:id="170"/>
    <w:bookmarkStart w:name="z213" w:id="171"/>
    <w:p>
      <w:pPr>
        <w:spacing w:after="0"/>
        <w:ind w:left="0"/>
        <w:jc w:val="both"/>
      </w:pPr>
      <w:r>
        <w:rPr>
          <w:rFonts w:ascii="Times New Roman"/>
          <w:b w:val="false"/>
          <w:i w:val="false"/>
          <w:color w:val="000000"/>
          <w:sz w:val="28"/>
        </w:rPr>
        <w:t>
      низкое доверие фермеров к кооперативам из-за негативного опыта прошлых лет и ошибок, допущенных при создании кооперативов на местах;</w:t>
      </w:r>
    </w:p>
    <w:bookmarkEnd w:id="171"/>
    <w:bookmarkStart w:name="z214" w:id="172"/>
    <w:p>
      <w:pPr>
        <w:spacing w:after="0"/>
        <w:ind w:left="0"/>
        <w:jc w:val="both"/>
      </w:pPr>
      <w:r>
        <w:rPr>
          <w:rFonts w:ascii="Times New Roman"/>
          <w:b w:val="false"/>
          <w:i w:val="false"/>
          <w:color w:val="000000"/>
          <w:sz w:val="28"/>
        </w:rPr>
        <w:t xml:space="preserve">
      слабая осведомленность о кооперативной модели; </w:t>
      </w:r>
    </w:p>
    <w:bookmarkEnd w:id="172"/>
    <w:bookmarkStart w:name="z215" w:id="173"/>
    <w:p>
      <w:pPr>
        <w:spacing w:after="0"/>
        <w:ind w:left="0"/>
        <w:jc w:val="both"/>
      </w:pPr>
      <w:r>
        <w:rPr>
          <w:rFonts w:ascii="Times New Roman"/>
          <w:b w:val="false"/>
          <w:i w:val="false"/>
          <w:color w:val="000000"/>
          <w:sz w:val="28"/>
        </w:rPr>
        <w:t>
      несовершенство нормативно-правовых актов.</w:t>
      </w:r>
    </w:p>
    <w:bookmarkEnd w:id="173"/>
    <w:bookmarkStart w:name="z216" w:id="1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 </w:t>
      </w:r>
      <w:r>
        <w:rPr>
          <w:rFonts w:ascii="Times New Roman"/>
          <w:b w:val="false"/>
          <w:i/>
          <w:color w:val="000000"/>
          <w:sz w:val="28"/>
        </w:rPr>
        <w:t>Научное и кадровое обеспечение АПК</w:t>
      </w:r>
    </w:p>
    <w:bookmarkEnd w:id="174"/>
    <w:p>
      <w:pPr>
        <w:spacing w:after="0"/>
        <w:ind w:left="0"/>
        <w:jc w:val="both"/>
      </w:pPr>
      <w:r>
        <w:rPr>
          <w:rFonts w:ascii="Times New Roman"/>
          <w:b w:val="false"/>
          <w:i w:val="false"/>
          <w:color w:val="000000"/>
          <w:sz w:val="28"/>
        </w:rPr>
        <w:t xml:space="preserve">
      В настоящее время система научного обеспечения АПК представлена НАО "Национальный аграрный научно-образовательный центр" (далее – НАНОЦ), в состав которого входят 3 вуза, 12 НИИ, 17 ОПХ и СХОС, 2 сервисных центра. Кроме того, научными исследованиями для АПК занимается 10 НИИ МНВО РК и МЭПР РК. </w:t>
      </w:r>
    </w:p>
    <w:p>
      <w:pPr>
        <w:spacing w:after="0"/>
        <w:ind w:left="0"/>
        <w:jc w:val="both"/>
      </w:pPr>
      <w:r>
        <w:rPr>
          <w:rFonts w:ascii="Times New Roman"/>
          <w:b w:val="false"/>
          <w:i w:val="false"/>
          <w:color w:val="000000"/>
          <w:sz w:val="28"/>
        </w:rPr>
        <w:t xml:space="preserve">
      Реформирование системы аграрной науки республики позволило НАНОЦ выстроить стройную научно-производственную вертикаль согласно международной практике, так по сравнению с 2018 годом количество НИИ сократилось с 23 до 12, а количество ОПХ и СХОС увеличилось с 13 до 17. Кроме этого в системе НАНОЦ за последние годы создано 3 демонстрационные площадки и 60 модельных ферм. </w:t>
      </w:r>
    </w:p>
    <w:p>
      <w:pPr>
        <w:spacing w:after="0"/>
        <w:ind w:left="0"/>
        <w:jc w:val="both"/>
      </w:pPr>
      <w:r>
        <w:rPr>
          <w:rFonts w:ascii="Times New Roman"/>
          <w:b w:val="false"/>
          <w:i w:val="false"/>
          <w:color w:val="000000"/>
          <w:sz w:val="28"/>
        </w:rPr>
        <w:t>
      Оптимизирована штатная численность системы НАНОЦ до 8035 единиц (до 2018 года составляла 10349 единиц). В том числе: около 2452 человек – научные сотрудники, из них: докторов наук – 226, кандидатов – 795, PhD докторов – 392 и магистров – 1039 человек.</w:t>
      </w:r>
    </w:p>
    <w:bookmarkStart w:name="z220" w:id="175"/>
    <w:p>
      <w:pPr>
        <w:spacing w:after="0"/>
        <w:ind w:left="0"/>
        <w:jc w:val="both"/>
      </w:pPr>
      <w:r>
        <w:rPr>
          <w:rFonts w:ascii="Times New Roman"/>
          <w:b w:val="false"/>
          <w:i w:val="false"/>
          <w:color w:val="000000"/>
          <w:sz w:val="28"/>
        </w:rPr>
        <w:t>
      Подготовку кадров с высшим образованием для АПК осуществляют 3 специализированных агроуниверситета НАНОЦ, 8 региональных университетов, имеющих сельскохозяйственные факультеты, и 12 многопрофильных университетов. Кроме того, 56 колледжей аграрного профиля осуществляет подготовку кадров с техническим и профессиональным образованием.</w:t>
      </w:r>
    </w:p>
    <w:bookmarkEnd w:id="175"/>
    <w:bookmarkStart w:name="z221" w:id="176"/>
    <w:p>
      <w:pPr>
        <w:spacing w:after="0"/>
        <w:ind w:left="0"/>
        <w:jc w:val="both"/>
      </w:pPr>
      <w:r>
        <w:rPr>
          <w:rFonts w:ascii="Times New Roman"/>
          <w:b w:val="false"/>
          <w:i w:val="false"/>
          <w:color w:val="000000"/>
          <w:sz w:val="28"/>
        </w:rPr>
        <w:t>
      В настоящее время функционирует 25 центров распространения знаний (ЦРЗ).</w:t>
      </w:r>
    </w:p>
    <w:bookmarkEnd w:id="176"/>
    <w:bookmarkStart w:name="z222" w:id="177"/>
    <w:p>
      <w:pPr>
        <w:spacing w:after="0"/>
        <w:ind w:left="0"/>
        <w:jc w:val="both"/>
      </w:pPr>
      <w:r>
        <w:rPr>
          <w:rFonts w:ascii="Times New Roman"/>
          <w:b w:val="false"/>
          <w:i w:val="false"/>
          <w:color w:val="000000"/>
          <w:sz w:val="28"/>
        </w:rPr>
        <w:t xml:space="preserve">
      В аграрной науке наблюдаются старение научных кадров, снижение доли остепененности научных сотрудников, высокий уровень морального и физического износа научного и технологического оборудования, снижение бюджетного финансирования. В результате низкой остается доля РННТД, переданных в аграрное производство, и неудовлетворенность бизнеса в подготовке специалистов для АПК. </w:t>
      </w:r>
    </w:p>
    <w:bookmarkEnd w:id="177"/>
    <w:bookmarkStart w:name="z223" w:id="178"/>
    <w:p>
      <w:pPr>
        <w:spacing w:after="0"/>
        <w:ind w:left="0"/>
        <w:jc w:val="both"/>
      </w:pPr>
      <w:r>
        <w:rPr>
          <w:rFonts w:ascii="Times New Roman"/>
          <w:b w:val="false"/>
          <w:i w:val="false"/>
          <w:color w:val="000000"/>
          <w:sz w:val="28"/>
        </w:rPr>
        <w:t>
      Основные проблемы:</w:t>
      </w:r>
    </w:p>
    <w:bookmarkEnd w:id="178"/>
    <w:bookmarkStart w:name="z224" w:id="179"/>
    <w:p>
      <w:pPr>
        <w:spacing w:after="0"/>
        <w:ind w:left="0"/>
        <w:jc w:val="both"/>
      </w:pPr>
      <w:r>
        <w:rPr>
          <w:rFonts w:ascii="Times New Roman"/>
          <w:b w:val="false"/>
          <w:i w:val="false"/>
          <w:color w:val="000000"/>
          <w:sz w:val="28"/>
        </w:rPr>
        <w:t>
      слабая связь аграрной науки и образования с производством, в том числе в вопросах подготовки кадров;</w:t>
      </w:r>
    </w:p>
    <w:bookmarkEnd w:id="179"/>
    <w:bookmarkStart w:name="z225" w:id="180"/>
    <w:p>
      <w:pPr>
        <w:spacing w:after="0"/>
        <w:ind w:left="0"/>
        <w:jc w:val="both"/>
      </w:pPr>
      <w:r>
        <w:rPr>
          <w:rFonts w:ascii="Times New Roman"/>
          <w:b w:val="false"/>
          <w:i w:val="false"/>
          <w:color w:val="000000"/>
          <w:sz w:val="28"/>
        </w:rPr>
        <w:t xml:space="preserve">
      недостаточное финансирование аграрных научных исследований (менее 1% от ВП сельского хозяйства); </w:t>
      </w:r>
    </w:p>
    <w:bookmarkEnd w:id="180"/>
    <w:bookmarkStart w:name="z226" w:id="181"/>
    <w:p>
      <w:pPr>
        <w:spacing w:after="0"/>
        <w:ind w:left="0"/>
        <w:jc w:val="both"/>
      </w:pPr>
      <w:r>
        <w:rPr>
          <w:rFonts w:ascii="Times New Roman"/>
          <w:b w:val="false"/>
          <w:i w:val="false"/>
          <w:color w:val="000000"/>
          <w:sz w:val="28"/>
        </w:rPr>
        <w:t>
      низкая востребованность РННТД субъектами АПК и их внедрения в производство;</w:t>
      </w:r>
    </w:p>
    <w:bookmarkEnd w:id="181"/>
    <w:bookmarkStart w:name="z227" w:id="182"/>
    <w:p>
      <w:pPr>
        <w:spacing w:after="0"/>
        <w:ind w:left="0"/>
        <w:jc w:val="both"/>
      </w:pPr>
      <w:r>
        <w:rPr>
          <w:rFonts w:ascii="Times New Roman"/>
          <w:b w:val="false"/>
          <w:i w:val="false"/>
          <w:color w:val="000000"/>
          <w:sz w:val="28"/>
        </w:rPr>
        <w:t xml:space="preserve">
      неразвитость сервисной инфраструктуры аграрной науки, в том числе нехватка ЦРЗ, трансферта и коммерциализации агротехнологий; </w:t>
      </w:r>
    </w:p>
    <w:bookmarkEnd w:id="182"/>
    <w:bookmarkStart w:name="z228" w:id="183"/>
    <w:p>
      <w:pPr>
        <w:spacing w:after="0"/>
        <w:ind w:left="0"/>
        <w:jc w:val="both"/>
      </w:pPr>
      <w:r>
        <w:rPr>
          <w:rFonts w:ascii="Times New Roman"/>
          <w:b w:val="false"/>
          <w:i w:val="false"/>
          <w:color w:val="000000"/>
          <w:sz w:val="28"/>
        </w:rPr>
        <w:t xml:space="preserve">
      недофинансирование мероприятий по распространению знаний, коммерциализации и трансферту агротехнологий; </w:t>
      </w:r>
    </w:p>
    <w:bookmarkEnd w:id="183"/>
    <w:bookmarkStart w:name="z229" w:id="184"/>
    <w:p>
      <w:pPr>
        <w:spacing w:after="0"/>
        <w:ind w:left="0"/>
        <w:jc w:val="both"/>
      </w:pPr>
      <w:r>
        <w:rPr>
          <w:rFonts w:ascii="Times New Roman"/>
          <w:b w:val="false"/>
          <w:i w:val="false"/>
          <w:color w:val="000000"/>
          <w:sz w:val="28"/>
        </w:rPr>
        <w:t>
      слабое взаимодействие с ведущими научными центрами развитых стран мира.</w:t>
      </w:r>
    </w:p>
    <w:bookmarkEnd w:id="184"/>
    <w:bookmarkStart w:name="z230" w:id="1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 </w:t>
      </w:r>
      <w:r>
        <w:rPr>
          <w:rFonts w:ascii="Times New Roman"/>
          <w:b w:val="false"/>
          <w:i/>
          <w:color w:val="000000"/>
          <w:sz w:val="28"/>
        </w:rPr>
        <w:t>Земельные ресурсы</w:t>
      </w:r>
    </w:p>
    <w:bookmarkEnd w:id="185"/>
    <w:bookmarkStart w:name="z231" w:id="186"/>
    <w:p>
      <w:pPr>
        <w:spacing w:after="0"/>
        <w:ind w:left="0"/>
        <w:jc w:val="both"/>
      </w:pPr>
      <w:r>
        <w:rPr>
          <w:rFonts w:ascii="Times New Roman"/>
          <w:b w:val="false"/>
          <w:i w:val="false"/>
          <w:color w:val="000000"/>
          <w:sz w:val="28"/>
        </w:rPr>
        <w:t>
      Площадь земель сельскохозяйственного назначения, закрепленных за землепользователями, составляет 108,6 млн га.</w:t>
      </w:r>
    </w:p>
    <w:bookmarkEnd w:id="186"/>
    <w:bookmarkStart w:name="z232" w:id="187"/>
    <w:p>
      <w:pPr>
        <w:spacing w:after="0"/>
        <w:ind w:left="0"/>
        <w:jc w:val="both"/>
      </w:pPr>
      <w:r>
        <w:rPr>
          <w:rFonts w:ascii="Times New Roman"/>
          <w:b w:val="false"/>
          <w:i w:val="false"/>
          <w:color w:val="000000"/>
          <w:sz w:val="28"/>
        </w:rPr>
        <w:t>
      В категории земель сельскохозяйственного назначения находятся наиболее ценные для сферы сельского хозяйства и АПК сельхозугодья, в том числе пашня, многолетние насаждения, залежь, сенокосы, пастбища.</w:t>
      </w:r>
    </w:p>
    <w:bookmarkEnd w:id="187"/>
    <w:bookmarkStart w:name="z233" w:id="188"/>
    <w:p>
      <w:pPr>
        <w:spacing w:after="0"/>
        <w:ind w:left="0"/>
        <w:jc w:val="both"/>
      </w:pPr>
      <w:r>
        <w:rPr>
          <w:rFonts w:ascii="Times New Roman"/>
          <w:b w:val="false"/>
          <w:i w:val="false"/>
          <w:color w:val="000000"/>
          <w:sz w:val="28"/>
        </w:rPr>
        <w:t>
      По состоянию на 1 января 2021 года в структуре земель сельскохозяйственного назначения сельхозугодья составляют 97,2 %, в том числе: пашня – 23,8 %, многолетние насаждения – 0,1 %, залежь – 1,7 %, сенокосы – 2,0 %, пастбища – 69,6 %.</w:t>
      </w:r>
    </w:p>
    <w:bookmarkEnd w:id="188"/>
    <w:bookmarkStart w:name="z234" w:id="189"/>
    <w:p>
      <w:pPr>
        <w:spacing w:after="0"/>
        <w:ind w:left="0"/>
        <w:jc w:val="both"/>
      </w:pPr>
      <w:r>
        <w:rPr>
          <w:rFonts w:ascii="Times New Roman"/>
          <w:b w:val="false"/>
          <w:i w:val="false"/>
          <w:color w:val="000000"/>
          <w:sz w:val="28"/>
        </w:rPr>
        <w:t xml:space="preserve">
      За последние 3 года отмечается рост пашни на 5 %, составив 26,3 млн га, сенокосов – на 5 %, составив 2,2 млн га, пастбищ – на 7,4 %, составив 75,6 млн га. Отмечается снижение залежи на 40%, составив 1,8 млн га. </w:t>
      </w:r>
    </w:p>
    <w:bookmarkEnd w:id="189"/>
    <w:bookmarkStart w:name="z235" w:id="190"/>
    <w:p>
      <w:pPr>
        <w:spacing w:after="0"/>
        <w:ind w:left="0"/>
        <w:jc w:val="both"/>
      </w:pPr>
      <w:r>
        <w:rPr>
          <w:rFonts w:ascii="Times New Roman"/>
          <w:b w:val="false"/>
          <w:i w:val="false"/>
          <w:color w:val="000000"/>
          <w:sz w:val="28"/>
        </w:rPr>
        <w:t>
      Кроме того, за последние 3 года из земель сельскохозяйственного назначения было выведено 307 тысяч га земель в целях расширения границ населенных пунктов и промышленности.</w:t>
      </w:r>
    </w:p>
    <w:bookmarkEnd w:id="190"/>
    <w:bookmarkStart w:name="z236" w:id="191"/>
    <w:p>
      <w:pPr>
        <w:spacing w:after="0"/>
        <w:ind w:left="0"/>
        <w:jc w:val="both"/>
      </w:pPr>
      <w:r>
        <w:rPr>
          <w:rFonts w:ascii="Times New Roman"/>
          <w:b w:val="false"/>
          <w:i w:val="false"/>
          <w:color w:val="000000"/>
          <w:sz w:val="28"/>
        </w:rPr>
        <w:t>
      За период с 2018 – 2020 годы выполнены работы по сельскохозяйственному картографированию на площади 34 млн га.</w:t>
      </w:r>
    </w:p>
    <w:bookmarkEnd w:id="191"/>
    <w:bookmarkStart w:name="z237" w:id="192"/>
    <w:p>
      <w:pPr>
        <w:spacing w:after="0"/>
        <w:ind w:left="0"/>
        <w:jc w:val="both"/>
      </w:pPr>
      <w:r>
        <w:rPr>
          <w:rFonts w:ascii="Times New Roman"/>
          <w:b w:val="false"/>
          <w:i w:val="false"/>
          <w:color w:val="000000"/>
          <w:sz w:val="28"/>
        </w:rPr>
        <w:t>
      Созданная автоматизированная информационная система Государственного земельного кадастра содержит 6,5 млн сведений по земельным участкам в атрибутивной части и 5 млн сведений в графической части.</w:t>
      </w:r>
    </w:p>
    <w:bookmarkEnd w:id="192"/>
    <w:bookmarkStart w:name="z238" w:id="193"/>
    <w:p>
      <w:pPr>
        <w:spacing w:after="0"/>
        <w:ind w:left="0"/>
        <w:jc w:val="both"/>
      </w:pPr>
      <w:r>
        <w:rPr>
          <w:rFonts w:ascii="Times New Roman"/>
          <w:b w:val="false"/>
          <w:i w:val="false"/>
          <w:color w:val="000000"/>
          <w:sz w:val="28"/>
        </w:rPr>
        <w:t xml:space="preserve">
      В 2018 – 2020 годах была проведена масштабная работа по цифровизации земель сельскохозяйственного назначения. </w:t>
      </w:r>
    </w:p>
    <w:bookmarkEnd w:id="193"/>
    <w:bookmarkStart w:name="z239" w:id="194"/>
    <w:p>
      <w:pPr>
        <w:spacing w:after="0"/>
        <w:ind w:left="0"/>
        <w:jc w:val="both"/>
      </w:pPr>
      <w:r>
        <w:rPr>
          <w:rFonts w:ascii="Times New Roman"/>
          <w:b w:val="false"/>
          <w:i w:val="false"/>
          <w:color w:val="000000"/>
          <w:sz w:val="28"/>
        </w:rPr>
        <w:t>
      Разработана и внедрена технология космического мониторинга, позволяющая контролировать ход посевных и уборочных работ.</w:t>
      </w:r>
    </w:p>
    <w:bookmarkEnd w:id="194"/>
    <w:bookmarkStart w:name="z240" w:id="195"/>
    <w:p>
      <w:pPr>
        <w:spacing w:after="0"/>
        <w:ind w:left="0"/>
        <w:jc w:val="both"/>
      </w:pPr>
      <w:r>
        <w:rPr>
          <w:rFonts w:ascii="Times New Roman"/>
          <w:b w:val="false"/>
          <w:i w:val="false"/>
          <w:color w:val="000000"/>
          <w:sz w:val="28"/>
        </w:rPr>
        <w:t>
      Вместе с тем проведенное в 2014 году разделение полномочий между центральным и местными исполнительными органами привело к разрушению единой вертикали земельной инспекции и как результат к ослаблению контроля за процессами землепользования. Остаются разрозненными структуры, призванные проводить агрохимическое обследование почв.</w:t>
      </w:r>
    </w:p>
    <w:bookmarkEnd w:id="195"/>
    <w:bookmarkStart w:name="z241" w:id="196"/>
    <w:p>
      <w:pPr>
        <w:spacing w:after="0"/>
        <w:ind w:left="0"/>
        <w:jc w:val="both"/>
      </w:pPr>
      <w:r>
        <w:rPr>
          <w:rFonts w:ascii="Times New Roman"/>
          <w:b w:val="false"/>
          <w:i w:val="false"/>
          <w:color w:val="000000"/>
          <w:sz w:val="28"/>
        </w:rPr>
        <w:t xml:space="preserve">
      Все еще остаются недостаточными объемы финансирования работ по проведению почвенных изысканий и геоботанического обследования земель. </w:t>
      </w:r>
    </w:p>
    <w:bookmarkEnd w:id="196"/>
    <w:bookmarkStart w:name="z242" w:id="197"/>
    <w:p>
      <w:pPr>
        <w:spacing w:after="0"/>
        <w:ind w:left="0"/>
        <w:jc w:val="both"/>
      </w:pPr>
      <w:r>
        <w:rPr>
          <w:rFonts w:ascii="Times New Roman"/>
          <w:b w:val="false"/>
          <w:i w:val="false"/>
          <w:color w:val="000000"/>
          <w:sz w:val="28"/>
        </w:rPr>
        <w:t xml:space="preserve">
      Помимо этого, неудачно выбранная тактика центральных исполнительных органов по использованию института частной собственности для активизации процесса вовлечения земель сельскохозяйственного назначения в рыночный оборот в 2016 году вызвали негативную реакцию общественности, в результате которой пришлось наложить мораторий на отдельные положения </w:t>
      </w:r>
      <w:r>
        <w:rPr>
          <w:rFonts w:ascii="Times New Roman"/>
          <w:b w:val="false"/>
          <w:i w:val="false"/>
          <w:color w:val="000000"/>
          <w:sz w:val="28"/>
        </w:rPr>
        <w:t>Земельного кодекса</w:t>
      </w:r>
      <w:r>
        <w:rPr>
          <w:rFonts w:ascii="Times New Roman"/>
          <w:b w:val="false"/>
          <w:i w:val="false"/>
          <w:color w:val="000000"/>
          <w:sz w:val="28"/>
        </w:rPr>
        <w:t>. К сожалению, этот вопрос до сих пор остается нерешенным.</w:t>
      </w:r>
    </w:p>
    <w:bookmarkEnd w:id="197"/>
    <w:bookmarkStart w:name="z243" w:id="198"/>
    <w:p>
      <w:pPr>
        <w:spacing w:after="0"/>
        <w:ind w:left="0"/>
        <w:jc w:val="both"/>
      </w:pPr>
      <w:r>
        <w:rPr>
          <w:rFonts w:ascii="Times New Roman"/>
          <w:b w:val="false"/>
          <w:i w:val="false"/>
          <w:color w:val="000000"/>
          <w:sz w:val="28"/>
        </w:rPr>
        <w:t>
      В результате земельных реформ количество хозяйствующих субъектов существенно выросло и в 2020 году составило 227 515 субъектов, в том числе крестьянские и фермерские хозяйства – 215806 субъектов на площади 66,2 млн га, негосударственные юридические лица – 11099 субъектов на площади 40,3 млн га, государственные юридические лица – 610 субъектов на площади 0,8 млн га.</w:t>
      </w:r>
    </w:p>
    <w:bookmarkEnd w:id="198"/>
    <w:bookmarkStart w:name="z244" w:id="199"/>
    <w:p>
      <w:pPr>
        <w:spacing w:after="0"/>
        <w:ind w:left="0"/>
        <w:jc w:val="both"/>
      </w:pPr>
      <w:r>
        <w:rPr>
          <w:rFonts w:ascii="Times New Roman"/>
          <w:b w:val="false"/>
          <w:i w:val="false"/>
          <w:color w:val="000000"/>
          <w:sz w:val="28"/>
        </w:rPr>
        <w:t xml:space="preserve">
      Тем не менее, остаются не до конца решенными вопросы осуществления контроля за процессами землепользования из-за отсутствия их действенных методов определения видового состава растений на полях и пастбищах, основанных на современных цифровых технологиях. С целью сохранения стабильности границ земель нынешних сельхозформирований, чьи земельные участки в свое время были сформированы за счет земельных долей сельских жителей, предстоит пересмотреть и конкретизировать отдельные положения Земельного кодекса касательно прав граждан на условную земельную долю. </w:t>
      </w:r>
    </w:p>
    <w:bookmarkEnd w:id="199"/>
    <w:bookmarkStart w:name="z245" w:id="200"/>
    <w:p>
      <w:pPr>
        <w:spacing w:after="0"/>
        <w:ind w:left="0"/>
        <w:jc w:val="both"/>
      </w:pPr>
      <w:r>
        <w:rPr>
          <w:rFonts w:ascii="Times New Roman"/>
          <w:b w:val="false"/>
          <w:i w:val="false"/>
          <w:color w:val="000000"/>
          <w:sz w:val="28"/>
        </w:rPr>
        <w:t>
      Основные проблемы:</w:t>
      </w:r>
    </w:p>
    <w:bookmarkEnd w:id="200"/>
    <w:bookmarkStart w:name="z246" w:id="201"/>
    <w:p>
      <w:pPr>
        <w:spacing w:after="0"/>
        <w:ind w:left="0"/>
        <w:jc w:val="both"/>
      </w:pPr>
      <w:r>
        <w:rPr>
          <w:rFonts w:ascii="Times New Roman"/>
          <w:b w:val="false"/>
          <w:i w:val="false"/>
          <w:color w:val="000000"/>
          <w:sz w:val="28"/>
        </w:rPr>
        <w:t>
      нерациональное использование земель сельскохозяйственного назначения, отсутствие эффективной системы контроля за процессами землепользования и соблюдением севооборотов;</w:t>
      </w:r>
    </w:p>
    <w:bookmarkEnd w:id="201"/>
    <w:bookmarkStart w:name="z247" w:id="202"/>
    <w:p>
      <w:pPr>
        <w:spacing w:after="0"/>
        <w:ind w:left="0"/>
        <w:jc w:val="both"/>
      </w:pPr>
      <w:r>
        <w:rPr>
          <w:rFonts w:ascii="Times New Roman"/>
          <w:b w:val="false"/>
          <w:i w:val="false"/>
          <w:color w:val="000000"/>
          <w:sz w:val="28"/>
        </w:rPr>
        <w:t xml:space="preserve">
      полная децентрализация сферы управления земельных отношений и государственного контроля за использованием и охраной земель; </w:t>
      </w:r>
    </w:p>
    <w:bookmarkEnd w:id="202"/>
    <w:bookmarkStart w:name="z248" w:id="203"/>
    <w:p>
      <w:pPr>
        <w:spacing w:after="0"/>
        <w:ind w:left="0"/>
        <w:jc w:val="both"/>
      </w:pPr>
      <w:r>
        <w:rPr>
          <w:rFonts w:ascii="Times New Roman"/>
          <w:b w:val="false"/>
          <w:i w:val="false"/>
          <w:color w:val="000000"/>
          <w:sz w:val="28"/>
        </w:rPr>
        <w:t>
      ухудшение качества земель, отсутствие единой службы и платформы по качественному (почвенный, геоботанический, агрохимический) учету земель, невыполнение требований периодичности обследования ввиду отсутствия финансирования;</w:t>
      </w:r>
    </w:p>
    <w:bookmarkEnd w:id="203"/>
    <w:bookmarkStart w:name="z249" w:id="204"/>
    <w:p>
      <w:pPr>
        <w:spacing w:after="0"/>
        <w:ind w:left="0"/>
        <w:jc w:val="both"/>
      </w:pPr>
      <w:r>
        <w:rPr>
          <w:rFonts w:ascii="Times New Roman"/>
          <w:b w:val="false"/>
          <w:i w:val="false"/>
          <w:color w:val="000000"/>
          <w:sz w:val="28"/>
        </w:rPr>
        <w:t>
      отсутствие информации из единого источника о свободных земельных участках в электронном формате;</w:t>
      </w:r>
    </w:p>
    <w:bookmarkEnd w:id="204"/>
    <w:bookmarkStart w:name="z250" w:id="205"/>
    <w:p>
      <w:pPr>
        <w:spacing w:after="0"/>
        <w:ind w:left="0"/>
        <w:jc w:val="both"/>
      </w:pPr>
      <w:r>
        <w:rPr>
          <w:rFonts w:ascii="Times New Roman"/>
          <w:b w:val="false"/>
          <w:i w:val="false"/>
          <w:color w:val="000000"/>
          <w:sz w:val="28"/>
        </w:rPr>
        <w:t>
      низкие темпы вовлечения неиспользуемых сельскохозяйственных земель в оборот;</w:t>
      </w:r>
    </w:p>
    <w:bookmarkEnd w:id="205"/>
    <w:bookmarkStart w:name="z251" w:id="206"/>
    <w:p>
      <w:pPr>
        <w:spacing w:after="0"/>
        <w:ind w:left="0"/>
        <w:jc w:val="both"/>
      </w:pPr>
      <w:r>
        <w:rPr>
          <w:rFonts w:ascii="Times New Roman"/>
          <w:b w:val="false"/>
          <w:i w:val="false"/>
          <w:color w:val="000000"/>
          <w:sz w:val="28"/>
        </w:rPr>
        <w:t>
      проблемы условных земельных долей в части выхода из состава с конкретным земельным участком, в выплате дивидендов и запрета выхода при залоге в банках второго уровня;</w:t>
      </w:r>
    </w:p>
    <w:bookmarkEnd w:id="206"/>
    <w:bookmarkStart w:name="z252" w:id="207"/>
    <w:p>
      <w:pPr>
        <w:spacing w:after="0"/>
        <w:ind w:left="0"/>
        <w:jc w:val="both"/>
      </w:pPr>
      <w:r>
        <w:rPr>
          <w:rFonts w:ascii="Times New Roman"/>
          <w:b w:val="false"/>
          <w:i w:val="false"/>
          <w:color w:val="000000"/>
          <w:sz w:val="28"/>
        </w:rPr>
        <w:t>
      несоответствие методологического подхода в оценке состояния земельных ресурсов требованиям классификации LDN (показатель ЦУР 15.3.1), что не позволяет провести сравнительный анализ и оценку с другими странами.</w:t>
      </w:r>
    </w:p>
    <w:bookmarkEnd w:id="207"/>
    <w:bookmarkStart w:name="z253" w:id="2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 </w:t>
      </w:r>
      <w:r>
        <w:rPr>
          <w:rFonts w:ascii="Times New Roman"/>
          <w:b w:val="false"/>
          <w:i/>
          <w:color w:val="000000"/>
          <w:sz w:val="28"/>
        </w:rPr>
        <w:t>Цифровизация АПК</w:t>
      </w:r>
    </w:p>
    <w:bookmarkEnd w:id="208"/>
    <w:bookmarkStart w:name="z254" w:id="209"/>
    <w:p>
      <w:pPr>
        <w:spacing w:after="0"/>
        <w:ind w:left="0"/>
        <w:jc w:val="both"/>
      </w:pPr>
      <w:r>
        <w:rPr>
          <w:rFonts w:ascii="Times New Roman"/>
          <w:b w:val="false"/>
          <w:i w:val="false"/>
          <w:color w:val="000000"/>
          <w:sz w:val="28"/>
        </w:rPr>
        <w:t xml:space="preserve">
      На сегодняшний день в сельском хозяйстве доля сельхозпроизводителей, применяющих цифровые технологии, незначительна, что ограничивает рост производительности и сокращения расходов. </w:t>
      </w:r>
    </w:p>
    <w:bookmarkEnd w:id="209"/>
    <w:bookmarkStart w:name="z255" w:id="210"/>
    <w:p>
      <w:pPr>
        <w:spacing w:after="0"/>
        <w:ind w:left="0"/>
        <w:jc w:val="both"/>
      </w:pPr>
      <w:r>
        <w:rPr>
          <w:rFonts w:ascii="Times New Roman"/>
          <w:b w:val="false"/>
          <w:i w:val="false"/>
          <w:color w:val="000000"/>
          <w:sz w:val="28"/>
        </w:rPr>
        <w:t>
      Используется практика внедрения элементов "точного" земледелия в пилотных хозяйствах, что позволило снизить затраты фермеров на 20 % и повысить урожайность, например, зерновых до 25 центнеров с гектара.</w:t>
      </w:r>
    </w:p>
    <w:bookmarkEnd w:id="210"/>
    <w:bookmarkStart w:name="z256" w:id="211"/>
    <w:p>
      <w:pPr>
        <w:spacing w:after="0"/>
        <w:ind w:left="0"/>
        <w:jc w:val="both"/>
      </w:pPr>
      <w:r>
        <w:rPr>
          <w:rFonts w:ascii="Times New Roman"/>
          <w:b w:val="false"/>
          <w:i w:val="false"/>
          <w:color w:val="000000"/>
          <w:sz w:val="28"/>
        </w:rPr>
        <w:t>
      В пилотных животноводческих хозяйствах цифровизация сократила расходы на 15 – 20 % при снижении падежа и увеличении поголовья на 15 и 10 %.</w:t>
      </w:r>
    </w:p>
    <w:bookmarkEnd w:id="211"/>
    <w:bookmarkStart w:name="z257" w:id="212"/>
    <w:p>
      <w:pPr>
        <w:spacing w:after="0"/>
        <w:ind w:left="0"/>
        <w:jc w:val="both"/>
      </w:pPr>
      <w:r>
        <w:rPr>
          <w:rFonts w:ascii="Times New Roman"/>
          <w:b w:val="false"/>
          <w:i w:val="false"/>
          <w:color w:val="000000"/>
          <w:sz w:val="28"/>
        </w:rPr>
        <w:t>
      Также применение современного оборудования отразилось на увеличении надоя молока более чем на 18 %, выход телят вырос на 20 %. За счет наблюдения за физическим состоянием КРС удалось сократить сервисный период коров (от отела до оплодотворения).</w:t>
      </w:r>
    </w:p>
    <w:bookmarkEnd w:id="212"/>
    <w:bookmarkStart w:name="z258" w:id="213"/>
    <w:p>
      <w:pPr>
        <w:spacing w:after="0"/>
        <w:ind w:left="0"/>
        <w:jc w:val="both"/>
      </w:pPr>
      <w:r>
        <w:rPr>
          <w:rFonts w:ascii="Times New Roman"/>
          <w:b w:val="false"/>
          <w:i w:val="false"/>
          <w:color w:val="000000"/>
          <w:sz w:val="28"/>
        </w:rPr>
        <w:t>
      Основные проблемы:</w:t>
      </w:r>
    </w:p>
    <w:bookmarkEnd w:id="213"/>
    <w:bookmarkStart w:name="z259" w:id="214"/>
    <w:p>
      <w:pPr>
        <w:spacing w:after="0"/>
        <w:ind w:left="0"/>
        <w:jc w:val="both"/>
      </w:pPr>
      <w:r>
        <w:rPr>
          <w:rFonts w:ascii="Times New Roman"/>
          <w:b w:val="false"/>
          <w:i w:val="false"/>
          <w:color w:val="000000"/>
          <w:sz w:val="28"/>
        </w:rPr>
        <w:t>
      слабость и неустойчивость сети мобильной связи и интернета в сельской местности;</w:t>
      </w:r>
    </w:p>
    <w:bookmarkEnd w:id="214"/>
    <w:bookmarkStart w:name="z260" w:id="215"/>
    <w:p>
      <w:pPr>
        <w:spacing w:after="0"/>
        <w:ind w:left="0"/>
        <w:jc w:val="both"/>
      </w:pPr>
      <w:r>
        <w:rPr>
          <w:rFonts w:ascii="Times New Roman"/>
          <w:b w:val="false"/>
          <w:i w:val="false"/>
          <w:color w:val="000000"/>
          <w:sz w:val="28"/>
        </w:rPr>
        <w:t>
      отсутствие знаний и навыков по применению цифровых решений;</w:t>
      </w:r>
    </w:p>
    <w:bookmarkEnd w:id="215"/>
    <w:bookmarkStart w:name="z261" w:id="216"/>
    <w:p>
      <w:pPr>
        <w:spacing w:after="0"/>
        <w:ind w:left="0"/>
        <w:jc w:val="both"/>
      </w:pPr>
      <w:r>
        <w:rPr>
          <w:rFonts w:ascii="Times New Roman"/>
          <w:b w:val="false"/>
          <w:i w:val="false"/>
          <w:color w:val="000000"/>
          <w:sz w:val="28"/>
        </w:rPr>
        <w:t>
      отсутствие на местах специалистов на стыке сельского хозяйства и IT-решений;</w:t>
      </w:r>
    </w:p>
    <w:bookmarkEnd w:id="216"/>
    <w:bookmarkStart w:name="z262" w:id="217"/>
    <w:p>
      <w:pPr>
        <w:spacing w:after="0"/>
        <w:ind w:left="0"/>
        <w:jc w:val="both"/>
      </w:pPr>
      <w:r>
        <w:rPr>
          <w:rFonts w:ascii="Times New Roman"/>
          <w:b w:val="false"/>
          <w:i w:val="false"/>
          <w:color w:val="000000"/>
          <w:sz w:val="28"/>
        </w:rPr>
        <w:t>
      отсутствие единой цифровой платформы агропромышленного комплекса.</w:t>
      </w:r>
    </w:p>
    <w:bookmarkEnd w:id="217"/>
    <w:bookmarkStart w:name="z263" w:id="2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2.10. </w:t>
      </w:r>
      <w:r>
        <w:rPr>
          <w:rFonts w:ascii="Times New Roman"/>
          <w:b w:val="false"/>
          <w:i/>
          <w:color w:val="000000"/>
          <w:sz w:val="28"/>
        </w:rPr>
        <w:t>Государственная поддержка</w:t>
      </w:r>
    </w:p>
    <w:bookmarkEnd w:id="218"/>
    <w:bookmarkStart w:name="z264" w:id="219"/>
    <w:p>
      <w:pPr>
        <w:spacing w:after="0"/>
        <w:ind w:left="0"/>
        <w:jc w:val="both"/>
      </w:pPr>
      <w:r>
        <w:rPr>
          <w:rFonts w:ascii="Times New Roman"/>
          <w:b w:val="false"/>
          <w:i w:val="false"/>
          <w:color w:val="000000"/>
          <w:sz w:val="28"/>
        </w:rPr>
        <w:t xml:space="preserve">
      Объемы государственной поддержки АПК продолжали стабильно увеличиваться и в последние годы. Так, объемы лизинговой программы в 2020 году по сравнению с 2017 годом выросли на 155 % и достигли 114 млрд тенге, а объемы субсидирования – на 20,4 % и достигли уровня 260,5 млрд тенге. На этом фоне выросли и объемы льготного кредитования сезонных сельскохозяйственных работ. Если в 2017 году на эти цели было направлено 67,3 млрд тенге льготных кредитных ресурсов, то в 2020 году этот показатель достиг уровня 86,2 млрд тенге. </w:t>
      </w:r>
    </w:p>
    <w:bookmarkEnd w:id="219"/>
    <w:bookmarkStart w:name="z265" w:id="220"/>
    <w:p>
      <w:pPr>
        <w:spacing w:after="0"/>
        <w:ind w:left="0"/>
        <w:jc w:val="both"/>
      </w:pPr>
      <w:r>
        <w:rPr>
          <w:rFonts w:ascii="Times New Roman"/>
          <w:b w:val="false"/>
          <w:i w:val="false"/>
          <w:color w:val="000000"/>
          <w:sz w:val="28"/>
        </w:rPr>
        <w:t>
      Сформирована институциональная система финансовой поддержки АПК через специализированные организации, переданные в 2021 году под единое управление в АО "Национальный управляющий холдинг "Байтерек".</w:t>
      </w:r>
    </w:p>
    <w:bookmarkEnd w:id="220"/>
    <w:bookmarkStart w:name="z266" w:id="221"/>
    <w:p>
      <w:pPr>
        <w:spacing w:after="0"/>
        <w:ind w:left="0"/>
        <w:jc w:val="both"/>
      </w:pPr>
      <w:r>
        <w:rPr>
          <w:rFonts w:ascii="Times New Roman"/>
          <w:b w:val="false"/>
          <w:i w:val="false"/>
          <w:color w:val="000000"/>
          <w:sz w:val="28"/>
        </w:rPr>
        <w:t>
      Все бизнес-процессы для получения субсидий автоматизированы. Осуществлен переход от обязательного агрострахования к добровольному. Тем не менее, здесь все еще немало проблем. Это низкая оценка финансовых институтов к залоговому обеспечению мелких и средних фермеров, ограниченность как кредитных, так и бюджетных средств. Неполное покрытие интернет-связью сельской местности по всей республике.</w:t>
      </w:r>
    </w:p>
    <w:bookmarkEnd w:id="221"/>
    <w:bookmarkStart w:name="z267" w:id="222"/>
    <w:p>
      <w:pPr>
        <w:spacing w:after="0"/>
        <w:ind w:left="0"/>
        <w:jc w:val="both"/>
      </w:pPr>
      <w:r>
        <w:rPr>
          <w:rFonts w:ascii="Times New Roman"/>
          <w:b w:val="false"/>
          <w:i w:val="false"/>
          <w:color w:val="000000"/>
          <w:sz w:val="28"/>
        </w:rPr>
        <w:t>
      В настоящее время субсидирование в агропромышленном комплексе осуществляется по 12 направлениям и по 51 видам.</w:t>
      </w:r>
    </w:p>
    <w:bookmarkEnd w:id="222"/>
    <w:bookmarkStart w:name="z268" w:id="223"/>
    <w:p>
      <w:pPr>
        <w:spacing w:after="0"/>
        <w:ind w:left="0"/>
        <w:jc w:val="both"/>
      </w:pPr>
      <w:r>
        <w:rPr>
          <w:rFonts w:ascii="Times New Roman"/>
          <w:b w:val="false"/>
          <w:i w:val="false"/>
          <w:color w:val="000000"/>
          <w:sz w:val="28"/>
        </w:rPr>
        <w:t>
      Основные проблемы:</w:t>
      </w:r>
    </w:p>
    <w:bookmarkEnd w:id="223"/>
    <w:bookmarkStart w:name="z269" w:id="224"/>
    <w:p>
      <w:pPr>
        <w:spacing w:after="0"/>
        <w:ind w:left="0"/>
        <w:jc w:val="both"/>
      </w:pPr>
      <w:r>
        <w:rPr>
          <w:rFonts w:ascii="Times New Roman"/>
          <w:b w:val="false"/>
          <w:i w:val="false"/>
          <w:color w:val="000000"/>
          <w:sz w:val="28"/>
        </w:rPr>
        <w:t>
      низкая инвестиционная привлекательность АПК;</w:t>
      </w:r>
    </w:p>
    <w:bookmarkEnd w:id="224"/>
    <w:bookmarkStart w:name="z270" w:id="225"/>
    <w:p>
      <w:pPr>
        <w:spacing w:after="0"/>
        <w:ind w:left="0"/>
        <w:jc w:val="both"/>
      </w:pPr>
      <w:r>
        <w:rPr>
          <w:rFonts w:ascii="Times New Roman"/>
          <w:b w:val="false"/>
          <w:i w:val="false"/>
          <w:color w:val="000000"/>
          <w:sz w:val="28"/>
        </w:rPr>
        <w:t>
      низкая степень доступности банковских кредитов и отсутствие стимулирования негосударственного финансового сектора к снижению процентных ставок по кредитам и лизингу;</w:t>
      </w:r>
    </w:p>
    <w:bookmarkEnd w:id="225"/>
    <w:bookmarkStart w:name="z271" w:id="226"/>
    <w:p>
      <w:pPr>
        <w:spacing w:after="0"/>
        <w:ind w:left="0"/>
        <w:jc w:val="both"/>
      </w:pPr>
      <w:r>
        <w:rPr>
          <w:rFonts w:ascii="Times New Roman"/>
          <w:b w:val="false"/>
          <w:i w:val="false"/>
          <w:color w:val="000000"/>
          <w:sz w:val="28"/>
        </w:rPr>
        <w:t>
      ограниченность ресурсов квазигосударственных институтов развития для финансирования отрасли;</w:t>
      </w:r>
    </w:p>
    <w:bookmarkEnd w:id="226"/>
    <w:bookmarkStart w:name="z272" w:id="227"/>
    <w:p>
      <w:pPr>
        <w:spacing w:after="0"/>
        <w:ind w:left="0"/>
        <w:jc w:val="both"/>
      </w:pPr>
      <w:r>
        <w:rPr>
          <w:rFonts w:ascii="Times New Roman"/>
          <w:b w:val="false"/>
          <w:i w:val="false"/>
          <w:color w:val="000000"/>
          <w:sz w:val="28"/>
        </w:rPr>
        <w:t>
      недостаточность залогового обеспечения, непривлекательность сельхозземель из-за их низкой ликвидности;</w:t>
      </w:r>
    </w:p>
    <w:bookmarkEnd w:id="227"/>
    <w:bookmarkStart w:name="z273" w:id="228"/>
    <w:p>
      <w:pPr>
        <w:spacing w:after="0"/>
        <w:ind w:left="0"/>
        <w:jc w:val="both"/>
      </w:pPr>
      <w:r>
        <w:rPr>
          <w:rFonts w:ascii="Times New Roman"/>
          <w:b w:val="false"/>
          <w:i w:val="false"/>
          <w:color w:val="000000"/>
          <w:sz w:val="28"/>
        </w:rPr>
        <w:t>
      низкий уровень финансовой грамотности фермеров;</w:t>
      </w:r>
    </w:p>
    <w:bookmarkEnd w:id="228"/>
    <w:bookmarkStart w:name="z274" w:id="229"/>
    <w:p>
      <w:pPr>
        <w:spacing w:after="0"/>
        <w:ind w:left="0"/>
        <w:jc w:val="both"/>
      </w:pPr>
      <w:r>
        <w:rPr>
          <w:rFonts w:ascii="Times New Roman"/>
          <w:b w:val="false"/>
          <w:i w:val="false"/>
          <w:color w:val="000000"/>
          <w:sz w:val="28"/>
        </w:rPr>
        <w:t>
      отсутствие встречных обязательств получателя субсидий и четких, легко контролируемых индикативов, показывающих результативность субсидий;</w:t>
      </w:r>
    </w:p>
    <w:bookmarkEnd w:id="229"/>
    <w:bookmarkStart w:name="z275" w:id="230"/>
    <w:p>
      <w:pPr>
        <w:spacing w:after="0"/>
        <w:ind w:left="0"/>
        <w:jc w:val="both"/>
      </w:pPr>
      <w:r>
        <w:rPr>
          <w:rFonts w:ascii="Times New Roman"/>
          <w:b w:val="false"/>
          <w:i w:val="false"/>
          <w:color w:val="000000"/>
          <w:sz w:val="28"/>
        </w:rPr>
        <w:t xml:space="preserve">
      отсутствие системы эффективного планирования и мониторинга субсидирования. </w:t>
      </w:r>
    </w:p>
    <w:bookmarkEnd w:id="230"/>
    <w:bookmarkStart w:name="z276" w:id="231"/>
    <w:p>
      <w:pPr>
        <w:spacing w:after="0"/>
        <w:ind w:left="0"/>
        <w:jc w:val="both"/>
      </w:pPr>
      <w:r>
        <w:rPr>
          <w:rFonts w:ascii="Times New Roman"/>
          <w:b w:val="false"/>
          <w:i w:val="false"/>
          <w:color w:val="000000"/>
          <w:sz w:val="28"/>
        </w:rPr>
        <w:t xml:space="preserve">
      В целом за последние годы благодаря реализации мер государственной поддержки, наблюдается положительная динамика развития агропромышленного комплекса Республики Казахстан (далее – АПК), увеличиваются объемы производства сельскохозяйственной продукции и продуктов ее переработки, растет оснащенность оборудованием и современной высокопроизводительной сельхозтехникой. </w:t>
      </w:r>
    </w:p>
    <w:bookmarkEnd w:id="231"/>
    <w:bookmarkStart w:name="z277" w:id="232"/>
    <w:p>
      <w:pPr>
        <w:spacing w:after="0"/>
        <w:ind w:left="0"/>
        <w:jc w:val="both"/>
      </w:pPr>
      <w:r>
        <w:rPr>
          <w:rFonts w:ascii="Times New Roman"/>
          <w:b w:val="false"/>
          <w:i w:val="false"/>
          <w:color w:val="000000"/>
          <w:sz w:val="28"/>
        </w:rPr>
        <w:t xml:space="preserve">
      В условиях рыночной экономики в рамках мировой системы производства и торговли сельскохозяйственной продукцией, приоритетное значение приобретают национальные конкурентные преимущества и их развитие. Обеспечение конкурентоспособности аграрного сектора предполагает его устойчивое развитие, основанное на индустриализации аграрного производства и росте его эффективности. </w:t>
      </w:r>
    </w:p>
    <w:bookmarkEnd w:id="232"/>
    <w:bookmarkStart w:name="z278" w:id="233"/>
    <w:p>
      <w:pPr>
        <w:spacing w:after="0"/>
        <w:ind w:left="0"/>
        <w:jc w:val="both"/>
      </w:pPr>
      <w:r>
        <w:rPr>
          <w:rFonts w:ascii="Times New Roman"/>
          <w:b w:val="false"/>
          <w:i w:val="false"/>
          <w:color w:val="000000"/>
          <w:sz w:val="28"/>
        </w:rPr>
        <w:t>
      АПК имеет перспективы для дальнейшего развития: имеются емкие рынки сбыта, достаточные площади сельскохозяйственных угодий, высокие перспективы развития орошаемого земледелия, усиливаются экспортные позиции масличной и мясной подотрасли, а по зерну и муке Казахстан входит в число крупнейших стран-экспортеров в мире.</w:t>
      </w:r>
    </w:p>
    <w:bookmarkEnd w:id="233"/>
    <w:bookmarkStart w:name="z279" w:id="234"/>
    <w:p>
      <w:pPr>
        <w:spacing w:after="0"/>
        <w:ind w:left="0"/>
        <w:jc w:val="both"/>
      </w:pPr>
      <w:r>
        <w:rPr>
          <w:rFonts w:ascii="Times New Roman"/>
          <w:b w:val="false"/>
          <w:i w:val="false"/>
          <w:color w:val="000000"/>
          <w:sz w:val="28"/>
        </w:rPr>
        <w:t>
      Членство Казахстана в Евразийском экономическом союзе (далее – ЕАЭС) и Всемирной торговой организации (далее – ВТО) создает возможности и одновременно предъявляет высокие требования к конкурентоспособности отрасли АПК как на внутреннем, так и внешних рынках. В этой связи важной ролью являются эффективное государственное регулирование АПК и стимулирование его развития.</w:t>
      </w:r>
    </w:p>
    <w:bookmarkEnd w:id="234"/>
    <w:bookmarkStart w:name="z280" w:id="235"/>
    <w:p>
      <w:pPr>
        <w:spacing w:after="0"/>
        <w:ind w:left="0"/>
        <w:jc w:val="both"/>
      </w:pPr>
      <w:r>
        <w:rPr>
          <w:rFonts w:ascii="Times New Roman"/>
          <w:b w:val="false"/>
          <w:i w:val="false"/>
          <w:color w:val="000000"/>
          <w:sz w:val="28"/>
        </w:rPr>
        <w:t>
      SWOT-анализ АПК показывает существенную уязвимость аграрного сектора, как от объективных факторов – узкого рынка потребления продовольствия, отсутствия прямого выхода к морским перевозкам, высоких рисков от климатических условий, ограниченности водных ресурсов, недоступность кредитного финансирования, низкая вовлеченность банков второго уровня в кредитование финансирования отрасли, низкая развитость торгово-логистической инфраструктуры, систем жизнеобеспечения в сельской местности.</w:t>
      </w:r>
    </w:p>
    <w:bookmarkEnd w:id="2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 w:id="236"/>
    <w:p>
      <w:pPr>
        <w:spacing w:after="0"/>
        <w:ind w:left="0"/>
        <w:jc w:val="both"/>
      </w:pPr>
      <w:r>
        <w:rPr>
          <w:rFonts w:ascii="Times New Roman"/>
          <w:b w:val="false"/>
          <w:i w:val="false"/>
          <w:color w:val="000000"/>
          <w:sz w:val="28"/>
        </w:rPr>
        <w:t xml:space="preserve">
      SWOT-анализ АПК </w:t>
      </w:r>
    </w:p>
    <w:bookmarkEnd w:id="2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cMar>
              <w:top w:w="15" w:type="dxa"/>
              <w:left w:w="15" w:type="dxa"/>
              <w:bottom w:w="15" w:type="dxa"/>
              <w:right w:w="15" w:type="dxa"/>
            </w:tcMar>
            <w:vAlign w:val="center"/>
          </w:tcPr>
          <w:bookmarkStart w:name="z282" w:id="237"/>
          <w:p>
            <w:pPr>
              <w:spacing w:after="20"/>
              <w:ind w:left="20"/>
              <w:jc w:val="both"/>
            </w:pPr>
            <w:r>
              <w:rPr>
                <w:rFonts w:ascii="Times New Roman"/>
                <w:b w:val="false"/>
                <w:i w:val="false"/>
                <w:color w:val="000000"/>
                <w:sz w:val="20"/>
              </w:rPr>
              <w:t>
по площади территории Казахстан занимает девятое место в мире;</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по площади пахотных земель на душу населения Казахстан занимает второе место в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1,4 млн га орошаемых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 входит в число крупнейших экспортеров по зерну и муке;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большие площади свободных и неиспользуемых 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развита традиционная культура пастбищного скотоводства;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значительные трудовые ресурсы: доля сельского населения составляет 43 % от всего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разнообразие почвенно-климатических зон, позволяющих производить широкую линейку сельскохозяйственной продукции и обеспечивать продовольственную независимость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многоукладности в организационных формах сельхозпроизводства;</w:t>
            </w:r>
          </w:p>
          <w:p>
            <w:pPr>
              <w:spacing w:after="20"/>
              <w:ind w:left="20"/>
              <w:jc w:val="both"/>
            </w:pPr>
            <w:r>
              <w:rPr>
                <w:rFonts w:ascii="Times New Roman"/>
                <w:b w:val="false"/>
                <w:i w:val="false"/>
                <w:color w:val="000000"/>
                <w:sz w:val="20"/>
              </w:rPr>
              <w:t xml:space="preserve">
растущий спрос на продовольственную продукцию в сопредельных странах. </w:t>
            </w:r>
          </w:p>
        </w:tc>
        <w:tc>
          <w:tcPr>
            <w:tcW w:w="6150" w:type="dxa"/>
            <w:tcBorders/>
            <w:tcMar>
              <w:top w:w="15" w:type="dxa"/>
              <w:left w:w="15" w:type="dxa"/>
              <w:bottom w:w="15" w:type="dxa"/>
              <w:right w:w="15" w:type="dxa"/>
            </w:tcMar>
            <w:vAlign w:val="center"/>
          </w:tcPr>
          <w:bookmarkStart w:name="z291" w:id="238"/>
          <w:p>
            <w:pPr>
              <w:spacing w:after="20"/>
              <w:ind w:left="20"/>
              <w:jc w:val="both"/>
            </w:pPr>
            <w:r>
              <w:rPr>
                <w:rFonts w:ascii="Times New Roman"/>
                <w:b w:val="false"/>
                <w:i w:val="false"/>
                <w:color w:val="000000"/>
                <w:sz w:val="20"/>
              </w:rPr>
              <w:t>
ограниченный внутренний рынок потребления продовольствия и недостаток экспортной товарной массы;</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преобладание мелкотоварного производства отдельных отраслей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степень деградации и опустынивания 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значительная удаленность от дешевых транспортных коридоров;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недостаточный уровень переработки сельхозсырья;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неразвитость торгово-логистической инфраструктуры и оптового звена;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недостаточный уровень применяемых агротехнологий;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низкие темпы обновления сельскохозяйственной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энерговооруженности;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должной взаимосвязи науки с производством;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капиталоемкость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уровень банковского кредитования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высокая зависимость развития агробизнеса от финансирования через квазигосударственные институты; </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высокие риски от климатических условий;</w:t>
            </w:r>
          </w:p>
          <w:p>
            <w:pPr>
              <w:spacing w:after="20"/>
              <w:ind w:left="20"/>
              <w:jc w:val="both"/>
            </w:pPr>
            <w:r>
              <w:rPr>
                <w:rFonts w:ascii="Times New Roman"/>
                <w:b w:val="false"/>
                <w:i w:val="false"/>
                <w:color w:val="000000"/>
                <w:sz w:val="20"/>
              </w:rPr>
              <w:t>
отсутствие действенных и эффективных методов контроля за процессами землепользования;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ограниченность водных ресурсов, формирование 44 % стока происходит на территории сопредельных государств;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недостаточный уровень социальной инфраструктуры сельских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прозрачных механизмов перераспределения земельных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недостаточный уровень жизнеобеспечения сельских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недостаток кадров и квалифицированных специалистов сельхозпроизводства;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системы мониторинга и контроля за влиянием сельхозпроизводства на загрязнение;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целостной системы прослеживаемости продукции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тенденция загрязнения окружающей среды и снижения плодородия почв;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низкий охват системой информационно-консультационного обеспечения агробизнеса;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комплексного подхода продвижения продукции АПК, в том числе на экспортные рынки;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доля импортных ресурсов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системного комплексного анализа и мониторинга развития АПК,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слабое развитие агрометеорологического прогнозирования;</w:t>
            </w:r>
          </w:p>
          <w:p>
            <w:pPr>
              <w:spacing w:after="20"/>
              <w:ind w:left="20"/>
              <w:jc w:val="both"/>
            </w:pPr>
            <w:r>
              <w:rPr>
                <w:rFonts w:ascii="Times New Roman"/>
                <w:b w:val="false"/>
                <w:i w:val="false"/>
                <w:color w:val="000000"/>
                <w:sz w:val="20"/>
              </w:rPr>
              <w:t>
несовершенная система распределения и контроля целевого использования субсидий.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cMar>
              <w:top w:w="15" w:type="dxa"/>
              <w:left w:w="15" w:type="dxa"/>
              <w:bottom w:w="15" w:type="dxa"/>
              <w:right w:w="15" w:type="dxa"/>
            </w:tcMar>
            <w:vAlign w:val="center"/>
          </w:tcPr>
          <w:bookmarkStart w:name="z318" w:id="239"/>
          <w:p>
            <w:pPr>
              <w:spacing w:after="20"/>
              <w:ind w:left="20"/>
              <w:jc w:val="both"/>
            </w:pPr>
            <w:r>
              <w:rPr>
                <w:rFonts w:ascii="Times New Roman"/>
                <w:b w:val="false"/>
                <w:i w:val="false"/>
                <w:color w:val="000000"/>
                <w:sz w:val="20"/>
              </w:rPr>
              <w:t>
повышение эффективности сельхозпроизводства на основе развития национальных конкурентных преимуществ;</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выгодного географического положения для выхода казахстанской продукции на внешние рынки;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потенциал производства и экспорта органической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площади орошаемых земель и повышение их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условий для устойчивого развития АПК на основе учета специфики многоукладности организационных форм сельхозпроизводства, создания современной социальной инфраструктуры сельских сообществ и сохранения экологического статус-кво;</w:t>
            </w:r>
          </w:p>
          <w:p>
            <w:pPr>
              <w:spacing w:after="20"/>
              <w:ind w:left="20"/>
              <w:jc w:val="both"/>
            </w:pPr>
            <w:r>
              <w:rPr>
                <w:rFonts w:ascii="Times New Roman"/>
                <w:b w:val="false"/>
                <w:i w:val="false"/>
                <w:color w:val="000000"/>
                <w:sz w:val="20"/>
              </w:rPr>
              <w:t>
большой потенциал для привлечения в АПК иностранных инвестиций.</w:t>
            </w:r>
          </w:p>
        </w:tc>
        <w:tc>
          <w:tcPr>
            <w:tcW w:w="6150" w:type="dxa"/>
            <w:tcBorders/>
            <w:tcMar>
              <w:top w:w="15" w:type="dxa"/>
              <w:left w:w="15" w:type="dxa"/>
              <w:bottom w:w="15" w:type="dxa"/>
              <w:right w:w="15" w:type="dxa"/>
            </w:tcMar>
            <w:vAlign w:val="center"/>
          </w:tcPr>
          <w:bookmarkStart w:name="z323" w:id="240"/>
          <w:p>
            <w:pPr>
              <w:spacing w:after="20"/>
              <w:ind w:left="20"/>
              <w:jc w:val="both"/>
            </w:pPr>
            <w:r>
              <w:rPr>
                <w:rFonts w:ascii="Times New Roman"/>
                <w:b w:val="false"/>
                <w:i w:val="false"/>
                <w:color w:val="000000"/>
                <w:sz w:val="20"/>
              </w:rPr>
              <w:t>
влияние глобального изменения климата на традиционные агротехнологии;</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рост конкуренции на международных рынках, в том числе в странах СНГ;</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 неравенства в доходах и системах жизнеобеспечения сельского и городского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риск неэффективного государственного регулирования развития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доли сельского населения в связи с урбанизаций и нехватка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нестабильность на финансовых (инфляция) и валютных (девальвация) рынках;</w:t>
            </w:r>
          </w:p>
          <w:p>
            <w:pPr>
              <w:spacing w:after="20"/>
              <w:ind w:left="20"/>
              <w:jc w:val="both"/>
            </w:pPr>
            <w:r>
              <w:rPr>
                <w:rFonts w:ascii="Times New Roman"/>
                <w:b w:val="false"/>
                <w:i w:val="false"/>
                <w:color w:val="000000"/>
                <w:sz w:val="20"/>
              </w:rPr>
              <w:t>
необоснованная выдача субсидий.</w:t>
            </w:r>
          </w:p>
        </w:tc>
      </w:tr>
    </w:tbl>
    <w:bookmarkStart w:name="z329" w:id="241"/>
    <w:p>
      <w:pPr>
        <w:spacing w:after="0"/>
        <w:ind w:left="0"/>
        <w:jc w:val="both"/>
      </w:pPr>
      <w:r>
        <w:rPr>
          <w:rFonts w:ascii="Times New Roman"/>
          <w:b w:val="false"/>
          <w:i w:val="false"/>
          <w:color w:val="000000"/>
          <w:sz w:val="28"/>
        </w:rPr>
        <w:t>
      Вместе с тем аграрный сектор Казахстана имеет существенный неиспользованный потенциал и национальные конкурентные преимущества по сравнению с другими странами, которые при эффективной аграрной политике могут обеспечить его устойчивое развитие и внести значительный вклад в экономику страны и повышение благосостояния населения.</w:t>
      </w:r>
    </w:p>
    <w:bookmarkEnd w:id="241"/>
    <w:bookmarkStart w:name="z330" w:id="242"/>
    <w:p>
      <w:pPr>
        <w:spacing w:after="0"/>
        <w:ind w:left="0"/>
        <w:jc w:val="left"/>
      </w:pPr>
      <w:r>
        <w:rPr>
          <w:rFonts w:ascii="Times New Roman"/>
          <w:b/>
          <w:i w:val="false"/>
          <w:color w:val="000000"/>
        </w:rPr>
        <w:t xml:space="preserve"> 3. Обзор международного опыта</w:t>
      </w:r>
    </w:p>
    <w:bookmarkEnd w:id="242"/>
    <w:bookmarkStart w:name="z331" w:id="2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 </w:t>
      </w:r>
      <w:r>
        <w:rPr>
          <w:rFonts w:ascii="Times New Roman"/>
          <w:b w:val="false"/>
          <w:i/>
          <w:color w:val="000000"/>
          <w:sz w:val="28"/>
        </w:rPr>
        <w:t>Растениеводство</w:t>
      </w:r>
    </w:p>
    <w:bookmarkEnd w:id="243"/>
    <w:bookmarkStart w:name="z332" w:id="244"/>
    <w:p>
      <w:pPr>
        <w:spacing w:after="0"/>
        <w:ind w:left="0"/>
        <w:jc w:val="both"/>
      </w:pPr>
      <w:r>
        <w:rPr>
          <w:rFonts w:ascii="Times New Roman"/>
          <w:b w:val="false"/>
          <w:i w:val="false"/>
          <w:color w:val="000000"/>
          <w:sz w:val="28"/>
        </w:rPr>
        <w:t xml:space="preserve">
      Обзор мирового опыта показывает, что во всех развитых странах взят курс, с одной стороны, на повышение устойчивости развития земледелия на фоне всевозрастающего негативного влияния глобальных климатических изменений, а с другой, на переход к ресурсосберегающим и органическим технологиям, направленным на улучшение экологической ситуации и сохранение окружающей среды. Это, прежде всего, высокая степень диверсификации, переход к технологии точного земледелия и цифровизация всех технологических процессов. Особое внимание уделяется на селекцию и вывод новых сортов растений с использованием ускоренных методов, основанных на молекулярной биологии и генной инженерии. Благодаря этому научные организации через каждые 5-6 лет выводят и передают для практического применения новые высокоурожайные сорта сельскохозяйственных культур, устойчивых к болезням и стрессовым ситуациям. </w:t>
      </w:r>
    </w:p>
    <w:bookmarkEnd w:id="244"/>
    <w:bookmarkStart w:name="z333" w:id="245"/>
    <w:p>
      <w:pPr>
        <w:spacing w:after="0"/>
        <w:ind w:left="0"/>
        <w:jc w:val="both"/>
      </w:pPr>
      <w:r>
        <w:rPr>
          <w:rFonts w:ascii="Times New Roman"/>
          <w:b w:val="false"/>
          <w:i w:val="false"/>
          <w:color w:val="000000"/>
          <w:sz w:val="28"/>
        </w:rPr>
        <w:t>
      Важным моментом является повышение точности в прогнозировании погодных условий, которое достигается за счет создания широкой сети метеостанций на территории страны и формирования соответствующей базы данных о многолетних метеонаблюдениях.</w:t>
      </w:r>
    </w:p>
    <w:bookmarkEnd w:id="245"/>
    <w:bookmarkStart w:name="z334" w:id="246"/>
    <w:p>
      <w:pPr>
        <w:spacing w:after="0"/>
        <w:ind w:left="0"/>
        <w:jc w:val="both"/>
      </w:pPr>
      <w:r>
        <w:rPr>
          <w:rFonts w:ascii="Times New Roman"/>
          <w:b w:val="false"/>
          <w:i w:val="false"/>
          <w:color w:val="000000"/>
          <w:sz w:val="28"/>
        </w:rPr>
        <w:t>
      В настоящее время производство органической продукции в мире динамично развивается. Повышение спроса на нее имеет устойчивую тенденцию, а мировой рынок органической продукции продолжает демонстрировать положительную динамику. Земельные площади ОСХ достигли 71 млн. га, что составляет 1,5 % мировой площади земель сельскохозяйственного назначения.</w:t>
      </w:r>
    </w:p>
    <w:bookmarkEnd w:id="246"/>
    <w:bookmarkStart w:name="z335" w:id="247"/>
    <w:p>
      <w:pPr>
        <w:spacing w:after="0"/>
        <w:ind w:left="0"/>
        <w:jc w:val="both"/>
      </w:pPr>
      <w:r>
        <w:rPr>
          <w:rFonts w:ascii="Times New Roman"/>
          <w:b w:val="false"/>
          <w:i w:val="false"/>
          <w:color w:val="000000"/>
          <w:sz w:val="28"/>
        </w:rPr>
        <w:t>
      Мировая практика и положительный опыт стран-лидеров (США, ЕС) по производству органической продукции показывают, что экономический дисбаланс компенсируется за счет мер, стимулирующих производителей оставаться органическими.</w:t>
      </w:r>
    </w:p>
    <w:bookmarkEnd w:id="247"/>
    <w:bookmarkStart w:name="z336" w:id="248"/>
    <w:p>
      <w:pPr>
        <w:spacing w:after="0"/>
        <w:ind w:left="0"/>
        <w:jc w:val="both"/>
      </w:pPr>
      <w:r>
        <w:rPr>
          <w:rFonts w:ascii="Times New Roman"/>
          <w:b w:val="false"/>
          <w:i w:val="false"/>
          <w:color w:val="000000"/>
          <w:sz w:val="28"/>
        </w:rPr>
        <w:t>
      Опыт стран членов ЕАЭС. Так, в Российской Федерации выдача сертификатов осуществляется исключительно на основе лабораторных заключений (ФГБУ ВНИИКР), при этом инспектор не принимает решение по фитосанитарному состоянию вывозимой продукции. При импорте инспектор отбирает образцы и в обязательном порядке отправляет на лабораторную экспертизу, по результатам которой принимает решение. Внедрена информационная система ФГИС "Аргус-ФИТО".</w:t>
      </w:r>
    </w:p>
    <w:bookmarkEnd w:id="248"/>
    <w:bookmarkStart w:name="z337" w:id="249"/>
    <w:p>
      <w:pPr>
        <w:spacing w:after="0"/>
        <w:ind w:left="0"/>
        <w:jc w:val="both"/>
      </w:pPr>
      <w:r>
        <w:rPr>
          <w:rFonts w:ascii="Times New Roman"/>
          <w:b w:val="false"/>
          <w:i w:val="false"/>
          <w:color w:val="000000"/>
          <w:sz w:val="28"/>
        </w:rPr>
        <w:t>
      Практически во всех странах лабораторные исследования качества продукции осуществляются на платной основе и за счет владельца продукции.</w:t>
      </w:r>
    </w:p>
    <w:bookmarkEnd w:id="249"/>
    <w:bookmarkStart w:name="z338" w:id="250"/>
    <w:p>
      <w:pPr>
        <w:spacing w:after="0"/>
        <w:ind w:left="0"/>
        <w:jc w:val="both"/>
      </w:pPr>
      <w:r>
        <w:rPr>
          <w:rFonts w:ascii="Times New Roman"/>
          <w:b w:val="false"/>
          <w:i w:val="false"/>
          <w:color w:val="000000"/>
          <w:sz w:val="28"/>
        </w:rPr>
        <w:t>
      На уровне ЕС внедрена единая информационная система прослеживаемости TRACES, а также применяются национальные информационные системы.</w:t>
      </w:r>
    </w:p>
    <w:bookmarkEnd w:id="250"/>
    <w:bookmarkStart w:name="z339" w:id="251"/>
    <w:p>
      <w:pPr>
        <w:spacing w:after="0"/>
        <w:ind w:left="0"/>
        <w:jc w:val="both"/>
      </w:pPr>
      <w:r>
        <w:rPr>
          <w:rFonts w:ascii="Times New Roman"/>
          <w:b w:val="false"/>
          <w:i w:val="false"/>
          <w:color w:val="000000"/>
          <w:sz w:val="28"/>
        </w:rPr>
        <w:t>
      Как показывает анализ зарубежного опыта, переход на платное проведение карантинного фитосанитарного контроля и выдачу разрешительных документов на платной основе имеет преимущество в сравнении с действующей в нашей стране системой проведения карантинного фитосанитарного контроля и выдачи разрешительных документов по следующим причинам:</w:t>
      </w:r>
    </w:p>
    <w:bookmarkEnd w:id="251"/>
    <w:bookmarkStart w:name="z340" w:id="252"/>
    <w:p>
      <w:pPr>
        <w:spacing w:after="0"/>
        <w:ind w:left="0"/>
        <w:jc w:val="both"/>
      </w:pPr>
      <w:r>
        <w:rPr>
          <w:rFonts w:ascii="Times New Roman"/>
          <w:b w:val="false"/>
          <w:i w:val="false"/>
          <w:color w:val="000000"/>
          <w:sz w:val="28"/>
        </w:rPr>
        <w:t>
      исключены коррупционные риски;</w:t>
      </w:r>
    </w:p>
    <w:bookmarkEnd w:id="252"/>
    <w:bookmarkStart w:name="z341" w:id="253"/>
    <w:p>
      <w:pPr>
        <w:spacing w:after="0"/>
        <w:ind w:left="0"/>
        <w:jc w:val="both"/>
      </w:pPr>
      <w:r>
        <w:rPr>
          <w:rFonts w:ascii="Times New Roman"/>
          <w:b w:val="false"/>
          <w:i w:val="false"/>
          <w:color w:val="000000"/>
          <w:sz w:val="28"/>
        </w:rPr>
        <w:t xml:space="preserve">
      поступающие средства, часть из которых направляется в бюджет, а остальная часть – на материальное поощрение инспекторов, обновление материально-технической базы службы. </w:t>
      </w:r>
    </w:p>
    <w:bookmarkEnd w:id="253"/>
    <w:bookmarkStart w:name="z342" w:id="2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3.2. </w:t>
      </w:r>
      <w:r>
        <w:rPr>
          <w:rFonts w:ascii="Times New Roman"/>
          <w:b w:val="false"/>
          <w:i/>
          <w:color w:val="000000"/>
          <w:sz w:val="28"/>
        </w:rPr>
        <w:t>Животноводство</w:t>
      </w:r>
    </w:p>
    <w:bookmarkEnd w:id="254"/>
    <w:bookmarkStart w:name="z343" w:id="255"/>
    <w:p>
      <w:pPr>
        <w:spacing w:after="0"/>
        <w:ind w:left="0"/>
        <w:jc w:val="both"/>
      </w:pPr>
      <w:r>
        <w:rPr>
          <w:rFonts w:ascii="Times New Roman"/>
          <w:b w:val="false"/>
          <w:i w:val="false"/>
          <w:color w:val="000000"/>
          <w:sz w:val="28"/>
        </w:rPr>
        <w:t xml:space="preserve">
      Во всех передовых странах развитие животноводства базируется на прочной кормовой базе. Кормовые культуры занимают львиную долю в севообороте. </w:t>
      </w:r>
    </w:p>
    <w:bookmarkEnd w:id="255"/>
    <w:bookmarkStart w:name="z344" w:id="256"/>
    <w:p>
      <w:pPr>
        <w:spacing w:after="0"/>
        <w:ind w:left="0"/>
        <w:jc w:val="both"/>
      </w:pPr>
      <w:r>
        <w:rPr>
          <w:rFonts w:ascii="Times New Roman"/>
          <w:b w:val="false"/>
          <w:i w:val="false"/>
          <w:color w:val="000000"/>
          <w:sz w:val="28"/>
        </w:rPr>
        <w:t>
      Так, в США почти 65 % уборочной площади занимают зерновые и зернобобовые культуры, а сбор кормового зерна в 4 раза больше, чем продовольственного.</w:t>
      </w:r>
    </w:p>
    <w:bookmarkEnd w:id="256"/>
    <w:bookmarkStart w:name="z345" w:id="257"/>
    <w:p>
      <w:pPr>
        <w:spacing w:after="0"/>
        <w:ind w:left="0"/>
        <w:jc w:val="both"/>
      </w:pPr>
      <w:r>
        <w:rPr>
          <w:rFonts w:ascii="Times New Roman"/>
          <w:b w:val="false"/>
          <w:i w:val="false"/>
          <w:color w:val="000000"/>
          <w:sz w:val="28"/>
        </w:rPr>
        <w:t>
      Особое внимание уделяется повышению генетического потенциала скота.</w:t>
      </w:r>
    </w:p>
    <w:bookmarkEnd w:id="257"/>
    <w:bookmarkStart w:name="z346" w:id="258"/>
    <w:p>
      <w:pPr>
        <w:spacing w:after="0"/>
        <w:ind w:left="0"/>
        <w:jc w:val="both"/>
      </w:pPr>
      <w:r>
        <w:rPr>
          <w:rFonts w:ascii="Times New Roman"/>
          <w:b w:val="false"/>
          <w:i w:val="false"/>
          <w:color w:val="000000"/>
          <w:sz w:val="28"/>
        </w:rPr>
        <w:t>
      Селекция животных ведется с использованием современных методов биотехнологии, геномного и ДНК анализа, ускоренных способов воспроизводства. Благодаря этому в передовых странах все поголовье скота консолидировано.</w:t>
      </w:r>
    </w:p>
    <w:bookmarkEnd w:id="258"/>
    <w:bookmarkStart w:name="z347" w:id="259"/>
    <w:p>
      <w:pPr>
        <w:spacing w:after="0"/>
        <w:ind w:left="0"/>
        <w:jc w:val="both"/>
      </w:pPr>
      <w:r>
        <w:rPr>
          <w:rFonts w:ascii="Times New Roman"/>
          <w:b w:val="false"/>
          <w:i w:val="false"/>
          <w:color w:val="000000"/>
          <w:sz w:val="28"/>
        </w:rPr>
        <w:t>
      В мае 2021 года вступило в силу Соглашение об унификации селекционно-племенной работы в рамках ЕАЭС, которое ратифицировали все государства-члены ЕАЭС. В целях унификации селекционно-племенной работы на территории ЕАЭС, в рамках Соглашения разработаны и утверждены акты ЕЭК, которые позволят проводить однообразную работу по апробации породы, определению породы, проведению ДНК исследованию перемещаемой племенной продукции (материала), перечень необходимой информации в племенных животных. Также утверждены методики "индексной оценки" крупного рогатого скота молочного и мясного направления продуктивности и свиней. На основании указанных документов на территории ЕАЭС унифицируется селекционно-племенная работа.</w:t>
      </w:r>
    </w:p>
    <w:bookmarkEnd w:id="259"/>
    <w:bookmarkStart w:name="z348" w:id="260"/>
    <w:p>
      <w:pPr>
        <w:spacing w:after="0"/>
        <w:ind w:left="0"/>
        <w:jc w:val="both"/>
      </w:pPr>
      <w:r>
        <w:rPr>
          <w:rFonts w:ascii="Times New Roman"/>
          <w:b w:val="false"/>
          <w:i w:val="false"/>
          <w:color w:val="000000"/>
          <w:sz w:val="28"/>
        </w:rPr>
        <w:t>
      Передовые страны, в частности, ЕС и США, также включают принципы экологической устойчивости и зеленого роста при планировании инвестиций и разработке мер политики в секторе животноводства и управления пастбищами.</w:t>
      </w:r>
    </w:p>
    <w:bookmarkEnd w:id="260"/>
    <w:bookmarkStart w:name="z349" w:id="2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3.3. </w:t>
      </w:r>
      <w:r>
        <w:rPr>
          <w:rFonts w:ascii="Times New Roman"/>
          <w:b w:val="false"/>
          <w:i/>
          <w:color w:val="000000"/>
          <w:sz w:val="28"/>
        </w:rPr>
        <w:t>Переработка сельскохозяйственной продукции</w:t>
      </w:r>
    </w:p>
    <w:bookmarkEnd w:id="261"/>
    <w:bookmarkStart w:name="z350" w:id="262"/>
    <w:p>
      <w:pPr>
        <w:spacing w:after="0"/>
        <w:ind w:left="0"/>
        <w:jc w:val="both"/>
      </w:pPr>
      <w:r>
        <w:rPr>
          <w:rFonts w:ascii="Times New Roman"/>
          <w:b w:val="false"/>
          <w:i w:val="false"/>
          <w:color w:val="000000"/>
          <w:sz w:val="28"/>
        </w:rPr>
        <w:t>
      Развитые страны путем стимулирования модернизации техники и технологий сферы переработки добились высоких результатов в продовольственном обеспечении населения.</w:t>
      </w:r>
    </w:p>
    <w:bookmarkEnd w:id="262"/>
    <w:bookmarkStart w:name="z351" w:id="263"/>
    <w:p>
      <w:pPr>
        <w:spacing w:after="0"/>
        <w:ind w:left="0"/>
        <w:jc w:val="both"/>
      </w:pPr>
      <w:r>
        <w:rPr>
          <w:rFonts w:ascii="Times New Roman"/>
          <w:b w:val="false"/>
          <w:i w:val="false"/>
          <w:color w:val="000000"/>
          <w:sz w:val="28"/>
        </w:rPr>
        <w:t xml:space="preserve">
      В России развитие перерабатывающей отрасли осуществляется путем поддержки производства сельхозсырья, модернизации и наращивания мощностей за счет проведения технического перевооружения и строительства на основе инновационных технологий и ресурсосберегающего оборудования, стимулирования кооперации производителей сельхозпродукции и переработчиков. </w:t>
      </w:r>
    </w:p>
    <w:bookmarkEnd w:id="263"/>
    <w:bookmarkStart w:name="z352" w:id="264"/>
    <w:p>
      <w:pPr>
        <w:spacing w:after="0"/>
        <w:ind w:left="0"/>
        <w:jc w:val="both"/>
      </w:pPr>
      <w:r>
        <w:rPr>
          <w:rFonts w:ascii="Times New Roman"/>
          <w:b w:val="false"/>
          <w:i w:val="false"/>
          <w:color w:val="000000"/>
          <w:sz w:val="28"/>
        </w:rPr>
        <w:t>
      В Евросоюзе производители и переработчики сырья и другие бенефициары развития сельских районов могут воспользоваться кредитами или гарантиями для покрытия операционных расходов на очень благоприятных условиях, таких как предельно низкие процентные ставки или удобные графики платежей.</w:t>
      </w:r>
    </w:p>
    <w:bookmarkEnd w:id="264"/>
    <w:bookmarkStart w:name="z353" w:id="265"/>
    <w:p>
      <w:pPr>
        <w:spacing w:after="0"/>
        <w:ind w:left="0"/>
        <w:jc w:val="both"/>
      </w:pPr>
      <w:r>
        <w:rPr>
          <w:rFonts w:ascii="Times New Roman"/>
          <w:b w:val="false"/>
          <w:i w:val="false"/>
          <w:color w:val="000000"/>
          <w:sz w:val="28"/>
        </w:rPr>
        <w:t>
      В США проводится работа по стимулированию частных компаний инвестировать в развитие инноваций и компетенций в отрасль на основе внедрения и массового освоения научных разработок на базе новых технологий, способствующих повышению производительности труда.</w:t>
      </w:r>
    </w:p>
    <w:bookmarkEnd w:id="265"/>
    <w:bookmarkStart w:name="z354" w:id="266"/>
    <w:p>
      <w:pPr>
        <w:spacing w:after="0"/>
        <w:ind w:left="0"/>
        <w:jc w:val="both"/>
      </w:pPr>
      <w:r>
        <w:rPr>
          <w:rFonts w:ascii="Times New Roman"/>
          <w:b w:val="false"/>
          <w:i w:val="false"/>
          <w:color w:val="000000"/>
          <w:sz w:val="28"/>
        </w:rPr>
        <w:t>
      Также в мире все большую актуальность приобретает вопрос укрепления устойчивых долгосрочных отношений между производителями сельскохозяйственного сырья, перерабатывающими предприятиями и торговли как фактор роста производительности и стоимости продукции.</w:t>
      </w:r>
    </w:p>
    <w:bookmarkEnd w:id="266"/>
    <w:bookmarkStart w:name="z355" w:id="2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3.4. </w:t>
      </w:r>
      <w:r>
        <w:rPr>
          <w:rFonts w:ascii="Times New Roman"/>
          <w:b w:val="false"/>
          <w:i/>
          <w:color w:val="000000"/>
          <w:sz w:val="28"/>
        </w:rPr>
        <w:t>Развитие рынков</w:t>
      </w:r>
    </w:p>
    <w:bookmarkEnd w:id="267"/>
    <w:bookmarkStart w:name="z356" w:id="268"/>
    <w:p>
      <w:pPr>
        <w:spacing w:after="0"/>
        <w:ind w:left="0"/>
        <w:jc w:val="both"/>
      </w:pPr>
      <w:r>
        <w:rPr>
          <w:rFonts w:ascii="Times New Roman"/>
          <w:b w:val="false"/>
          <w:i w:val="false"/>
          <w:color w:val="000000"/>
          <w:sz w:val="28"/>
        </w:rPr>
        <w:t xml:space="preserve">
      Анализ наиболее продвинутых стран позволяет выделить следующие закономерности и подходы, направленные на развитие сбыта отечественной продукции АПК: </w:t>
      </w:r>
    </w:p>
    <w:bookmarkEnd w:id="268"/>
    <w:bookmarkStart w:name="z357" w:id="269"/>
    <w:p>
      <w:pPr>
        <w:spacing w:after="0"/>
        <w:ind w:left="0"/>
        <w:jc w:val="both"/>
      </w:pPr>
      <w:r>
        <w:rPr>
          <w:rFonts w:ascii="Times New Roman"/>
          <w:b w:val="false"/>
          <w:i w:val="false"/>
          <w:color w:val="000000"/>
          <w:sz w:val="28"/>
        </w:rPr>
        <w:t xml:space="preserve">
      Международный опыт свидетельствует, что залогом успешного участия в сбытовой цепочке фермеров является сбытовая кооперация. На сегодняшний день в Европе через кооперативы реализуется до 70 % продукции, в США и Канаде – 60 %. </w:t>
      </w:r>
    </w:p>
    <w:bookmarkEnd w:id="269"/>
    <w:bookmarkStart w:name="z358" w:id="270"/>
    <w:p>
      <w:pPr>
        <w:spacing w:after="0"/>
        <w:ind w:left="0"/>
        <w:jc w:val="both"/>
      </w:pPr>
      <w:r>
        <w:rPr>
          <w:rFonts w:ascii="Times New Roman"/>
          <w:b w:val="false"/>
          <w:i w:val="false"/>
          <w:color w:val="000000"/>
          <w:sz w:val="28"/>
        </w:rPr>
        <w:t>
      К примеру, в Нидерландах, кооперативы реализуют более 80 % товарного молока, почти все овощи, 95 % фруктов и 90 % шерсти. Французские кооперативы производят и сбывают на международном рынке до 70 % вина, высоко их участие и в выпуске спирта и оливкового масла. Сбытовые кооперативы формируют большие партии товара и заблаговременно заключают договоры о поставке.</w:t>
      </w:r>
    </w:p>
    <w:bookmarkEnd w:id="270"/>
    <w:bookmarkStart w:name="z359" w:id="271"/>
    <w:p>
      <w:pPr>
        <w:spacing w:after="0"/>
        <w:ind w:left="0"/>
        <w:jc w:val="both"/>
      </w:pPr>
      <w:r>
        <w:rPr>
          <w:rFonts w:ascii="Times New Roman"/>
          <w:b w:val="false"/>
          <w:i w:val="false"/>
          <w:color w:val="000000"/>
          <w:sz w:val="28"/>
        </w:rPr>
        <w:t xml:space="preserve">
      Развитая торгово-логистическая инфраструктура по всей сбытовой цепочке. Примерами успешных товаропроводящих сетей на базе ОРЦ (сетей ОРЦ) являются оптовый рынок Rungis (Париж, Франция), сеть оптовых рынков Mercasa (Испания) и оптовый рынок Bronisze (Варшава, Польша). </w:t>
      </w:r>
    </w:p>
    <w:bookmarkEnd w:id="271"/>
    <w:bookmarkStart w:name="z360" w:id="272"/>
    <w:p>
      <w:pPr>
        <w:spacing w:after="0"/>
        <w:ind w:left="0"/>
        <w:jc w:val="both"/>
      </w:pPr>
      <w:r>
        <w:rPr>
          <w:rFonts w:ascii="Times New Roman"/>
          <w:b w:val="false"/>
          <w:i w:val="false"/>
          <w:color w:val="000000"/>
          <w:sz w:val="28"/>
        </w:rPr>
        <w:t xml:space="preserve">
      Сеть обеспечивает потребности 3600 арендаторов, из которых 32 % занимаются плодоовощной продукцией, 12.5 % – рыбной продукцией и морепродуктами, 8.2 % – мясной продукцией, 3 % – цветочной и 44 % – другими видами. </w:t>
      </w:r>
    </w:p>
    <w:bookmarkEnd w:id="272"/>
    <w:bookmarkStart w:name="z361" w:id="273"/>
    <w:p>
      <w:pPr>
        <w:spacing w:after="0"/>
        <w:ind w:left="0"/>
        <w:jc w:val="both"/>
      </w:pPr>
      <w:r>
        <w:rPr>
          <w:rFonts w:ascii="Times New Roman"/>
          <w:b w:val="false"/>
          <w:i w:val="false"/>
          <w:color w:val="000000"/>
          <w:sz w:val="28"/>
        </w:rPr>
        <w:t>
      Международные стандарты и требования (СФС меры, HACCP, GLP и т.д.) внедрены в развитых странах (Канада, Австралия, Новая Зеландия), что повышает уровень доверия и качеству производимой продукции в этих странах.</w:t>
      </w:r>
    </w:p>
    <w:bookmarkEnd w:id="273"/>
    <w:bookmarkStart w:name="z362" w:id="274"/>
    <w:p>
      <w:pPr>
        <w:spacing w:after="0"/>
        <w:ind w:left="0"/>
        <w:jc w:val="both"/>
      </w:pPr>
      <w:r>
        <w:rPr>
          <w:rFonts w:ascii="Times New Roman"/>
          <w:b w:val="false"/>
          <w:i w:val="false"/>
          <w:color w:val="000000"/>
          <w:sz w:val="28"/>
        </w:rPr>
        <w:t>
      Непременным компонентом торговой политики развитых стран является продвижение интересов экспортеров на межгосударственном уровне путем проведения переговоров по устранению торговых барьеров и заключению соглашений и других документов. Наиболее активными странами являются США, ЕС, Австралия, Канада, Бразилия, Мексика, Япония.</w:t>
      </w:r>
    </w:p>
    <w:bookmarkEnd w:id="274"/>
    <w:bookmarkStart w:name="z363" w:id="2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3.5. </w:t>
      </w:r>
      <w:r>
        <w:rPr>
          <w:rFonts w:ascii="Times New Roman"/>
          <w:b w:val="false"/>
          <w:i/>
          <w:color w:val="000000"/>
          <w:sz w:val="28"/>
        </w:rPr>
        <w:t>Сельскохозяйственная кооперация и инфраструктурное развитие АПК</w:t>
      </w:r>
    </w:p>
    <w:bookmarkEnd w:id="275"/>
    <w:bookmarkStart w:name="z364" w:id="276"/>
    <w:p>
      <w:pPr>
        <w:spacing w:after="0"/>
        <w:ind w:left="0"/>
        <w:jc w:val="both"/>
      </w:pPr>
      <w:r>
        <w:rPr>
          <w:rFonts w:ascii="Times New Roman"/>
          <w:b w:val="false"/>
          <w:i w:val="false"/>
          <w:color w:val="000000"/>
          <w:sz w:val="28"/>
        </w:rPr>
        <w:t xml:space="preserve">
      В большинстве стран ОЭСР кооперативы присутствуют на всех участках сельскохозяйственной производственно-сбытовой цепочки, и фермерские хозяйства всех размеров участвуют в кооперативных предприятиях. Сельскохозяйственные кооперативы высоко развиты в ЕС: почти 22 000 кооперативных предприятий объединяют более 6,1 млн членов, генерируя годовой оборот, приблизительно составляющий 347 млрд евро. В среднем в ЕС в кооперативах участвуют 57 % фермерских хозяйств, в США – 92 %. В Австрии, Финляндии, Германии и Швеции среднестатистический фермер является членом минимум двух сельскохозяйственных кооперативов. Это говорит о том, что кооперативам в странах-членах ОЭСР свойственна специализация (например, сбыт, переработка, поставка средств производства); зачастую они функционируют под эгидой вторичных и третичных кооперативных организаций (например, союзов и федераций). </w:t>
      </w:r>
    </w:p>
    <w:bookmarkEnd w:id="276"/>
    <w:bookmarkStart w:name="z365" w:id="277"/>
    <w:p>
      <w:pPr>
        <w:spacing w:after="0"/>
        <w:ind w:left="0"/>
        <w:jc w:val="both"/>
      </w:pPr>
      <w:r>
        <w:rPr>
          <w:rFonts w:ascii="Times New Roman"/>
          <w:b w:val="false"/>
          <w:i w:val="false"/>
          <w:color w:val="000000"/>
          <w:sz w:val="28"/>
        </w:rPr>
        <w:t>
      Именно кооперативы во многих странах мира стали основой инфраструктуры сельского хозяйства.</w:t>
      </w:r>
    </w:p>
    <w:bookmarkEnd w:id="277"/>
    <w:bookmarkStart w:name="z366" w:id="278"/>
    <w:p>
      <w:pPr>
        <w:spacing w:after="0"/>
        <w:ind w:left="0"/>
        <w:jc w:val="both"/>
      </w:pPr>
      <w:r>
        <w:rPr>
          <w:rFonts w:ascii="Times New Roman"/>
          <w:b w:val="false"/>
          <w:i w:val="false"/>
          <w:color w:val="000000"/>
          <w:sz w:val="28"/>
        </w:rPr>
        <w:t xml:space="preserve">
      Так, например, кооперативы США поставляют фермерам топливо, минеральные удобрения, корма, оказывают маркетинговые и транспортные услуги своим членам, занимаются розничными продажами сельхозпродукции. </w:t>
      </w:r>
    </w:p>
    <w:bookmarkEnd w:id="278"/>
    <w:bookmarkStart w:name="z367" w:id="279"/>
    <w:p>
      <w:pPr>
        <w:spacing w:after="0"/>
        <w:ind w:left="0"/>
        <w:jc w:val="both"/>
      </w:pPr>
      <w:r>
        <w:rPr>
          <w:rFonts w:ascii="Times New Roman"/>
          <w:b w:val="false"/>
          <w:i w:val="false"/>
          <w:color w:val="000000"/>
          <w:sz w:val="28"/>
        </w:rPr>
        <w:t xml:space="preserve">
      В конце 2017 г. в США был принят Закон, дающий большие налоговые преференции фермерам, продающим свою продукцию кооперативам. Налоговому вычету подлежит 20 % от суммы продаж кооперативу. Если налогооблагаемая прибыль фермера окажется меньше, чем пятая часть поставок в кооператив, то он будет вообще освобожден от уплаты налогов. </w:t>
      </w:r>
    </w:p>
    <w:bookmarkEnd w:id="279"/>
    <w:bookmarkStart w:name="z368" w:id="280"/>
    <w:p>
      <w:pPr>
        <w:spacing w:after="0"/>
        <w:ind w:left="0"/>
        <w:jc w:val="both"/>
      </w:pPr>
      <w:r>
        <w:rPr>
          <w:rFonts w:ascii="Times New Roman"/>
          <w:b w:val="false"/>
          <w:i w:val="false"/>
          <w:color w:val="000000"/>
          <w:sz w:val="28"/>
        </w:rPr>
        <w:t>
      В функции крупных снабженческих кооперативов США входят: оптовые закупки семян, химикатов, горючего и ветеринарных препаратов; изготовление комбикормов, контроль за качеством кормовых ингредиентов, доставка корма на ферму; ремонт техники и оборудования, доставка запасных частей.</w:t>
      </w:r>
    </w:p>
    <w:bookmarkEnd w:id="280"/>
    <w:bookmarkStart w:name="z369" w:id="281"/>
    <w:p>
      <w:pPr>
        <w:spacing w:after="0"/>
        <w:ind w:left="0"/>
        <w:jc w:val="both"/>
      </w:pPr>
      <w:r>
        <w:rPr>
          <w:rFonts w:ascii="Times New Roman"/>
          <w:b w:val="false"/>
          <w:i w:val="false"/>
          <w:color w:val="000000"/>
          <w:sz w:val="28"/>
        </w:rPr>
        <w:t xml:space="preserve">
      Сегодня в аграрном секторе Канады насчитывается около 1 500 кооперативов, членами которых являются более 4 млн человек. Причем один фермер может быть учредителем нескольких кооперативов, которые подразделяются по видам деятельности на потребительские, обслуживающие, перерабатывающие, смешанные. Через кооперативы реализуется свыше 50 % зерна и масличных культур, 36 % минеральных удобрений, 21 % комбикормов, 19 % семян. </w:t>
      </w:r>
    </w:p>
    <w:bookmarkEnd w:id="281"/>
    <w:bookmarkStart w:name="z370" w:id="282"/>
    <w:p>
      <w:pPr>
        <w:spacing w:after="0"/>
        <w:ind w:left="0"/>
        <w:jc w:val="both"/>
      </w:pPr>
      <w:r>
        <w:rPr>
          <w:rFonts w:ascii="Times New Roman"/>
          <w:b w:val="false"/>
          <w:i w:val="false"/>
          <w:color w:val="000000"/>
          <w:sz w:val="28"/>
        </w:rPr>
        <w:t xml:space="preserve">
      В ЕС кооперативам оказывается большая поддержка, так как их воспринимают в том числе как один из главных факторов устойчивого развития сельских территорий. Напротив, в странах СНГ, например, четко прослеживается картина того, что агрохолдинг может способствовать развитию агропромышленного комплекса, но не всегда развитию сельских территорий. </w:t>
      </w:r>
    </w:p>
    <w:bookmarkEnd w:id="282"/>
    <w:bookmarkStart w:name="z371" w:id="283"/>
    <w:p>
      <w:pPr>
        <w:spacing w:after="0"/>
        <w:ind w:left="0"/>
        <w:jc w:val="both"/>
      </w:pPr>
      <w:r>
        <w:rPr>
          <w:rFonts w:ascii="Times New Roman"/>
          <w:b w:val="false"/>
          <w:i w:val="false"/>
          <w:color w:val="000000"/>
          <w:sz w:val="28"/>
        </w:rPr>
        <w:t>
      Важное направление кооперативной деятельности в странах ЕС – производственное снабжение фермерских хозяйств. На долю закупочно-снабженческих кооперативов в ЕС приходится примерно 50 % объема поставок товаропроизводителям необходимых им средств производства. Основа кооперативной снабженческой деятельности – обеспечение минеральными удобрениями и кормами.</w:t>
      </w:r>
    </w:p>
    <w:bookmarkEnd w:id="283"/>
    <w:bookmarkStart w:name="z372" w:id="284"/>
    <w:p>
      <w:pPr>
        <w:spacing w:after="0"/>
        <w:ind w:left="0"/>
        <w:jc w:val="both"/>
      </w:pPr>
      <w:r>
        <w:rPr>
          <w:rFonts w:ascii="Times New Roman"/>
          <w:b w:val="false"/>
          <w:i w:val="false"/>
          <w:color w:val="000000"/>
          <w:sz w:val="28"/>
        </w:rPr>
        <w:t xml:space="preserve">
      В настоящее время в Нидерландах насчитывается более 2 500 активных кооперативов, а сельское хозяйство и финансы остаются крупнейшими секторами. Около 70 % сельскохозяйственного оборота находится в кооперативах, что выше среднего уровня ЕС в 45 %. </w:t>
      </w:r>
    </w:p>
    <w:bookmarkEnd w:id="284"/>
    <w:bookmarkStart w:name="z373" w:id="285"/>
    <w:p>
      <w:pPr>
        <w:spacing w:after="0"/>
        <w:ind w:left="0"/>
        <w:jc w:val="both"/>
      </w:pPr>
      <w:r>
        <w:rPr>
          <w:rFonts w:ascii="Times New Roman"/>
          <w:b w:val="false"/>
          <w:i w:val="false"/>
          <w:color w:val="000000"/>
          <w:sz w:val="28"/>
        </w:rPr>
        <w:t xml:space="preserve">
      В ряде стран ЕС кооперативам принадлежит существенная роль в снабжении фермеров семенами. Например, в Дании на их долю приходится 35 % поставок всего семенного материала, в Ирландии – 55 %, во Франции – 73 %. Следует отметить, что в современных условиях для кооперативного движения характерны тенденции к диверсификации деятельности кооперативов различных видов, к углублению связей между ними, совмещению в рамках одной кооперативной организации нескольких функций по экономическому обслуживанию фермерских хозяйств. </w:t>
      </w:r>
    </w:p>
    <w:bookmarkEnd w:id="285"/>
    <w:bookmarkStart w:name="z374" w:id="286"/>
    <w:p>
      <w:pPr>
        <w:spacing w:after="0"/>
        <w:ind w:left="0"/>
        <w:jc w:val="both"/>
      </w:pPr>
      <w:r>
        <w:rPr>
          <w:rFonts w:ascii="Times New Roman"/>
          <w:b w:val="false"/>
          <w:i w:val="false"/>
          <w:color w:val="000000"/>
          <w:sz w:val="28"/>
        </w:rPr>
        <w:t xml:space="preserve">
      Все фермерские хозяйства Японии за малым исключением являются членами сельскохозяйственных кооперативов, организованных в каждом районе. Функции кооперативов многообразны: сбор и сбыт продукции, закупка и продажа производственных материалов и предметов потребления, строительство и управление предприятиями по переработке и сбыту сельскохозяйственной продукции, банковские и страховые операции – прием сбережений и предоставление ссуд, страхование жизни и на случай болезни, обеспечение больничным и курортным обслуживанием. </w:t>
      </w:r>
    </w:p>
    <w:bookmarkEnd w:id="286"/>
    <w:bookmarkStart w:name="z375" w:id="287"/>
    <w:p>
      <w:pPr>
        <w:spacing w:after="0"/>
        <w:ind w:left="0"/>
        <w:jc w:val="both"/>
      </w:pPr>
      <w:r>
        <w:rPr>
          <w:rFonts w:ascii="Times New Roman"/>
          <w:b w:val="false"/>
          <w:i w:val="false"/>
          <w:color w:val="000000"/>
          <w:sz w:val="28"/>
        </w:rPr>
        <w:t>
      Национальная федерации сельскохозяйственных кооперативов Республики Кореи (NACF) с годовой выручкой, превышающей 55 млрд долларов США, объединяют более 80 % фермеров страны или 2,5 млн человек.</w:t>
      </w:r>
    </w:p>
    <w:bookmarkEnd w:id="287"/>
    <w:bookmarkStart w:name="z376" w:id="288"/>
    <w:p>
      <w:pPr>
        <w:spacing w:after="0"/>
        <w:ind w:left="0"/>
        <w:jc w:val="both"/>
      </w:pPr>
      <w:r>
        <w:rPr>
          <w:rFonts w:ascii="Times New Roman"/>
          <w:b w:val="false"/>
          <w:i w:val="false"/>
          <w:color w:val="000000"/>
          <w:sz w:val="28"/>
        </w:rPr>
        <w:t>
      Около 70 % сельских жителей Израиля состоят в сельхозкооперативах – кибуцах, мошавах шиттуфи, мошавах овдимах. На долю кооперативов приходится около 75 % обрабатываемой земли, в том числе в пользовании кибуцев находится 41 %, мошавов овдимов – 29 %, мошавов шиттуфи – 4 %. При этом на их долю приходится около 80 % производимой в стране аграрной продукции, владеют 75 % основных производственных фондов.</w:t>
      </w:r>
    </w:p>
    <w:bookmarkEnd w:id="288"/>
    <w:bookmarkStart w:name="z377" w:id="289"/>
    <w:p>
      <w:pPr>
        <w:spacing w:after="0"/>
        <w:ind w:left="0"/>
        <w:jc w:val="both"/>
      </w:pPr>
      <w:r>
        <w:rPr>
          <w:rFonts w:ascii="Times New Roman"/>
          <w:b w:val="false"/>
          <w:i w:val="false"/>
          <w:color w:val="000000"/>
          <w:sz w:val="28"/>
        </w:rPr>
        <w:t>
      Продовольственная и сельскохозяйственная организация ООН (ФАО) признает решающую роль кооперативов и других фермерских организаций в поддержке малых сельскохозяйственных производителей.</w:t>
      </w:r>
    </w:p>
    <w:bookmarkEnd w:id="289"/>
    <w:bookmarkStart w:name="z378" w:id="2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3.6. </w:t>
      </w:r>
      <w:r>
        <w:rPr>
          <w:rFonts w:ascii="Times New Roman"/>
          <w:b w:val="false"/>
          <w:i/>
          <w:color w:val="000000"/>
          <w:sz w:val="28"/>
        </w:rPr>
        <w:t>Научное и кадровое обеспечение АПК</w:t>
      </w:r>
    </w:p>
    <w:bookmarkEnd w:id="290"/>
    <w:bookmarkStart w:name="z379" w:id="291"/>
    <w:p>
      <w:pPr>
        <w:spacing w:after="0"/>
        <w:ind w:left="0"/>
        <w:jc w:val="both"/>
      </w:pPr>
      <w:r>
        <w:rPr>
          <w:rFonts w:ascii="Times New Roman"/>
          <w:b w:val="false"/>
          <w:i w:val="false"/>
          <w:color w:val="000000"/>
          <w:sz w:val="28"/>
        </w:rPr>
        <w:t xml:space="preserve">
      Доля наукоемкой продукции и расходы на науку в общем объеме ВВП являются основными показателями экономики, основанной на знаниях. </w:t>
      </w:r>
    </w:p>
    <w:bookmarkEnd w:id="291"/>
    <w:bookmarkStart w:name="z380" w:id="292"/>
    <w:p>
      <w:pPr>
        <w:spacing w:after="0"/>
        <w:ind w:left="0"/>
        <w:jc w:val="both"/>
      </w:pPr>
      <w:r>
        <w:rPr>
          <w:rFonts w:ascii="Times New Roman"/>
          <w:b w:val="false"/>
          <w:i w:val="false"/>
          <w:color w:val="000000"/>
          <w:sz w:val="28"/>
        </w:rPr>
        <w:t xml:space="preserve">
      В развитых странах доля затрат на НИОКР составляет в среднем 3 % от ВВП (в Швеции – 3,8%, Финляндии – 3,5 %, Японии – 3,04 %, Швейцарии – 2,73 %, США – 2,84 %, Германии – 2,44 %). При этом доля государства в этих расходах составляет в среднем 25-34 %. </w:t>
      </w:r>
    </w:p>
    <w:bookmarkEnd w:id="292"/>
    <w:bookmarkStart w:name="z381" w:id="293"/>
    <w:p>
      <w:pPr>
        <w:spacing w:after="0"/>
        <w:ind w:left="0"/>
        <w:jc w:val="both"/>
      </w:pPr>
      <w:r>
        <w:rPr>
          <w:rFonts w:ascii="Times New Roman"/>
          <w:b w:val="false"/>
          <w:i w:val="false"/>
          <w:color w:val="000000"/>
          <w:sz w:val="28"/>
        </w:rPr>
        <w:t xml:space="preserve">
      Затраты на НИОКР в расчете на душу населения в странах с развитой экономикой составляют: в США – 892, Швеции – 875, Финляндии – 726, Швейцарии – 688, Исландии – 613, Германии – 580, Дании – 541, Норвегии – 479, Франции – 478, России – 420 долларов США, а в Казахстане – 10,27 долларов США /чел (82 млрд тенге при населении 19 млн. чел.), что в 86,8 раза меньше, чем в США и в 40,9 раза меньше, чем в России. </w:t>
      </w:r>
    </w:p>
    <w:bookmarkEnd w:id="293"/>
    <w:bookmarkStart w:name="z382" w:id="294"/>
    <w:p>
      <w:pPr>
        <w:spacing w:after="0"/>
        <w:ind w:left="0"/>
        <w:jc w:val="both"/>
      </w:pPr>
      <w:r>
        <w:rPr>
          <w:rFonts w:ascii="Times New Roman"/>
          <w:b w:val="false"/>
          <w:i w:val="false"/>
          <w:color w:val="000000"/>
          <w:sz w:val="28"/>
        </w:rPr>
        <w:t xml:space="preserve">
      В развитых странах на долю новых или усовершенствованных технологий, продукции, оборудования, содержащих новые знания или решения, приходится от 70 до 85 % прироста ВВП, так как внедрение технологических инноваций на постоянной основе осуществляют в Германии – 71,8 % предприятий, Бельгии – 53,6 %, Эстонии – 52,8 %, Финляндии – 52,5 % и Швеции – 49,6 %, а в Казахстане – менее 1 %. </w:t>
      </w:r>
    </w:p>
    <w:bookmarkEnd w:id="294"/>
    <w:bookmarkStart w:name="z383" w:id="2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 </w:t>
      </w:r>
      <w:r>
        <w:rPr>
          <w:rFonts w:ascii="Times New Roman"/>
          <w:b w:val="false"/>
          <w:i/>
          <w:color w:val="000000"/>
          <w:sz w:val="28"/>
        </w:rPr>
        <w:t>Земельные ресурсы</w:t>
      </w:r>
    </w:p>
    <w:bookmarkEnd w:id="295"/>
    <w:bookmarkStart w:name="z384" w:id="296"/>
    <w:p>
      <w:pPr>
        <w:spacing w:after="0"/>
        <w:ind w:left="0"/>
        <w:jc w:val="both"/>
      </w:pPr>
      <w:r>
        <w:rPr>
          <w:rFonts w:ascii="Times New Roman"/>
          <w:b w:val="false"/>
          <w:i w:val="false"/>
          <w:color w:val="000000"/>
          <w:sz w:val="28"/>
        </w:rPr>
        <w:t>
      Государственное регулирование в сфере земельных отношений осуществляется во всех странах мира.</w:t>
      </w:r>
    </w:p>
    <w:bookmarkEnd w:id="296"/>
    <w:bookmarkStart w:name="z385" w:id="297"/>
    <w:p>
      <w:pPr>
        <w:spacing w:after="0"/>
        <w:ind w:left="0"/>
        <w:jc w:val="both"/>
      </w:pPr>
      <w:r>
        <w:rPr>
          <w:rFonts w:ascii="Times New Roman"/>
          <w:b w:val="false"/>
          <w:i w:val="false"/>
          <w:color w:val="000000"/>
          <w:sz w:val="28"/>
        </w:rPr>
        <w:t>
      В частности, ряд стран законодательно запрещает раздел сельскохозяйственных угодий на участки меньше определенного размера, чтобы предотвратить дробление сельхозземель, в то время как другие ограничивают чрезмерную концентрацию сельскохозяйственных земель с тем, чтобы не развивались земельные латифундии. Многие страны также требуют, чтобы покупатели или арендаторы сельскохозяйственных угодий проживали по соседству с целью иметь контроль за собственностью.</w:t>
      </w:r>
    </w:p>
    <w:bookmarkEnd w:id="297"/>
    <w:bookmarkStart w:name="z386" w:id="298"/>
    <w:p>
      <w:pPr>
        <w:spacing w:after="0"/>
        <w:ind w:left="0"/>
        <w:jc w:val="both"/>
      </w:pPr>
      <w:r>
        <w:rPr>
          <w:rFonts w:ascii="Times New Roman"/>
          <w:b w:val="false"/>
          <w:i w:val="false"/>
          <w:color w:val="000000"/>
          <w:sz w:val="28"/>
        </w:rPr>
        <w:t>
      В Дании физическое лицо обладает правом пользования землей сельхозназначения лишь в том случае, если имеет профессиональную подготовку, в возрасте не более 50 лет, располагает необходимым капиталом.</w:t>
      </w:r>
    </w:p>
    <w:bookmarkEnd w:id="298"/>
    <w:bookmarkStart w:name="z387" w:id="299"/>
    <w:p>
      <w:pPr>
        <w:spacing w:after="0"/>
        <w:ind w:left="0"/>
        <w:jc w:val="both"/>
      </w:pPr>
      <w:r>
        <w:rPr>
          <w:rFonts w:ascii="Times New Roman"/>
          <w:b w:val="false"/>
          <w:i w:val="false"/>
          <w:color w:val="000000"/>
          <w:sz w:val="28"/>
        </w:rPr>
        <w:t>
      Опыт большинства экономически развитых стран свидетельствует о широко распространенной практике ограничения максимально допустимых размеров сельскохозяйственных земельных участков. Так, в Дании максимально возможной является площадь в 150 га, впрочем, приобретение большей земельной площади допускается лишь по специальному разрешению (для его получения надо доказать, что такое количество земли обусловлено спецификой производства). Действуют ограничения по максимально возможным площадям сельскохозяйственных земель также в Италии, Норвегии, Новой Зеландии и других странах. Такой регулятор имеется и в российском законодательстве, причем, учитывая разнообразие природных, экономических и иных факторов в регионах для каждого субъекта РФ, это определяется его законодательством.</w:t>
      </w:r>
    </w:p>
    <w:bookmarkEnd w:id="299"/>
    <w:bookmarkStart w:name="z388" w:id="300"/>
    <w:p>
      <w:pPr>
        <w:spacing w:after="0"/>
        <w:ind w:left="0"/>
        <w:jc w:val="both"/>
      </w:pPr>
      <w:r>
        <w:rPr>
          <w:rFonts w:ascii="Times New Roman"/>
          <w:b w:val="false"/>
          <w:i w:val="false"/>
          <w:color w:val="000000"/>
          <w:sz w:val="28"/>
        </w:rPr>
        <w:t>
      На обеспечение рациональности землепользования направлено ограничение необоснованной излишней делимости земельных участков, которая может привести к фрагментации участков, чересполосице, вклиниваниям, другим неудобствам в использовании. Соответствующие нормы имеются в законодательстве Испании, Италии, Норвегии, Германии и других стран. В российском законодательстве, так же как и для максимально возможных размеров общей площади земель, это детально регламентируется законами субъектов РФ.</w:t>
      </w:r>
    </w:p>
    <w:bookmarkEnd w:id="300"/>
    <w:bookmarkStart w:name="z389" w:id="3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 </w:t>
      </w:r>
      <w:r>
        <w:rPr>
          <w:rFonts w:ascii="Times New Roman"/>
          <w:b w:val="false"/>
          <w:i/>
          <w:color w:val="000000"/>
          <w:sz w:val="28"/>
        </w:rPr>
        <w:t>Цифровизация АПК</w:t>
      </w:r>
    </w:p>
    <w:bookmarkEnd w:id="301"/>
    <w:bookmarkStart w:name="z390" w:id="302"/>
    <w:p>
      <w:pPr>
        <w:spacing w:after="0"/>
        <w:ind w:left="0"/>
        <w:jc w:val="both"/>
      </w:pPr>
      <w:r>
        <w:rPr>
          <w:rFonts w:ascii="Times New Roman"/>
          <w:b w:val="false"/>
          <w:i w:val="false"/>
          <w:color w:val="000000"/>
          <w:sz w:val="28"/>
        </w:rPr>
        <w:t xml:space="preserve">
      По цифровизации сельского хозяйства в Европе первое место занимает Германия, которая уделяет особое внимание формированию условий для цифрового преобразования АПК. В течение почти двух десятилетий в Германии практикуется использование систем точного земледелия и умной фермы. </w:t>
      </w:r>
    </w:p>
    <w:bookmarkEnd w:id="302"/>
    <w:bookmarkStart w:name="z391" w:id="303"/>
    <w:p>
      <w:pPr>
        <w:spacing w:after="0"/>
        <w:ind w:left="0"/>
        <w:jc w:val="both"/>
      </w:pPr>
      <w:r>
        <w:rPr>
          <w:rFonts w:ascii="Times New Roman"/>
          <w:b w:val="false"/>
          <w:i w:val="false"/>
          <w:color w:val="000000"/>
          <w:sz w:val="28"/>
        </w:rPr>
        <w:t xml:space="preserve">
      Ирландская государственная программа "Smart Farming" была запущена в 2014 г. Индивидуальным предпринимателям в конкретной области сельскохозяйственного производства предлагаются различные варианты использования цифровых технологий и платформ, которые могут снизить расходы и уровень вредных выбросов. В настоящее время в программе работает 1 900 хозяйств. Экономия в каждом из них составила в среднем 5 000 евро в 2018 г., расход топлива снизился на 10 %. Смарт-фермерство, как отмечают швейцарские ученые, ослабляет вредное влияние сельского хозяйства на окружающую среду за счет минимизированного или точного внесения удобрений и пестицидов. </w:t>
      </w:r>
    </w:p>
    <w:bookmarkEnd w:id="303"/>
    <w:bookmarkStart w:name="z392" w:id="304"/>
    <w:p>
      <w:pPr>
        <w:spacing w:after="0"/>
        <w:ind w:left="0"/>
        <w:jc w:val="both"/>
      </w:pPr>
      <w:r>
        <w:rPr>
          <w:rFonts w:ascii="Times New Roman"/>
          <w:b w:val="false"/>
          <w:i w:val="false"/>
          <w:color w:val="000000"/>
          <w:sz w:val="28"/>
        </w:rPr>
        <w:t>
      Фермеры получают информацию на основе аналитики больших данных (Big Data): источников данных с полей, сельскохозяйственных животных и машин на основе различных регистраторов и интернета вещей; организации хранения данных; методов искусственного интеллекта и машинного обучения для обработки данных и превращения их в информацию. Эти же данные и информация могут быть использованы еще где-нибудь, например, уполномоченными органами, которым информация нужна для контроля и управления.</w:t>
      </w:r>
    </w:p>
    <w:bookmarkEnd w:id="304"/>
    <w:bookmarkStart w:name="z393" w:id="305"/>
    <w:p>
      <w:pPr>
        <w:spacing w:after="0"/>
        <w:ind w:left="0"/>
        <w:jc w:val="both"/>
      </w:pPr>
      <w:r>
        <w:rPr>
          <w:rFonts w:ascii="Times New Roman"/>
          <w:b w:val="false"/>
          <w:i w:val="false"/>
          <w:color w:val="000000"/>
          <w:sz w:val="28"/>
        </w:rPr>
        <w:t>
      Последним трендом в цифровизации АПК стало создание цифровых платформ товаропроводящих цепочек, что позволяет сбалансировать поставки продуктов питания рынке, обеспечить прослеживаемость (безопасность) продукции, оптимизировать расходы на логистику и посреднические услуги.</w:t>
      </w:r>
    </w:p>
    <w:bookmarkEnd w:id="305"/>
    <w:bookmarkStart w:name="z394" w:id="3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 </w:t>
      </w:r>
      <w:r>
        <w:rPr>
          <w:rFonts w:ascii="Times New Roman"/>
          <w:b w:val="false"/>
          <w:i/>
          <w:color w:val="000000"/>
          <w:sz w:val="28"/>
        </w:rPr>
        <w:t>Государственная поддержка</w:t>
      </w:r>
    </w:p>
    <w:bookmarkEnd w:id="306"/>
    <w:bookmarkStart w:name="z395" w:id="307"/>
    <w:p>
      <w:pPr>
        <w:spacing w:after="0"/>
        <w:ind w:left="0"/>
        <w:jc w:val="both"/>
      </w:pPr>
      <w:r>
        <w:rPr>
          <w:rFonts w:ascii="Times New Roman"/>
          <w:b w:val="false"/>
          <w:i w:val="false"/>
          <w:color w:val="000000"/>
          <w:sz w:val="28"/>
        </w:rPr>
        <w:t>
      Государственное регулирование агропромышленного комплекса является общемировой практикой и применяется во всех странах. Приоритетным направлением большинства стран при этом является всесторонняя поддержка производителей с использованием различных экономических рычагов (компенсация издержек производства, поддержка цен, субсидии для производственной структуры, реализация различных программ). Однако его формы и методы, направленные на создание благоприятной конъюнктуры для обеспечения устойчивого функционирования агропромышленного комплекса, отличаются друг от друга в зависимости от специфики развития АПК, а также от природно-климатических условий каждой страны. В США субсидируется рентабельность сельскохозяйственного производства, а в европейских странах субсидии выдаются на каждый гектар сельхозугодий. Есть страны, так называемая "Кернская группа", расположенные в зоне субтропики, где государство вообще не субсидирует сельское хозяйство. В то же время во многих развитых странах большое внимание уделяется вопросам косвенной поддержки сельского хозяйства. Это, прежде всего, обучение фермеров через государственные программы по распространению знаний. Во многих странах финансируются мероприятия по повышению качества производимой продукции, обеспечению ветеринарного надзора, внедрению достижений научно-технического прогресса, охране окружающей среды, стимулированию производства в проблемных районах, обеспечению минимального уровня доходов мелким хозяйствам.</w:t>
      </w:r>
    </w:p>
    <w:bookmarkEnd w:id="307"/>
    <w:bookmarkStart w:name="z396" w:id="308"/>
    <w:p>
      <w:pPr>
        <w:spacing w:after="0"/>
        <w:ind w:left="0"/>
        <w:jc w:val="both"/>
      </w:pPr>
      <w:r>
        <w:rPr>
          <w:rFonts w:ascii="Times New Roman"/>
          <w:b w:val="false"/>
          <w:i w:val="false"/>
          <w:color w:val="000000"/>
          <w:sz w:val="28"/>
        </w:rPr>
        <w:t>
      В структуре государственных субсидий зарубежных стран наибольший удельный вес занимают средства на поддержку цен. Система государственного регулирования цен практически во всех странах с развитой рыночной экономикой предусматривает установление верхних и нижних пределов колебания цен и индикативной цены, которую стремится поддерживать государство, приобретение и реализацию нескоропортящейся продукции в целях поддержания необходимого уровня цен.</w:t>
      </w:r>
    </w:p>
    <w:bookmarkEnd w:id="308"/>
    <w:bookmarkStart w:name="z397" w:id="309"/>
    <w:p>
      <w:pPr>
        <w:spacing w:after="0"/>
        <w:ind w:left="0"/>
        <w:jc w:val="both"/>
      </w:pPr>
      <w:r>
        <w:rPr>
          <w:rFonts w:ascii="Times New Roman"/>
          <w:b w:val="false"/>
          <w:i w:val="false"/>
          <w:color w:val="000000"/>
          <w:sz w:val="28"/>
        </w:rPr>
        <w:t>
      В целом обзор мирового опыта показывает, что в Казахстане есть предпосылки к переходу к ресурсосберегающим и органическим технологиям, направленным на улучшение экологической ситуации и сохранение окружающей среды, созданию прочной кормовой базы, которая позволит обеспечить развитие животноводства.</w:t>
      </w:r>
    </w:p>
    <w:bookmarkEnd w:id="309"/>
    <w:bookmarkStart w:name="z398" w:id="310"/>
    <w:p>
      <w:pPr>
        <w:spacing w:after="0"/>
        <w:ind w:left="0"/>
        <w:jc w:val="both"/>
      </w:pPr>
      <w:r>
        <w:rPr>
          <w:rFonts w:ascii="Times New Roman"/>
          <w:b w:val="false"/>
          <w:i w:val="false"/>
          <w:color w:val="000000"/>
          <w:sz w:val="28"/>
        </w:rPr>
        <w:t>
      Кроме того, Казахстану необходимо перенять опыт по созданию сбытовой кооперации и созданию инфраструктуры для сельского хозяйства, а также принять меры по стабильности мер государственной поддержки АПК и повышению финансирования аграрной науки.</w:t>
      </w:r>
    </w:p>
    <w:bookmarkEnd w:id="310"/>
    <w:bookmarkStart w:name="z399" w:id="311"/>
    <w:p>
      <w:pPr>
        <w:spacing w:after="0"/>
        <w:ind w:left="0"/>
        <w:jc w:val="left"/>
      </w:pPr>
      <w:r>
        <w:rPr>
          <w:rFonts w:ascii="Times New Roman"/>
          <w:b/>
          <w:i w:val="false"/>
          <w:color w:val="000000"/>
        </w:rPr>
        <w:t xml:space="preserve"> 4. Видение развития сферы</w:t>
      </w:r>
    </w:p>
    <w:bookmarkEnd w:id="311"/>
    <w:p>
      <w:pPr>
        <w:spacing w:after="0"/>
        <w:ind w:left="0"/>
        <w:jc w:val="both"/>
      </w:pPr>
      <w:r>
        <w:rPr>
          <w:rFonts w:ascii="Times New Roman"/>
          <w:b w:val="false"/>
          <w:i w:val="false"/>
          <w:color w:val="ff0000"/>
          <w:sz w:val="28"/>
        </w:rPr>
        <w:t xml:space="preserve">
      Сноска. Раздел 4 с изменениями, внесенными постановлениями Правительства РК от 28.03.2023 </w:t>
      </w:r>
      <w:r>
        <w:rPr>
          <w:rFonts w:ascii="Times New Roman"/>
          <w:b w:val="false"/>
          <w:i w:val="false"/>
          <w:color w:val="ff0000"/>
          <w:sz w:val="28"/>
        </w:rPr>
        <w:t>№ 268</w:t>
      </w:r>
      <w:r>
        <w:rPr>
          <w:rFonts w:ascii="Times New Roman"/>
          <w:b w:val="false"/>
          <w:i w:val="false"/>
          <w:color w:val="ff0000"/>
          <w:sz w:val="28"/>
        </w:rPr>
        <w:t xml:space="preserve">; от 28.02.2024 </w:t>
      </w:r>
      <w:r>
        <w:rPr>
          <w:rFonts w:ascii="Times New Roman"/>
          <w:b w:val="false"/>
          <w:i w:val="false"/>
          <w:color w:val="ff0000"/>
          <w:sz w:val="28"/>
        </w:rPr>
        <w:t>№ 132</w:t>
      </w:r>
      <w:r>
        <w:rPr>
          <w:rFonts w:ascii="Times New Roman"/>
          <w:b w:val="false"/>
          <w:i w:val="false"/>
          <w:color w:val="ff0000"/>
          <w:sz w:val="28"/>
        </w:rPr>
        <w:t>.</w:t>
      </w:r>
    </w:p>
    <w:bookmarkStart w:name="z400" w:id="312"/>
    <w:p>
      <w:pPr>
        <w:spacing w:after="0"/>
        <w:ind w:left="0"/>
        <w:jc w:val="both"/>
      </w:pPr>
      <w:r>
        <w:rPr>
          <w:rFonts w:ascii="Times New Roman"/>
          <w:b w:val="false"/>
          <w:i w:val="false"/>
          <w:color w:val="000000"/>
          <w:sz w:val="28"/>
        </w:rPr>
        <w:t xml:space="preserve">
      Климатические изменения, дефицит водных ресурсов имеют непосредственное влияние на возможности по обеспечению продовольственной безопасности и достижение устойчивого развития. Изменение климата приводит к изменению культуры земледелия, технологий в животноводстве. </w:t>
      </w:r>
    </w:p>
    <w:bookmarkEnd w:id="312"/>
    <w:bookmarkStart w:name="z401" w:id="313"/>
    <w:p>
      <w:pPr>
        <w:spacing w:after="0"/>
        <w:ind w:left="0"/>
        <w:jc w:val="both"/>
      </w:pPr>
      <w:r>
        <w:rPr>
          <w:rFonts w:ascii="Times New Roman"/>
          <w:b w:val="false"/>
          <w:i w:val="false"/>
          <w:color w:val="000000"/>
          <w:sz w:val="28"/>
        </w:rPr>
        <w:t>
      По оценке экспертов в Казахстане есть риск возникновения дефицита воды, а к 2050 году республика может оказаться в списке государств катастрофического водного стресса. Это в свою очередь, окажет влияние на социально-экономическое развитие страны. В частности, наибольшее воздействие данная ситуация окажет на развитие агропромышленного комплекса, так урожайность некоторых культур к 2030 году снизится на 9-47 % к современному уровню, а это напрямую влияет на показатели производительности труда и вопросы продовольственной безопасности.</w:t>
      </w:r>
    </w:p>
    <w:bookmarkEnd w:id="313"/>
    <w:bookmarkStart w:name="z402" w:id="314"/>
    <w:p>
      <w:pPr>
        <w:spacing w:after="0"/>
        <w:ind w:left="0"/>
        <w:jc w:val="both"/>
      </w:pPr>
      <w:r>
        <w:rPr>
          <w:rFonts w:ascii="Times New Roman"/>
          <w:b w:val="false"/>
          <w:i w:val="false"/>
          <w:color w:val="000000"/>
          <w:sz w:val="28"/>
        </w:rPr>
        <w:t>
      Главным фактором минимизации указанных рисков являются "зеленые" технологии и устойчивое производство, включающие эффективное управления ресурсами, модернизация существующей и развитие новой инфраструктуры, повышение благосостояния населения и качества окружающей среды за счет применения реальных мер сокращения степени воздействия на окружающую среду.</w:t>
      </w:r>
    </w:p>
    <w:bookmarkEnd w:id="314"/>
    <w:bookmarkStart w:name="z403" w:id="315"/>
    <w:p>
      <w:pPr>
        <w:spacing w:after="0"/>
        <w:ind w:left="0"/>
        <w:jc w:val="both"/>
      </w:pPr>
      <w:r>
        <w:rPr>
          <w:rFonts w:ascii="Times New Roman"/>
          <w:b w:val="false"/>
          <w:i w:val="false"/>
          <w:color w:val="000000"/>
          <w:sz w:val="28"/>
        </w:rPr>
        <w:t xml:space="preserve">
      Поэтому основными приоритетами развития АПК до 2030 года станут: </w:t>
      </w:r>
    </w:p>
    <w:bookmarkEnd w:id="315"/>
    <w:bookmarkStart w:name="z404" w:id="316"/>
    <w:p>
      <w:pPr>
        <w:spacing w:after="0"/>
        <w:ind w:left="0"/>
        <w:jc w:val="both"/>
      </w:pPr>
      <w:r>
        <w:rPr>
          <w:rFonts w:ascii="Times New Roman"/>
          <w:b w:val="false"/>
          <w:i w:val="false"/>
          <w:color w:val="000000"/>
          <w:sz w:val="28"/>
        </w:rPr>
        <w:t>
      учитывая имеющийся значительный потенциал сельского хозяйства по производству сырья и узкость внутреннего рынка, переход от сырьевой направленности экспортной политики на переработанную продукцию. Рост отраслей переработки за счет увеличения объемов экспорта обеспечит и качественный рост сельского хозяйства, и рост доходов по всей цепочке добавленных стоимостей.</w:t>
      </w:r>
    </w:p>
    <w:bookmarkEnd w:id="316"/>
    <w:bookmarkStart w:name="z405" w:id="317"/>
    <w:p>
      <w:pPr>
        <w:spacing w:after="0"/>
        <w:ind w:left="0"/>
        <w:jc w:val="both"/>
      </w:pPr>
      <w:r>
        <w:rPr>
          <w:rFonts w:ascii="Times New Roman"/>
          <w:b w:val="false"/>
          <w:i w:val="false"/>
          <w:color w:val="000000"/>
          <w:sz w:val="28"/>
        </w:rPr>
        <w:t xml:space="preserve">
      диверсификация производства и соблюдение севооборотов, что обеспечит переход на производство высокорентабельных культур, в том числе кормовых культур, и соответственно, переход на развитие интенсивного животноводства за счет активизации разъяснительной работы среди землепользователей, усиления контроля за выполнением требований земельного законодательства, технологии дистанционного зондирования земли по определению видового состава растений на полях, а также путем совершенствования системы агрохимического обслуживания сельхозпроизводства с пересмотром подходов проведения агрохимического обследования почв. </w:t>
      </w:r>
    </w:p>
    <w:bookmarkEnd w:id="317"/>
    <w:bookmarkStart w:name="z406" w:id="318"/>
    <w:p>
      <w:pPr>
        <w:spacing w:after="0"/>
        <w:ind w:left="0"/>
        <w:jc w:val="both"/>
      </w:pPr>
      <w:r>
        <w:rPr>
          <w:rFonts w:ascii="Times New Roman"/>
          <w:b w:val="false"/>
          <w:i w:val="false"/>
          <w:color w:val="000000"/>
          <w:sz w:val="28"/>
        </w:rPr>
        <w:t>
      в условия пандемических угроз приоритетом будет обеспечение продовольственной независимости страны по реализации импортозамещающих инвестиционных проектов по основным видам продуктов питания;</w:t>
      </w:r>
    </w:p>
    <w:bookmarkEnd w:id="318"/>
    <w:bookmarkStart w:name="z407" w:id="319"/>
    <w:p>
      <w:pPr>
        <w:spacing w:after="0"/>
        <w:ind w:left="0"/>
        <w:jc w:val="both"/>
      </w:pPr>
      <w:r>
        <w:rPr>
          <w:rFonts w:ascii="Times New Roman"/>
          <w:b w:val="false"/>
          <w:i w:val="false"/>
          <w:color w:val="000000"/>
          <w:sz w:val="28"/>
        </w:rPr>
        <w:t xml:space="preserve">
      индустриализация аграрного производства через принятие комплекса мер по качественному росту технической оснащенности отраслей АПК, соблюдению научно-обоснованных агротехнологий, усилению научного обеспечения и внедрению инновационных разработок, формированию системы кадрового обеспечения в соответствии с потребностями реального сектора. </w:t>
      </w:r>
    </w:p>
    <w:bookmarkEnd w:id="319"/>
    <w:bookmarkStart w:name="z408" w:id="320"/>
    <w:p>
      <w:pPr>
        <w:spacing w:after="0"/>
        <w:ind w:left="0"/>
        <w:jc w:val="both"/>
      </w:pPr>
      <w:r>
        <w:rPr>
          <w:rFonts w:ascii="Times New Roman"/>
          <w:b w:val="false"/>
          <w:i w:val="false"/>
          <w:color w:val="000000"/>
          <w:sz w:val="28"/>
        </w:rPr>
        <w:t>
      развитие современной инфраструктуры АПК, включающей в себя развитие систем ветеринарной и фитосанитарной безопасности; системы заготовки и хранения сельскохозяйственной продукции; развитие финансовой и страховой инфраструктуры АПК.</w:t>
      </w:r>
    </w:p>
    <w:bookmarkEnd w:id="320"/>
    <w:bookmarkStart w:name="z409" w:id="321"/>
    <w:p>
      <w:pPr>
        <w:spacing w:after="0"/>
        <w:ind w:left="0"/>
        <w:jc w:val="both"/>
      </w:pPr>
      <w:r>
        <w:rPr>
          <w:rFonts w:ascii="Times New Roman"/>
          <w:b w:val="false"/>
          <w:i w:val="false"/>
          <w:color w:val="000000"/>
          <w:sz w:val="28"/>
        </w:rPr>
        <w:t xml:space="preserve">
      катализатором роста производительности и качества продукции АПК на основе использования резервов вертикальной и горизонтальной интеграции станет развитие экосистем по приоритетным направлениям АПК. </w:t>
      </w:r>
    </w:p>
    <w:bookmarkEnd w:id="321"/>
    <w:bookmarkStart w:name="z410" w:id="322"/>
    <w:p>
      <w:pPr>
        <w:spacing w:after="0"/>
        <w:ind w:left="0"/>
        <w:jc w:val="both"/>
      </w:pPr>
      <w:r>
        <w:rPr>
          <w:rFonts w:ascii="Times New Roman"/>
          <w:b w:val="false"/>
          <w:i w:val="false"/>
          <w:color w:val="000000"/>
          <w:sz w:val="28"/>
        </w:rPr>
        <w:t>
      С учетом международного опыта, а также глобальных тенденций в развитии АПК отечественное сельское хозяйство будет ориентировано на стимулирование роста конкурентоспособности и устойчивости сектора к глобальным вызовам. Будет создана стимулирующая эти процессы законодательная база, повышена эффективность системы государственной поддержки, сформирована эффективная система распространения знаний, что создаст условия для повышения доходов жителей сельской местности.</w:t>
      </w:r>
    </w:p>
    <w:bookmarkEnd w:id="322"/>
    <w:bookmarkStart w:name="z411" w:id="323"/>
    <w:p>
      <w:pPr>
        <w:spacing w:after="0"/>
        <w:ind w:left="0"/>
        <w:jc w:val="both"/>
      </w:pPr>
      <w:r>
        <w:rPr>
          <w:rFonts w:ascii="Times New Roman"/>
          <w:b w:val="false"/>
          <w:i w:val="false"/>
          <w:color w:val="000000"/>
          <w:sz w:val="28"/>
        </w:rPr>
        <w:t>
      Структура сельскохозяйственного производства будет основана на развитии конкурентоспособности, сбалансированности в соответствии с потребностями внешних рынков и получением наибольшей выгоды от производства продукции сельского хозяйства.</w:t>
      </w:r>
    </w:p>
    <w:bookmarkEnd w:id="323"/>
    <w:bookmarkStart w:name="z412" w:id="324"/>
    <w:p>
      <w:pPr>
        <w:spacing w:after="0"/>
        <w:ind w:left="0"/>
        <w:jc w:val="both"/>
      </w:pPr>
      <w:r>
        <w:rPr>
          <w:rFonts w:ascii="Times New Roman"/>
          <w:b w:val="false"/>
          <w:i w:val="false"/>
          <w:color w:val="000000"/>
          <w:sz w:val="28"/>
        </w:rPr>
        <w:t>
      В основу реформ агропромышленного сектора будут заложены:</w:t>
      </w:r>
    </w:p>
    <w:bookmarkEnd w:id="324"/>
    <w:bookmarkStart w:name="z413" w:id="325"/>
    <w:p>
      <w:pPr>
        <w:spacing w:after="0"/>
        <w:ind w:left="0"/>
        <w:jc w:val="both"/>
      </w:pPr>
      <w:r>
        <w:rPr>
          <w:rFonts w:ascii="Times New Roman"/>
          <w:b w:val="false"/>
          <w:i w:val="false"/>
          <w:color w:val="000000"/>
          <w:sz w:val="28"/>
        </w:rPr>
        <w:t>
      переориентация политики сопутствующих расходов на достижение долгосрочной конкурентоспособности отрасли;</w:t>
      </w:r>
    </w:p>
    <w:bookmarkEnd w:id="325"/>
    <w:bookmarkStart w:name="z414" w:id="326"/>
    <w:p>
      <w:pPr>
        <w:spacing w:after="0"/>
        <w:ind w:left="0"/>
        <w:jc w:val="both"/>
      </w:pPr>
      <w:r>
        <w:rPr>
          <w:rFonts w:ascii="Times New Roman"/>
          <w:b w:val="false"/>
          <w:i w:val="false"/>
          <w:color w:val="000000"/>
          <w:sz w:val="28"/>
        </w:rPr>
        <w:t>
      фокус на знаниях и цифровизации как драйверах производительности;</w:t>
      </w:r>
    </w:p>
    <w:bookmarkEnd w:id="326"/>
    <w:bookmarkStart w:name="z415" w:id="327"/>
    <w:p>
      <w:pPr>
        <w:spacing w:after="0"/>
        <w:ind w:left="0"/>
        <w:jc w:val="both"/>
      </w:pPr>
      <w:r>
        <w:rPr>
          <w:rFonts w:ascii="Times New Roman"/>
          <w:b w:val="false"/>
          <w:i w:val="false"/>
          <w:color w:val="000000"/>
          <w:sz w:val="28"/>
        </w:rPr>
        <w:t>
      смещение акцента с отдельных производств на цепочки создания стоимости.</w:t>
      </w:r>
    </w:p>
    <w:bookmarkEnd w:id="327"/>
    <w:bookmarkStart w:name="z416" w:id="328"/>
    <w:p>
      <w:pPr>
        <w:spacing w:after="0"/>
        <w:ind w:left="0"/>
        <w:jc w:val="both"/>
      </w:pPr>
      <w:r>
        <w:rPr>
          <w:rFonts w:ascii="Times New Roman"/>
          <w:b w:val="false"/>
          <w:i w:val="false"/>
          <w:color w:val="000000"/>
          <w:sz w:val="28"/>
        </w:rPr>
        <w:t>
      Государство будет продолжать политику приверженности к открытой торговле и инвестициям, позволяющим стимулировать рост за счет усиления конкуренции, предпочтения более производительных предприятий и обеспечения ускоренного технологического обновления.</w:t>
      </w:r>
    </w:p>
    <w:bookmarkEnd w:id="328"/>
    <w:bookmarkStart w:name="z787" w:id="329"/>
    <w:p>
      <w:pPr>
        <w:spacing w:after="0"/>
        <w:ind w:left="0"/>
        <w:jc w:val="both"/>
      </w:pPr>
      <w:r>
        <w:rPr>
          <w:rFonts w:ascii="Times New Roman"/>
          <w:b w:val="false"/>
          <w:i w:val="false"/>
          <w:color w:val="000000"/>
          <w:sz w:val="28"/>
        </w:rPr>
        <w:t>
      В целях сокращения доли теневой экономики в сельском хозяйстве будут приняты меры по цифровизации отрасли, в том числе будет внедрена информационная система прослеживаемости в растениеводстве (далее – ИСР).</w:t>
      </w:r>
    </w:p>
    <w:bookmarkEnd w:id="329"/>
    <w:bookmarkStart w:name="z417" w:id="3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4.1. </w:t>
      </w:r>
      <w:r>
        <w:rPr>
          <w:rFonts w:ascii="Times New Roman"/>
          <w:b w:val="false"/>
          <w:i/>
          <w:color w:val="000000"/>
          <w:sz w:val="28"/>
        </w:rPr>
        <w:t>Растениеводство</w:t>
      </w:r>
    </w:p>
    <w:bookmarkEnd w:id="330"/>
    <w:bookmarkStart w:name="z419" w:id="331"/>
    <w:p>
      <w:pPr>
        <w:spacing w:after="0"/>
        <w:ind w:left="0"/>
        <w:jc w:val="both"/>
      </w:pPr>
      <w:r>
        <w:rPr>
          <w:rFonts w:ascii="Times New Roman"/>
          <w:b w:val="false"/>
          <w:i w:val="false"/>
          <w:color w:val="000000"/>
          <w:sz w:val="28"/>
        </w:rPr>
        <w:t xml:space="preserve">
      Будет создано устойчивое интенсивное растениеводство с высокой и стабильной урожайностью и рентабельностью, адаптированное к изменению климата. </w:t>
      </w:r>
    </w:p>
    <w:bookmarkEnd w:id="331"/>
    <w:bookmarkStart w:name="z420" w:id="332"/>
    <w:p>
      <w:pPr>
        <w:spacing w:after="0"/>
        <w:ind w:left="0"/>
        <w:jc w:val="both"/>
      </w:pPr>
      <w:r>
        <w:rPr>
          <w:rFonts w:ascii="Times New Roman"/>
          <w:b w:val="false"/>
          <w:i w:val="false"/>
          <w:color w:val="000000"/>
          <w:sz w:val="28"/>
        </w:rPr>
        <w:t>
      Будет достигнута высокая экономическая эффективность использования факторов производства путем:</w:t>
      </w:r>
    </w:p>
    <w:bookmarkEnd w:id="332"/>
    <w:bookmarkStart w:name="z421" w:id="333"/>
    <w:p>
      <w:pPr>
        <w:spacing w:after="0"/>
        <w:ind w:left="0"/>
        <w:jc w:val="both"/>
      </w:pPr>
      <w:r>
        <w:rPr>
          <w:rFonts w:ascii="Times New Roman"/>
          <w:b w:val="false"/>
          <w:i w:val="false"/>
          <w:color w:val="000000"/>
          <w:sz w:val="28"/>
        </w:rPr>
        <w:t>
      диверсификации структуры посевных площадей;</w:t>
      </w:r>
    </w:p>
    <w:bookmarkEnd w:id="333"/>
    <w:bookmarkStart w:name="z422" w:id="334"/>
    <w:p>
      <w:pPr>
        <w:spacing w:after="0"/>
        <w:ind w:left="0"/>
        <w:jc w:val="both"/>
      </w:pPr>
      <w:r>
        <w:rPr>
          <w:rFonts w:ascii="Times New Roman"/>
          <w:b w:val="false"/>
          <w:i w:val="false"/>
          <w:color w:val="000000"/>
          <w:sz w:val="28"/>
        </w:rPr>
        <w:t>
      увеличения использования высококачественных семян отечественного производства;</w:t>
      </w:r>
    </w:p>
    <w:bookmarkEnd w:id="334"/>
    <w:bookmarkStart w:name="z423" w:id="335"/>
    <w:p>
      <w:pPr>
        <w:spacing w:after="0"/>
        <w:ind w:left="0"/>
        <w:jc w:val="both"/>
      </w:pPr>
      <w:r>
        <w:rPr>
          <w:rFonts w:ascii="Times New Roman"/>
          <w:b w:val="false"/>
          <w:i w:val="false"/>
          <w:color w:val="000000"/>
          <w:sz w:val="28"/>
        </w:rPr>
        <w:t>
      расширения площадей орошаемых земель и широкого внедрения водосбрегающих технологий полива;</w:t>
      </w:r>
    </w:p>
    <w:bookmarkEnd w:id="335"/>
    <w:bookmarkStart w:name="z424" w:id="336"/>
    <w:p>
      <w:pPr>
        <w:spacing w:after="0"/>
        <w:ind w:left="0"/>
        <w:jc w:val="both"/>
      </w:pPr>
      <w:r>
        <w:rPr>
          <w:rFonts w:ascii="Times New Roman"/>
          <w:b w:val="false"/>
          <w:i w:val="false"/>
          <w:color w:val="000000"/>
          <w:sz w:val="28"/>
        </w:rPr>
        <w:t>
      ускорения темпов обновления машино-тракторного парка.</w:t>
      </w:r>
    </w:p>
    <w:bookmarkEnd w:id="336"/>
    <w:bookmarkStart w:name="z425" w:id="3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4.2. </w:t>
      </w:r>
      <w:r>
        <w:rPr>
          <w:rFonts w:ascii="Times New Roman"/>
          <w:b w:val="false"/>
          <w:i/>
          <w:color w:val="000000"/>
          <w:sz w:val="28"/>
        </w:rPr>
        <w:t>Животноводство</w:t>
      </w:r>
    </w:p>
    <w:bookmarkEnd w:id="337"/>
    <w:bookmarkStart w:name="z426" w:id="338"/>
    <w:p>
      <w:pPr>
        <w:spacing w:after="0"/>
        <w:ind w:left="0"/>
        <w:jc w:val="both"/>
      </w:pPr>
      <w:r>
        <w:rPr>
          <w:rFonts w:ascii="Times New Roman"/>
          <w:b w:val="false"/>
          <w:i w:val="false"/>
          <w:color w:val="000000"/>
          <w:sz w:val="28"/>
        </w:rPr>
        <w:t>
      Повышение устойчивости развития животноводства на основе создания прочной кормовой базы, генетического потенциала скота и внедрения современных технологий на основе принципов зеленого роста путем:</w:t>
      </w:r>
    </w:p>
    <w:bookmarkEnd w:id="338"/>
    <w:bookmarkStart w:name="z427" w:id="339"/>
    <w:p>
      <w:pPr>
        <w:spacing w:after="0"/>
        <w:ind w:left="0"/>
        <w:jc w:val="both"/>
      </w:pPr>
      <w:r>
        <w:rPr>
          <w:rFonts w:ascii="Times New Roman"/>
          <w:b w:val="false"/>
          <w:i w:val="false"/>
          <w:color w:val="000000"/>
          <w:sz w:val="28"/>
        </w:rPr>
        <w:t>
      внедрения передовых технологий воспроизводства скота, повышения продуктивности пастбищных угодий и освоения новых пастбищ;</w:t>
      </w:r>
    </w:p>
    <w:bookmarkEnd w:id="339"/>
    <w:bookmarkStart w:name="z428" w:id="340"/>
    <w:p>
      <w:pPr>
        <w:spacing w:after="0"/>
        <w:ind w:left="0"/>
        <w:jc w:val="both"/>
      </w:pPr>
      <w:r>
        <w:rPr>
          <w:rFonts w:ascii="Times New Roman"/>
          <w:b w:val="false"/>
          <w:i w:val="false"/>
          <w:color w:val="000000"/>
          <w:sz w:val="28"/>
        </w:rPr>
        <w:t xml:space="preserve">
      подготовки специалистов для животноводческой отрасли на основе обновленных образовательных программ; </w:t>
      </w:r>
    </w:p>
    <w:bookmarkEnd w:id="340"/>
    <w:bookmarkStart w:name="z429" w:id="341"/>
    <w:p>
      <w:pPr>
        <w:spacing w:after="0"/>
        <w:ind w:left="0"/>
        <w:jc w:val="both"/>
      </w:pPr>
      <w:r>
        <w:rPr>
          <w:rFonts w:ascii="Times New Roman"/>
          <w:b w:val="false"/>
          <w:i w:val="false"/>
          <w:color w:val="000000"/>
          <w:sz w:val="28"/>
        </w:rPr>
        <w:t>
      обучения малых и средних фермерских хозяйств лучшим устойчивым практикам и технологиям ведения хозяйства;</w:t>
      </w:r>
    </w:p>
    <w:bookmarkEnd w:id="341"/>
    <w:bookmarkStart w:name="z430" w:id="342"/>
    <w:p>
      <w:pPr>
        <w:spacing w:after="0"/>
        <w:ind w:left="0"/>
        <w:jc w:val="both"/>
      </w:pPr>
      <w:r>
        <w:rPr>
          <w:rFonts w:ascii="Times New Roman"/>
          <w:b w:val="false"/>
          <w:i w:val="false"/>
          <w:color w:val="000000"/>
          <w:sz w:val="28"/>
        </w:rPr>
        <w:t>
      развития экологического мониторинга в секторе, в частности, эмиссии парниковых газов;</w:t>
      </w:r>
    </w:p>
    <w:bookmarkEnd w:id="342"/>
    <w:bookmarkStart w:name="z431" w:id="343"/>
    <w:p>
      <w:pPr>
        <w:spacing w:after="0"/>
        <w:ind w:left="0"/>
        <w:jc w:val="both"/>
      </w:pPr>
      <w:r>
        <w:rPr>
          <w:rFonts w:ascii="Times New Roman"/>
          <w:b w:val="false"/>
          <w:i w:val="false"/>
          <w:color w:val="000000"/>
          <w:sz w:val="28"/>
        </w:rPr>
        <w:t>
      обеспечения эпизоотического благополучия;</w:t>
      </w:r>
    </w:p>
    <w:bookmarkEnd w:id="343"/>
    <w:bookmarkStart w:name="z432" w:id="344"/>
    <w:p>
      <w:pPr>
        <w:spacing w:after="0"/>
        <w:ind w:left="0"/>
        <w:jc w:val="both"/>
      </w:pPr>
      <w:r>
        <w:rPr>
          <w:rFonts w:ascii="Times New Roman"/>
          <w:b w:val="false"/>
          <w:i w:val="false"/>
          <w:color w:val="000000"/>
          <w:sz w:val="28"/>
        </w:rPr>
        <w:t>
      развития экспортных рынков животноводческой продукции;</w:t>
      </w:r>
    </w:p>
    <w:bookmarkEnd w:id="344"/>
    <w:bookmarkStart w:name="z433" w:id="345"/>
    <w:p>
      <w:pPr>
        <w:spacing w:after="0"/>
        <w:ind w:left="0"/>
        <w:jc w:val="both"/>
      </w:pPr>
      <w:r>
        <w:rPr>
          <w:rFonts w:ascii="Times New Roman"/>
          <w:b w:val="false"/>
          <w:i w:val="false"/>
          <w:color w:val="000000"/>
          <w:sz w:val="28"/>
        </w:rPr>
        <w:t>
      создания условий для развития рынка частных ветеринарных услуг;</w:t>
      </w:r>
    </w:p>
    <w:bookmarkEnd w:id="345"/>
    <w:bookmarkStart w:name="z434" w:id="346"/>
    <w:p>
      <w:pPr>
        <w:spacing w:after="0"/>
        <w:ind w:left="0"/>
        <w:jc w:val="both"/>
      </w:pPr>
      <w:r>
        <w:rPr>
          <w:rFonts w:ascii="Times New Roman"/>
          <w:b w:val="false"/>
          <w:i w:val="false"/>
          <w:color w:val="000000"/>
          <w:sz w:val="28"/>
        </w:rPr>
        <w:t xml:space="preserve">
      разработки и внедрения информационных систем и автоматизации процессов и документации в области ветеринарии; </w:t>
      </w:r>
    </w:p>
    <w:bookmarkEnd w:id="346"/>
    <w:bookmarkStart w:name="z435" w:id="347"/>
    <w:p>
      <w:pPr>
        <w:spacing w:after="0"/>
        <w:ind w:left="0"/>
        <w:jc w:val="both"/>
      </w:pPr>
      <w:r>
        <w:rPr>
          <w:rFonts w:ascii="Times New Roman"/>
          <w:b w:val="false"/>
          <w:i w:val="false"/>
          <w:color w:val="000000"/>
          <w:sz w:val="28"/>
        </w:rPr>
        <w:t>
      повышения заработной платы ветеринарным специалистам.</w:t>
      </w:r>
    </w:p>
    <w:bookmarkEnd w:id="347"/>
    <w:p>
      <w:pPr>
        <w:spacing w:after="0"/>
        <w:ind w:left="0"/>
        <w:jc w:val="both"/>
      </w:pPr>
      <w:r>
        <w:rPr>
          <w:rFonts w:ascii="Times New Roman"/>
          <w:b w:val="false"/>
          <w:i w:val="false"/>
          <w:color w:val="000000"/>
          <w:sz w:val="28"/>
        </w:rPr>
        <w:t>
      Проработка вопроса улучшения материально-технической базы путем:</w:t>
      </w:r>
    </w:p>
    <w:p>
      <w:pPr>
        <w:spacing w:after="0"/>
        <w:ind w:left="0"/>
        <w:jc w:val="both"/>
      </w:pPr>
      <w:r>
        <w:rPr>
          <w:rFonts w:ascii="Times New Roman"/>
          <w:b w:val="false"/>
          <w:i w:val="false"/>
          <w:color w:val="000000"/>
          <w:sz w:val="28"/>
        </w:rPr>
        <w:t>
      закупа современного лабораторного оборудования для ветеринарных лабораторий с целью обеспечения пищевой безопасности, сохранения экспорта казахстанских производителей животноводческой продукции;</w:t>
      </w:r>
    </w:p>
    <w:p>
      <w:pPr>
        <w:spacing w:after="0"/>
        <w:ind w:left="0"/>
        <w:jc w:val="both"/>
      </w:pPr>
      <w:r>
        <w:rPr>
          <w:rFonts w:ascii="Times New Roman"/>
          <w:b w:val="false"/>
          <w:i w:val="false"/>
          <w:color w:val="000000"/>
          <w:sz w:val="28"/>
        </w:rPr>
        <w:t>
      закупа инструментариев для отбора проб по пищевой безопасности, термочемоданов, средств индивидуальной защиты, видеорегистраторов, планшетов с целью обеспечения государственных ветеринарно-санитарных инспекторов;</w:t>
      </w:r>
    </w:p>
    <w:p>
      <w:pPr>
        <w:spacing w:after="0"/>
        <w:ind w:left="0"/>
        <w:jc w:val="both"/>
      </w:pPr>
      <w:r>
        <w:rPr>
          <w:rFonts w:ascii="Times New Roman"/>
          <w:b w:val="false"/>
          <w:i w:val="false"/>
          <w:color w:val="000000"/>
          <w:sz w:val="28"/>
        </w:rPr>
        <w:t>
      закупа специальной техники в количестве 695 единиц (инсинераторы, специальная автомашина с дезинфекционной установкой Комарова (ДУК), специальная автомашина с повышенной проходимостью, специальная автомашина с прицепом для перевозки сельскохозяйственных животных и др.) для государственных ветеринарных организаций, созданных МИО (районные ветеринарные станции с ветеринарными пунктами);</w:t>
      </w:r>
    </w:p>
    <w:p>
      <w:pPr>
        <w:spacing w:after="0"/>
        <w:ind w:left="0"/>
        <w:jc w:val="both"/>
      </w:pPr>
      <w:r>
        <w:rPr>
          <w:rFonts w:ascii="Times New Roman"/>
          <w:b w:val="false"/>
          <w:i w:val="false"/>
          <w:color w:val="000000"/>
          <w:sz w:val="28"/>
        </w:rPr>
        <w:t>
      закупа мобильных (передвижных) расколов для фиксации сельскохозяйственных животных при проведении ветеринарных мероприятий (проведение идентификации, отбора проб крови, вакцинации и т.д.) для государственных ветеринарных организаций, созданных МИО;</w:t>
      </w:r>
    </w:p>
    <w:p>
      <w:pPr>
        <w:spacing w:after="0"/>
        <w:ind w:left="0"/>
        <w:jc w:val="both"/>
      </w:pPr>
      <w:r>
        <w:rPr>
          <w:rFonts w:ascii="Times New Roman"/>
          <w:b w:val="false"/>
          <w:i w:val="false"/>
          <w:color w:val="000000"/>
          <w:sz w:val="28"/>
        </w:rPr>
        <w:t>
      строительства типовых скотомогильников (биотермических ям);</w:t>
      </w:r>
    </w:p>
    <w:p>
      <w:pPr>
        <w:spacing w:after="0"/>
        <w:ind w:left="0"/>
        <w:jc w:val="both"/>
      </w:pPr>
      <w:r>
        <w:rPr>
          <w:rFonts w:ascii="Times New Roman"/>
          <w:b w:val="false"/>
          <w:i w:val="false"/>
          <w:color w:val="000000"/>
          <w:sz w:val="28"/>
        </w:rPr>
        <w:t>
      строительства ветеринарных пунктов для ветеринарных врачей МИО;</w:t>
      </w:r>
    </w:p>
    <w:p>
      <w:pPr>
        <w:spacing w:after="0"/>
        <w:ind w:left="0"/>
        <w:jc w:val="both"/>
      </w:pPr>
      <w:r>
        <w:rPr>
          <w:rFonts w:ascii="Times New Roman"/>
          <w:b w:val="false"/>
          <w:i w:val="false"/>
          <w:color w:val="000000"/>
          <w:sz w:val="28"/>
        </w:rPr>
        <w:t>
      сохранения эпизоотического благополучия и недопущения заноса особо опасных болезней животных, а также сохранения экспортных рынков путем строительства ветеринарных лабораторий и 32 стационарных ветеринарно-контрольных постов на пунктах пропуска для государственных ветеринарно-санитарных инспекторов.</w:t>
      </w:r>
    </w:p>
    <w:bookmarkStart w:name="z436" w:id="348"/>
    <w:p>
      <w:pPr>
        <w:spacing w:after="0"/>
        <w:ind w:left="0"/>
        <w:jc w:val="both"/>
      </w:pPr>
      <w:r>
        <w:rPr>
          <w:rFonts w:ascii="Times New Roman"/>
          <w:b w:val="false"/>
          <w:i w:val="false"/>
          <w:color w:val="000000"/>
          <w:sz w:val="28"/>
        </w:rPr>
        <w:t xml:space="preserve">
      В целях эффективного развития отрасли животноводства будут разработаны дорожные карты в мясном и молочном скотоводстве, а также овцеводстве и птицеводстве. </w:t>
      </w:r>
    </w:p>
    <w:bookmarkEnd w:id="348"/>
    <w:bookmarkStart w:name="z437" w:id="349"/>
    <w:p>
      <w:pPr>
        <w:spacing w:after="0"/>
        <w:ind w:left="0"/>
        <w:jc w:val="both"/>
      </w:pPr>
      <w:r>
        <w:rPr>
          <w:rFonts w:ascii="Times New Roman"/>
          <w:b w:val="false"/>
          <w:i w:val="false"/>
          <w:color w:val="000000"/>
          <w:sz w:val="28"/>
        </w:rPr>
        <w:t>
      Так, в мясном скотоводстве в рамках дорожной карты будут предусмотрены индикаторы и мероприятия по созданию семейных и обучающих ферм (модельные фермы, которые будут оснащены современными технологиями для обучения фермеров) по обеспечению фермеров племенными быками для улучшения генетики беспородных животных, по созданию цепочки промышленного забоя скота – производство готовой продукции – глубокой переработки продукции, по переработке шкур, рациональному использованию пастбищ, широкому обучению фермеров, освоению рынков для стабильного роста экспорта говядины;</w:t>
      </w:r>
    </w:p>
    <w:bookmarkEnd w:id="349"/>
    <w:bookmarkStart w:name="z438" w:id="350"/>
    <w:p>
      <w:pPr>
        <w:spacing w:after="0"/>
        <w:ind w:left="0"/>
        <w:jc w:val="both"/>
      </w:pPr>
      <w:r>
        <w:rPr>
          <w:rFonts w:ascii="Times New Roman"/>
          <w:b w:val="false"/>
          <w:i w:val="false"/>
          <w:color w:val="000000"/>
          <w:sz w:val="28"/>
        </w:rPr>
        <w:t>
      в овцеводстве будут предусмотрены мероприятия, направленные на улучшение качества овец за счет селекционно-племенной работы, создание семейных овцеводческих хозяйств, развитие отгонного овцеводства путем освоения пастбищных угодий; переработке шкур и шерсти, повышение экспортного потенциала баранины и ягнятины;</w:t>
      </w:r>
    </w:p>
    <w:bookmarkEnd w:id="350"/>
    <w:bookmarkStart w:name="z439" w:id="351"/>
    <w:p>
      <w:pPr>
        <w:spacing w:after="0"/>
        <w:ind w:left="0"/>
        <w:jc w:val="both"/>
      </w:pPr>
      <w:r>
        <w:rPr>
          <w:rFonts w:ascii="Times New Roman"/>
          <w:b w:val="false"/>
          <w:i w:val="false"/>
          <w:color w:val="000000"/>
          <w:sz w:val="28"/>
        </w:rPr>
        <w:t>
      в птицеводстве мероприятия будут направлены на разведение высокопродуктивных и технологичных кроссов (пород) и гибридов различных видов птицы, создание современных племенных хозяйств 2 порядка и родительских стад, повышение продуктивности мясной и яичной птицы, увеличение объемов охлажденного мяса и продуктов глубокой переработки.</w:t>
      </w:r>
    </w:p>
    <w:bookmarkEnd w:id="351"/>
    <w:bookmarkStart w:name="z440" w:id="352"/>
    <w:p>
      <w:pPr>
        <w:spacing w:after="0"/>
        <w:ind w:left="0"/>
        <w:jc w:val="both"/>
      </w:pPr>
      <w:r>
        <w:rPr>
          <w:rFonts w:ascii="Times New Roman"/>
          <w:b w:val="false"/>
          <w:i w:val="false"/>
          <w:color w:val="000000"/>
          <w:sz w:val="28"/>
        </w:rPr>
        <w:t>
      Кроме того, будут проведены работы по внедрению эффективных методов селекции, стимулированию в фермерских хозяйствах селекционной и племенной работы в коневодстве и верблюдоводстве путем государственной поддержки ведения селекционно-племенной работы, а также направленные на улучшение качественного состава имеющегося поголовья, производства и переработки продукции.</w:t>
      </w:r>
    </w:p>
    <w:bookmarkEnd w:id="352"/>
    <w:bookmarkStart w:name="z441" w:id="3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4.3. </w:t>
      </w:r>
      <w:r>
        <w:rPr>
          <w:rFonts w:ascii="Times New Roman"/>
          <w:b w:val="false"/>
          <w:i/>
          <w:color w:val="000000"/>
          <w:sz w:val="28"/>
        </w:rPr>
        <w:t>Переработка сельскохозяйственной продукции</w:t>
      </w:r>
    </w:p>
    <w:bookmarkEnd w:id="353"/>
    <w:p>
      <w:pPr>
        <w:spacing w:after="0"/>
        <w:ind w:left="0"/>
        <w:jc w:val="both"/>
      </w:pPr>
      <w:r>
        <w:rPr>
          <w:rFonts w:ascii="Times New Roman"/>
          <w:b w:val="false"/>
          <w:i w:val="false"/>
          <w:color w:val="000000"/>
          <w:sz w:val="28"/>
        </w:rPr>
        <w:t>
      Будет достигнута высокая экономическая эффективность использования факторов производства продукции переработки путем:</w:t>
      </w:r>
    </w:p>
    <w:p>
      <w:pPr>
        <w:spacing w:after="0"/>
        <w:ind w:left="0"/>
        <w:jc w:val="both"/>
      </w:pPr>
      <w:r>
        <w:rPr>
          <w:rFonts w:ascii="Times New Roman"/>
          <w:b w:val="false"/>
          <w:i w:val="false"/>
          <w:color w:val="000000"/>
          <w:sz w:val="28"/>
        </w:rPr>
        <w:t>
      повышения качества сельскохозяйственного сырья;</w:t>
      </w:r>
    </w:p>
    <w:p>
      <w:pPr>
        <w:spacing w:after="0"/>
        <w:ind w:left="0"/>
        <w:jc w:val="both"/>
      </w:pPr>
      <w:r>
        <w:rPr>
          <w:rFonts w:ascii="Times New Roman"/>
          <w:b w:val="false"/>
          <w:i w:val="false"/>
          <w:color w:val="000000"/>
          <w:sz w:val="28"/>
        </w:rPr>
        <w:t>
      модернизации материально-технической базы перерабатывающих предприятий;</w:t>
      </w:r>
    </w:p>
    <w:p>
      <w:pPr>
        <w:spacing w:after="0"/>
        <w:ind w:left="0"/>
        <w:jc w:val="both"/>
      </w:pPr>
      <w:r>
        <w:rPr>
          <w:rFonts w:ascii="Times New Roman"/>
          <w:b w:val="false"/>
          <w:i w:val="false"/>
          <w:color w:val="000000"/>
          <w:sz w:val="28"/>
        </w:rPr>
        <w:t xml:space="preserve">
      расширения линейки производимой продукции; </w:t>
      </w:r>
    </w:p>
    <w:p>
      <w:pPr>
        <w:spacing w:after="0"/>
        <w:ind w:left="0"/>
        <w:jc w:val="both"/>
      </w:pPr>
      <w:r>
        <w:rPr>
          <w:rFonts w:ascii="Times New Roman"/>
          <w:b w:val="false"/>
          <w:i w:val="false"/>
          <w:color w:val="000000"/>
          <w:sz w:val="28"/>
        </w:rPr>
        <w:t>
      внедрения безотходных технологий переработки;</w:t>
      </w:r>
    </w:p>
    <w:p>
      <w:pPr>
        <w:spacing w:after="0"/>
        <w:ind w:left="0"/>
        <w:jc w:val="both"/>
      </w:pPr>
      <w:r>
        <w:rPr>
          <w:rFonts w:ascii="Times New Roman"/>
          <w:b w:val="false"/>
          <w:i w:val="false"/>
          <w:color w:val="000000"/>
          <w:sz w:val="28"/>
        </w:rPr>
        <w:t>
      строительства новых производств.</w:t>
      </w:r>
    </w:p>
    <w:p>
      <w:pPr>
        <w:spacing w:after="0"/>
        <w:ind w:left="0"/>
        <w:jc w:val="both"/>
      </w:pPr>
      <w:r>
        <w:rPr>
          <w:rFonts w:ascii="Times New Roman"/>
          <w:b w:val="false"/>
          <w:i w:val="false"/>
          <w:color w:val="000000"/>
          <w:sz w:val="28"/>
        </w:rPr>
        <w:t>
      Будет пересмотрена налоговая политика для стимулирования развития переработки сельскохозяйственной продукции.</w:t>
      </w:r>
    </w:p>
    <w:p>
      <w:pPr>
        <w:spacing w:after="0"/>
        <w:ind w:left="0"/>
        <w:jc w:val="both"/>
      </w:pPr>
      <w:r>
        <w:rPr>
          <w:rFonts w:ascii="Times New Roman"/>
          <w:b w:val="false"/>
          <w:i w:val="false"/>
          <w:color w:val="000000"/>
          <w:sz w:val="28"/>
        </w:rPr>
        <w:t>
      В целях эффективного развития отрасли переработки сельскохозяйственной продукции будет разработан Комплексный план по развитию переработки сельскохозяйственной продукции, предусматривающий:</w:t>
      </w:r>
    </w:p>
    <w:p>
      <w:pPr>
        <w:spacing w:after="0"/>
        <w:ind w:left="0"/>
        <w:jc w:val="both"/>
      </w:pPr>
      <w:r>
        <w:rPr>
          <w:rFonts w:ascii="Times New Roman"/>
          <w:b w:val="false"/>
          <w:i w:val="false"/>
          <w:color w:val="000000"/>
          <w:sz w:val="28"/>
        </w:rPr>
        <w:t>
      кредитование на реализацию проектов по переработке сельскохозяйственной продукции;</w:t>
      </w:r>
    </w:p>
    <w:p>
      <w:pPr>
        <w:spacing w:after="0"/>
        <w:ind w:left="0"/>
        <w:jc w:val="both"/>
      </w:pPr>
      <w:r>
        <w:rPr>
          <w:rFonts w:ascii="Times New Roman"/>
          <w:b w:val="false"/>
          <w:i w:val="false"/>
          <w:color w:val="000000"/>
          <w:sz w:val="28"/>
        </w:rPr>
        <w:t>
      кредитование для пополнения оборотных средств перерабатывающим предприятиям;</w:t>
      </w:r>
    </w:p>
    <w:p>
      <w:pPr>
        <w:spacing w:after="0"/>
        <w:ind w:left="0"/>
        <w:jc w:val="both"/>
      </w:pPr>
      <w:r>
        <w:rPr>
          <w:rFonts w:ascii="Times New Roman"/>
          <w:b w:val="false"/>
          <w:i w:val="false"/>
          <w:color w:val="000000"/>
          <w:sz w:val="28"/>
        </w:rPr>
        <w:t>
      увеличение объемов субсидирования на сданную на переработку сельскохозяйственную продукцию (шерсть, шкура, плоды и овощи).</w:t>
      </w:r>
    </w:p>
    <w:p>
      <w:pPr>
        <w:spacing w:after="0"/>
        <w:ind w:left="0"/>
        <w:jc w:val="both"/>
      </w:pPr>
      <w:r>
        <w:rPr>
          <w:rFonts w:ascii="Times New Roman"/>
          <w:b w:val="false"/>
          <w:i w:val="false"/>
          <w:color w:val="000000"/>
          <w:sz w:val="28"/>
        </w:rPr>
        <w:t xml:space="preserve">
      Общая потребность составляет 1,4 трлн тенге за счет привлечения средств БВУ, дочерних организаций АО "НУХ "Байтерек" и других финансовых институтов. </w:t>
      </w:r>
    </w:p>
    <w:p>
      <w:pPr>
        <w:spacing w:after="0"/>
        <w:ind w:left="0"/>
        <w:jc w:val="both"/>
      </w:pPr>
      <w:r>
        <w:rPr>
          <w:rFonts w:ascii="Times New Roman"/>
          <w:b w:val="false"/>
          <w:i w:val="false"/>
          <w:color w:val="000000"/>
          <w:sz w:val="28"/>
        </w:rPr>
        <w:t xml:space="preserve">
      Будут приняты меры по поэтапному переходу от первичного производства к выпуску продукции более высоких переделов и увеличению доли переработанной продукции в агропромышленном комплексе (молоко, мясо, семена масличных, рис, кукуруза, гречиха) до 70 %. </w:t>
      </w:r>
    </w:p>
    <w:p>
      <w:pPr>
        <w:spacing w:after="0"/>
        <w:ind w:left="0"/>
        <w:jc w:val="both"/>
      </w:pPr>
      <w:r>
        <w:rPr>
          <w:rFonts w:ascii="Times New Roman"/>
          <w:b w:val="false"/>
          <w:i w:val="false"/>
          <w:color w:val="000000"/>
          <w:sz w:val="28"/>
        </w:rPr>
        <w:t xml:space="preserve">
      Будет продолжено субсидирование сданной на переработку сельскохозяйственной продукции для обеспечения доступным и качественным сырьем переработчиков. </w:t>
      </w:r>
    </w:p>
    <w:p>
      <w:pPr>
        <w:spacing w:after="0"/>
        <w:ind w:left="0"/>
        <w:jc w:val="both"/>
      </w:pPr>
      <w:r>
        <w:rPr>
          <w:rFonts w:ascii="Times New Roman"/>
          <w:b w:val="false"/>
          <w:i w:val="false"/>
          <w:color w:val="000000"/>
          <w:sz w:val="28"/>
        </w:rPr>
        <w:t>
      Будут реализованы инвестиционные проекты по созданию и модернизации перерабатывающих производств путем льготного кредитования, субсидирования части затрат при инвестиционных вложениях.</w:t>
      </w:r>
    </w:p>
    <w:p>
      <w:pPr>
        <w:spacing w:after="0"/>
        <w:ind w:left="0"/>
        <w:jc w:val="both"/>
      </w:pPr>
      <w:r>
        <w:rPr>
          <w:rFonts w:ascii="Times New Roman"/>
          <w:b w:val="false"/>
          <w:i w:val="false"/>
          <w:color w:val="000000"/>
          <w:sz w:val="28"/>
        </w:rPr>
        <w:t>
      В целях повышения рентабельности производства будут увеличены объемы льготных кредитов на пополнение основных и оборотных средств и субсидирования ставок вознаграждения по кредитам.</w:t>
      </w:r>
    </w:p>
    <w:p>
      <w:pPr>
        <w:spacing w:after="0"/>
        <w:ind w:left="0"/>
        <w:jc w:val="both"/>
      </w:pPr>
      <w:r>
        <w:rPr>
          <w:rFonts w:ascii="Times New Roman"/>
          <w:b w:val="false"/>
          <w:i w:val="false"/>
          <w:color w:val="000000"/>
          <w:sz w:val="28"/>
        </w:rPr>
        <w:t>
      Для повышения экспортного потенциала переработки сельскохозяйственной продукции планируется открытие новых рынков.</w:t>
      </w:r>
    </w:p>
    <w:p>
      <w:pPr>
        <w:spacing w:after="0"/>
        <w:ind w:left="0"/>
        <w:jc w:val="both"/>
      </w:pPr>
      <w:r>
        <w:rPr>
          <w:rFonts w:ascii="Times New Roman"/>
          <w:b w:val="false"/>
          <w:i w:val="false"/>
          <w:color w:val="000000"/>
          <w:sz w:val="28"/>
        </w:rPr>
        <w:t>
      В целях импортозамещения и насыщения внутреннего рынка продовольственными товарами, а также развития экспортного потенциала будет масштабирован опыт Северо-Казахстанской области по финансированию инвестиционных проектов (производство мяса птицы, молока, проекты по орошению, овощехранилища, промышленные тепличные хозяйства, предприятия мясного животноводства и переработки сельскохозяйственной продукции, в том числе производства с высоким переделом, а также другие проекты растениеводческой и животноводческой продукции) через поверенного (агента).</w:t>
      </w:r>
    </w:p>
    <w:p>
      <w:pPr>
        <w:spacing w:after="0"/>
        <w:ind w:left="0"/>
        <w:jc w:val="both"/>
      </w:pPr>
      <w:r>
        <w:rPr>
          <w:rFonts w:ascii="Times New Roman"/>
          <w:b w:val="false"/>
          <w:i w:val="false"/>
          <w:color w:val="000000"/>
          <w:sz w:val="28"/>
        </w:rPr>
        <w:t>
      Во исполнение поручения Главы государства по увеличению производства валовой продукции сельского хозяйства в два раза за 5 лет необходимо принять меры, в том числе путем проработки вопросов по:</w:t>
      </w:r>
    </w:p>
    <w:p>
      <w:pPr>
        <w:spacing w:after="0"/>
        <w:ind w:left="0"/>
        <w:jc w:val="both"/>
      </w:pPr>
      <w:r>
        <w:rPr>
          <w:rFonts w:ascii="Times New Roman"/>
          <w:b w:val="false"/>
          <w:i w:val="false"/>
          <w:color w:val="000000"/>
          <w:sz w:val="28"/>
        </w:rPr>
        <w:t>
      доведению объемов субсидирования до допустимого уровня в рамках вступления во Всемирную торговую организацию как минимум в 2 раза;</w:t>
      </w:r>
    </w:p>
    <w:p>
      <w:pPr>
        <w:spacing w:after="0"/>
        <w:ind w:left="0"/>
        <w:jc w:val="both"/>
      </w:pPr>
      <w:r>
        <w:rPr>
          <w:rFonts w:ascii="Times New Roman"/>
          <w:b w:val="false"/>
          <w:i w:val="false"/>
          <w:color w:val="000000"/>
          <w:sz w:val="28"/>
        </w:rPr>
        <w:t>
      обеспечению льготным кредитованием весенне-полевых и уборочных работ в объеме не менее 1,5 трлн тенге (на приобретение семян, удобрений, пестицидов, горюче-смазочных материалов);</w:t>
      </w:r>
    </w:p>
    <w:p>
      <w:pPr>
        <w:spacing w:after="0"/>
        <w:ind w:left="0"/>
        <w:jc w:val="both"/>
      </w:pPr>
      <w:r>
        <w:rPr>
          <w:rFonts w:ascii="Times New Roman"/>
          <w:b w:val="false"/>
          <w:i w:val="false"/>
          <w:color w:val="000000"/>
          <w:sz w:val="28"/>
        </w:rPr>
        <w:t>
      доведению объемов льготного лизинга до 450 млрд тенге для финансирования приобретения отечественной сельскохозяйственной техники, оборудования в целях обновления сельскохозяйственной техники на уровне 8-10 % в год (предметом лизинга являются отечественные сельскохозяйственные техника и оборудование, имеющие соглашение о промышленной сборке);</w:t>
      </w:r>
    </w:p>
    <w:p>
      <w:pPr>
        <w:spacing w:after="0"/>
        <w:ind w:left="0"/>
        <w:jc w:val="both"/>
      </w:pPr>
      <w:r>
        <w:rPr>
          <w:rFonts w:ascii="Times New Roman"/>
          <w:b w:val="false"/>
          <w:i w:val="false"/>
          <w:color w:val="000000"/>
          <w:sz w:val="28"/>
        </w:rPr>
        <w:t>
      финансированию реализации инвестиционных проектов на сумму 800 млрд тенге, в том числе по опыту Северо-Казахстанской области.</w:t>
      </w:r>
    </w:p>
    <w:p>
      <w:pPr>
        <w:spacing w:after="0"/>
        <w:ind w:left="0"/>
        <w:jc w:val="both"/>
      </w:pPr>
      <w:r>
        <w:rPr>
          <w:rFonts w:ascii="Times New Roman"/>
          <w:b w:val="false"/>
          <w:i w:val="false"/>
          <w:color w:val="000000"/>
          <w:sz w:val="28"/>
        </w:rPr>
        <w:t>
      Для реализации вышеуказанного поручения индикаторы и мероприятия будут декомпозированы до каждого региона с закреплением персональной ответственности должностных лиц.</w:t>
      </w:r>
    </w:p>
    <w:p>
      <w:pPr>
        <w:spacing w:after="0"/>
        <w:ind w:left="0"/>
        <w:jc w:val="both"/>
      </w:pPr>
      <w:r>
        <w:rPr>
          <w:rFonts w:ascii="Times New Roman"/>
          <w:b w:val="false"/>
          <w:i w:val="false"/>
          <w:color w:val="000000"/>
          <w:sz w:val="28"/>
        </w:rPr>
        <w:t>
      В целях снижения коррупционных рисков и упрощения доступа к минеральным удобрениям, пестицидам, технике и оборудованию субсидии планируется выплачивать напрямую отечественным заводам-производителям и финансовым институтам вместо субъектов АПК.</w:t>
      </w:r>
    </w:p>
    <w:p>
      <w:pPr>
        <w:spacing w:after="0"/>
        <w:ind w:left="0"/>
        <w:jc w:val="both"/>
      </w:pPr>
      <w:r>
        <w:rPr>
          <w:rFonts w:ascii="Times New Roman"/>
          <w:b w:val="false"/>
          <w:i w:val="false"/>
          <w:color w:val="000000"/>
          <w:sz w:val="28"/>
        </w:rPr>
        <w:t>
      Субсидирование процентной ставки напрямую финансовым институтам для упрощения процесса субсидирования и получения субъектами АПК сразу удешевленного кредита.</w:t>
      </w:r>
    </w:p>
    <w:bookmarkStart w:name="z789" w:id="354"/>
    <w:p>
      <w:pPr>
        <w:spacing w:after="0"/>
        <w:ind w:left="0"/>
        <w:jc w:val="both"/>
      </w:pPr>
      <w:r>
        <w:rPr>
          <w:rFonts w:ascii="Times New Roman"/>
          <w:b w:val="false"/>
          <w:i w:val="false"/>
          <w:color w:val="000000"/>
          <w:sz w:val="28"/>
        </w:rPr>
        <w:t>
      Кроме того, планируется финансирование крупных якорных импортозамещающих и экспортоориентированных инвестиционных проектов агропромышленного комплекса, стоимостью свыше 5 млрд тенге, через акционерное общество "Банк Развития Казахстана", которое ежегодно будет осуществляться по ставке вознаграждения не более 7 % годовых для конечных заемщиков, сроком не более 20 лет, с собственным участием предприятия не менее 20 % от суммы проекта. Источником финансирования будут являться бюджетные средства и рыночное фондирование в пропорции 85/15.</w:t>
      </w:r>
    </w:p>
    <w:bookmarkEnd w:id="354"/>
    <w:bookmarkStart w:name="z450" w:id="3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 Развитие рынков </w:t>
      </w:r>
    </w:p>
    <w:bookmarkEnd w:id="355"/>
    <w:p>
      <w:pPr>
        <w:spacing w:after="0"/>
        <w:ind w:left="0"/>
        <w:jc w:val="both"/>
      </w:pPr>
      <w:r>
        <w:rPr>
          <w:rFonts w:ascii="Times New Roman"/>
          <w:b w:val="false"/>
          <w:i w:val="false"/>
          <w:color w:val="000000"/>
          <w:sz w:val="28"/>
        </w:rPr>
        <w:t>
      Для увеличения сбыта отечественной продукции АПК на внутреннем и внешних рынках будут приняты меры по:</w:t>
      </w:r>
    </w:p>
    <w:p>
      <w:pPr>
        <w:spacing w:after="0"/>
        <w:ind w:left="0"/>
        <w:jc w:val="both"/>
      </w:pPr>
      <w:r>
        <w:rPr>
          <w:rFonts w:ascii="Times New Roman"/>
          <w:b w:val="false"/>
          <w:i w:val="false"/>
          <w:color w:val="000000"/>
          <w:sz w:val="28"/>
        </w:rPr>
        <w:t>
      развитию сети торгово-логистической инфраструктуры;</w:t>
      </w:r>
    </w:p>
    <w:p>
      <w:pPr>
        <w:spacing w:after="0"/>
        <w:ind w:left="0"/>
        <w:jc w:val="both"/>
      </w:pPr>
      <w:r>
        <w:rPr>
          <w:rFonts w:ascii="Times New Roman"/>
          <w:b w:val="false"/>
          <w:i w:val="false"/>
          <w:color w:val="000000"/>
          <w:sz w:val="28"/>
        </w:rPr>
        <w:t>
      устранению торговых барьеров на внешних рынках и расширению рынков сбыта, в том числе и за счет государственной протекции;</w:t>
      </w:r>
    </w:p>
    <w:p>
      <w:pPr>
        <w:spacing w:after="0"/>
        <w:ind w:left="0"/>
        <w:jc w:val="both"/>
      </w:pPr>
      <w:r>
        <w:rPr>
          <w:rFonts w:ascii="Times New Roman"/>
          <w:b w:val="false"/>
          <w:i w:val="false"/>
          <w:color w:val="000000"/>
          <w:sz w:val="28"/>
        </w:rPr>
        <w:t>
      дальнейшему расширению географии экспорта с продвижением казахстанских товаров на зарубежных рынках;</w:t>
      </w:r>
    </w:p>
    <w:p>
      <w:pPr>
        <w:spacing w:after="0"/>
        <w:ind w:left="0"/>
        <w:jc w:val="both"/>
      </w:pPr>
      <w:r>
        <w:rPr>
          <w:rFonts w:ascii="Times New Roman"/>
          <w:b w:val="false"/>
          <w:i w:val="false"/>
          <w:color w:val="000000"/>
          <w:sz w:val="28"/>
        </w:rPr>
        <w:t>
      увеличению экспорта продукции с высокой добавленной стоимостью;</w:t>
      </w:r>
    </w:p>
    <w:p>
      <w:pPr>
        <w:spacing w:after="0"/>
        <w:ind w:left="0"/>
        <w:jc w:val="both"/>
      </w:pPr>
      <w:r>
        <w:rPr>
          <w:rFonts w:ascii="Times New Roman"/>
          <w:b w:val="false"/>
          <w:i w:val="false"/>
          <w:color w:val="000000"/>
          <w:sz w:val="28"/>
        </w:rPr>
        <w:t>
      стимулированию инвестиций в экспортоориентированные производства;</w:t>
      </w:r>
    </w:p>
    <w:p>
      <w:pPr>
        <w:spacing w:after="0"/>
        <w:ind w:left="0"/>
        <w:jc w:val="both"/>
      </w:pPr>
      <w:r>
        <w:rPr>
          <w:rFonts w:ascii="Times New Roman"/>
          <w:b w:val="false"/>
          <w:i w:val="false"/>
          <w:color w:val="000000"/>
          <w:sz w:val="28"/>
        </w:rPr>
        <w:t xml:space="preserve">
      сокращению транзакционных издержек, связанных с таможенным оформлением и логистикой; </w:t>
      </w:r>
    </w:p>
    <w:p>
      <w:pPr>
        <w:spacing w:after="0"/>
        <w:ind w:left="0"/>
        <w:jc w:val="both"/>
      </w:pPr>
      <w:r>
        <w:rPr>
          <w:rFonts w:ascii="Times New Roman"/>
          <w:b w:val="false"/>
          <w:i w:val="false"/>
          <w:color w:val="000000"/>
          <w:sz w:val="28"/>
        </w:rPr>
        <w:t>
      активизации деятельности акционерного общества "Национальная компания "Продовольственная контрактная корпорация" по продвижению казахстанского зерна на экспорт.</w:t>
      </w:r>
    </w:p>
    <w:bookmarkStart w:name="z455" w:id="356"/>
    <w:p>
      <w:pPr>
        <w:spacing w:after="0"/>
        <w:ind w:left="0"/>
        <w:jc w:val="both"/>
      </w:pPr>
      <w:r>
        <w:rPr>
          <w:rFonts w:ascii="Times New Roman"/>
          <w:b w:val="false"/>
          <w:i w:val="false"/>
          <w:color w:val="000000"/>
          <w:sz w:val="28"/>
        </w:rPr>
        <w:t xml:space="preserve">
      </w:t>
      </w:r>
      <w:r>
        <w:rPr>
          <w:rFonts w:ascii="Times New Roman"/>
          <w:b w:val="false"/>
          <w:i/>
          <w:color w:val="000000"/>
          <w:sz w:val="28"/>
        </w:rPr>
        <w:t>4.5. Техническое оснащение</w:t>
      </w:r>
      <w:r>
        <w:rPr>
          <w:rFonts w:ascii="Times New Roman"/>
          <w:b w:val="false"/>
          <w:i w:val="false"/>
          <w:color w:val="000000"/>
          <w:sz w:val="28"/>
        </w:rPr>
        <w:t xml:space="preserve"> </w:t>
      </w:r>
    </w:p>
    <w:bookmarkEnd w:id="356"/>
    <w:p>
      <w:pPr>
        <w:spacing w:after="0"/>
        <w:ind w:left="0"/>
        <w:jc w:val="both"/>
      </w:pPr>
      <w:r>
        <w:rPr>
          <w:rFonts w:ascii="Times New Roman"/>
          <w:b w:val="false"/>
          <w:i w:val="false"/>
          <w:color w:val="000000"/>
          <w:sz w:val="28"/>
        </w:rPr>
        <w:t>
      Доведение темпов обновления сельскохозяйственной техники до 8–10 % в год с учетом интересов отечественных производителей техники и аграриев путем дальнейшей реализации следующих мер поддержки и мероприятий:</w:t>
      </w:r>
    </w:p>
    <w:p>
      <w:pPr>
        <w:spacing w:after="0"/>
        <w:ind w:left="0"/>
        <w:jc w:val="both"/>
      </w:pPr>
      <w:r>
        <w:rPr>
          <w:rFonts w:ascii="Times New Roman"/>
          <w:b w:val="false"/>
          <w:i w:val="false"/>
          <w:color w:val="000000"/>
          <w:sz w:val="28"/>
        </w:rPr>
        <w:t>
      стимулирования приобретения аграриями сельскохозяйственной техники (в том числе отечественного производства) путем реализации программ инвестиционного субсидирования части стоимости приобретенной сельскохозяйственной техники;</w:t>
      </w:r>
    </w:p>
    <w:p>
      <w:pPr>
        <w:spacing w:after="0"/>
        <w:ind w:left="0"/>
        <w:jc w:val="both"/>
      </w:pPr>
      <w:r>
        <w:rPr>
          <w:rFonts w:ascii="Times New Roman"/>
          <w:b w:val="false"/>
          <w:i w:val="false"/>
          <w:color w:val="000000"/>
          <w:sz w:val="28"/>
        </w:rPr>
        <w:t>
      фондирования институтов развития АО "НУХ "Байтерек" для реализации программ льготного кредитования и лизинга;</w:t>
      </w:r>
    </w:p>
    <w:p>
      <w:pPr>
        <w:spacing w:after="0"/>
        <w:ind w:left="0"/>
        <w:jc w:val="both"/>
      </w:pPr>
      <w:r>
        <w:rPr>
          <w:rFonts w:ascii="Times New Roman"/>
          <w:b w:val="false"/>
          <w:i w:val="false"/>
          <w:color w:val="000000"/>
          <w:sz w:val="28"/>
        </w:rPr>
        <w:t>
      субсидирования процентной ставки кредитования/лизинга сельскохозяйственной техники;</w:t>
      </w:r>
    </w:p>
    <w:p>
      <w:pPr>
        <w:spacing w:after="0"/>
        <w:ind w:left="0"/>
        <w:jc w:val="both"/>
      </w:pPr>
      <w:r>
        <w:rPr>
          <w:rFonts w:ascii="Times New Roman"/>
          <w:b w:val="false"/>
          <w:i w:val="false"/>
          <w:color w:val="000000"/>
          <w:sz w:val="28"/>
        </w:rPr>
        <w:t>
      создания единой интегрированной базы данных по учету процессов, связанных с оборотом сельскохозяйственной техники (приобретение, лизинг, использование, техническое состояние), путем введения единого электронного паспорта регистрируемой сельскохозяйственной техники;</w:t>
      </w:r>
    </w:p>
    <w:p>
      <w:pPr>
        <w:spacing w:after="0"/>
        <w:ind w:left="0"/>
        <w:jc w:val="both"/>
      </w:pPr>
      <w:r>
        <w:rPr>
          <w:rFonts w:ascii="Times New Roman"/>
          <w:b w:val="false"/>
          <w:i w:val="false"/>
          <w:color w:val="000000"/>
          <w:sz w:val="28"/>
        </w:rPr>
        <w:t>
      проведения инвентаризации парка самоходной сельскохозяйственной техники.</w:t>
      </w:r>
    </w:p>
    <w:bookmarkStart w:name="z461" w:id="3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 </w:t>
      </w:r>
      <w:r>
        <w:rPr>
          <w:rFonts w:ascii="Times New Roman"/>
          <w:b w:val="false"/>
          <w:i/>
          <w:color w:val="000000"/>
          <w:sz w:val="28"/>
        </w:rPr>
        <w:t>Сельскохозяйственная кооперация, инфраструктура АПК</w:t>
      </w:r>
    </w:p>
    <w:bookmarkEnd w:id="357"/>
    <w:bookmarkStart w:name="z462" w:id="358"/>
    <w:p>
      <w:pPr>
        <w:spacing w:after="0"/>
        <w:ind w:left="0"/>
        <w:jc w:val="both"/>
      </w:pPr>
      <w:r>
        <w:rPr>
          <w:rFonts w:ascii="Times New Roman"/>
          <w:b w:val="false"/>
          <w:i w:val="false"/>
          <w:color w:val="000000"/>
          <w:sz w:val="28"/>
        </w:rPr>
        <w:t>
      В основе видения развития сельскохозяйственной кооперации лежит акцент на развитие цепочек добавленной стоимости через укрепление связей в цепочке между фермерами, переработчиками и потребителями, а также на развитие платформ и институтов по распространению инноваций, обучению, управлению качеством, обеспечению доступа к рынку так называемых экосистем.</w:t>
      </w:r>
    </w:p>
    <w:bookmarkEnd w:id="358"/>
    <w:bookmarkStart w:name="z463" w:id="359"/>
    <w:p>
      <w:pPr>
        <w:spacing w:after="0"/>
        <w:ind w:left="0"/>
        <w:jc w:val="both"/>
      </w:pPr>
      <w:r>
        <w:rPr>
          <w:rFonts w:ascii="Times New Roman"/>
          <w:b w:val="false"/>
          <w:i w:val="false"/>
          <w:color w:val="000000"/>
          <w:sz w:val="28"/>
        </w:rPr>
        <w:t xml:space="preserve">
      Экосистема – это непрерывное взаимодействие звеньев отраслевых цепочек на основе якорного стратегического предприятия, как правило переработчиков сельхозсырья. </w:t>
      </w:r>
    </w:p>
    <w:bookmarkEnd w:id="359"/>
    <w:bookmarkStart w:name="z464" w:id="360"/>
    <w:p>
      <w:pPr>
        <w:spacing w:after="0"/>
        <w:ind w:left="0"/>
        <w:jc w:val="both"/>
      </w:pPr>
      <w:r>
        <w:rPr>
          <w:rFonts w:ascii="Times New Roman"/>
          <w:b w:val="false"/>
          <w:i w:val="false"/>
          <w:color w:val="000000"/>
          <w:sz w:val="28"/>
        </w:rPr>
        <w:t>
      Экосистема включает в себя:</w:t>
      </w:r>
    </w:p>
    <w:bookmarkEnd w:id="360"/>
    <w:bookmarkStart w:name="z465" w:id="361"/>
    <w:p>
      <w:pPr>
        <w:spacing w:after="0"/>
        <w:ind w:left="0"/>
        <w:jc w:val="both"/>
      </w:pPr>
      <w:r>
        <w:rPr>
          <w:rFonts w:ascii="Times New Roman"/>
          <w:b w:val="false"/>
          <w:i w:val="false"/>
          <w:color w:val="000000"/>
          <w:sz w:val="28"/>
        </w:rPr>
        <w:t>
      якорное предприятие (стратегический инвестор, предприятие по переработке сельхозсырья);</w:t>
      </w:r>
    </w:p>
    <w:bookmarkEnd w:id="361"/>
    <w:bookmarkStart w:name="z466" w:id="362"/>
    <w:p>
      <w:pPr>
        <w:spacing w:after="0"/>
        <w:ind w:left="0"/>
        <w:jc w:val="both"/>
      </w:pPr>
      <w:r>
        <w:rPr>
          <w:rFonts w:ascii="Times New Roman"/>
          <w:b w:val="false"/>
          <w:i w:val="false"/>
          <w:color w:val="000000"/>
          <w:sz w:val="28"/>
        </w:rPr>
        <w:t>
      СХТП (откормплощадки, репродукторы, теплицы и др.), ЛПХ, обеспечивающие якорное предприятие сырьем и кормами;</w:t>
      </w:r>
    </w:p>
    <w:bookmarkEnd w:id="362"/>
    <w:bookmarkStart w:name="z467" w:id="363"/>
    <w:p>
      <w:pPr>
        <w:spacing w:after="0"/>
        <w:ind w:left="0"/>
        <w:jc w:val="both"/>
      </w:pPr>
      <w:r>
        <w:rPr>
          <w:rFonts w:ascii="Times New Roman"/>
          <w:b w:val="false"/>
          <w:i w:val="false"/>
          <w:color w:val="000000"/>
          <w:sz w:val="28"/>
        </w:rPr>
        <w:t xml:space="preserve">
      рынки сбыта (ОРЦ, ТЛЦ, трейдеры); </w:t>
      </w:r>
    </w:p>
    <w:bookmarkEnd w:id="363"/>
    <w:bookmarkStart w:name="z468" w:id="364"/>
    <w:p>
      <w:pPr>
        <w:spacing w:after="0"/>
        <w:ind w:left="0"/>
        <w:jc w:val="both"/>
      </w:pPr>
      <w:r>
        <w:rPr>
          <w:rFonts w:ascii="Times New Roman"/>
          <w:b w:val="false"/>
          <w:i w:val="false"/>
          <w:color w:val="000000"/>
          <w:sz w:val="28"/>
        </w:rPr>
        <w:t xml:space="preserve">
      заготовительные организации, объекты по хранению продукции; </w:t>
      </w:r>
    </w:p>
    <w:bookmarkEnd w:id="364"/>
    <w:bookmarkStart w:name="z469" w:id="365"/>
    <w:p>
      <w:pPr>
        <w:spacing w:after="0"/>
        <w:ind w:left="0"/>
        <w:jc w:val="both"/>
      </w:pPr>
      <w:r>
        <w:rPr>
          <w:rFonts w:ascii="Times New Roman"/>
          <w:b w:val="false"/>
          <w:i w:val="false"/>
          <w:color w:val="000000"/>
          <w:sz w:val="28"/>
        </w:rPr>
        <w:t>
      производители семян, удобрений, пестицидов, техники;</w:t>
      </w:r>
    </w:p>
    <w:bookmarkEnd w:id="365"/>
    <w:bookmarkStart w:name="z470" w:id="366"/>
    <w:p>
      <w:pPr>
        <w:spacing w:after="0"/>
        <w:ind w:left="0"/>
        <w:jc w:val="both"/>
      </w:pPr>
      <w:r>
        <w:rPr>
          <w:rFonts w:ascii="Times New Roman"/>
          <w:b w:val="false"/>
          <w:i w:val="false"/>
          <w:color w:val="000000"/>
          <w:sz w:val="28"/>
        </w:rPr>
        <w:t>
      научные и образовательные организации;</w:t>
      </w:r>
    </w:p>
    <w:bookmarkEnd w:id="366"/>
    <w:bookmarkStart w:name="z471" w:id="367"/>
    <w:p>
      <w:pPr>
        <w:spacing w:after="0"/>
        <w:ind w:left="0"/>
        <w:jc w:val="both"/>
      </w:pPr>
      <w:r>
        <w:rPr>
          <w:rFonts w:ascii="Times New Roman"/>
          <w:b w:val="false"/>
          <w:i w:val="false"/>
          <w:color w:val="000000"/>
          <w:sz w:val="28"/>
        </w:rPr>
        <w:t xml:space="preserve">
      ветеринарное и фитосанитарное сопровождение. </w:t>
      </w:r>
    </w:p>
    <w:bookmarkEnd w:id="367"/>
    <w:bookmarkStart w:name="z472" w:id="368"/>
    <w:p>
      <w:pPr>
        <w:spacing w:after="0"/>
        <w:ind w:left="0"/>
        <w:jc w:val="both"/>
      </w:pPr>
      <w:r>
        <w:rPr>
          <w:rFonts w:ascii="Times New Roman"/>
          <w:b w:val="false"/>
          <w:i w:val="false"/>
          <w:color w:val="000000"/>
          <w:sz w:val="28"/>
        </w:rPr>
        <w:t xml:space="preserve">
      Основными критериями, характеризующими создание экосистемы (будут определены по каждой экосистеме в отдельности) будут являться: </w:t>
      </w:r>
    </w:p>
    <w:bookmarkEnd w:id="368"/>
    <w:bookmarkStart w:name="z473" w:id="369"/>
    <w:p>
      <w:pPr>
        <w:spacing w:after="0"/>
        <w:ind w:left="0"/>
        <w:jc w:val="both"/>
      </w:pPr>
      <w:r>
        <w:rPr>
          <w:rFonts w:ascii="Times New Roman"/>
          <w:b w:val="false"/>
          <w:i w:val="false"/>
          <w:color w:val="000000"/>
          <w:sz w:val="28"/>
        </w:rPr>
        <w:t>
      объем производства продукции АПК;</w:t>
      </w:r>
    </w:p>
    <w:bookmarkEnd w:id="369"/>
    <w:bookmarkStart w:name="z474" w:id="370"/>
    <w:p>
      <w:pPr>
        <w:spacing w:after="0"/>
        <w:ind w:left="0"/>
        <w:jc w:val="both"/>
      </w:pPr>
      <w:r>
        <w:rPr>
          <w:rFonts w:ascii="Times New Roman"/>
          <w:b w:val="false"/>
          <w:i w:val="false"/>
          <w:color w:val="000000"/>
          <w:sz w:val="28"/>
        </w:rPr>
        <w:t>
      количество вовлеченных семейных и фермерских хозяйств;</w:t>
      </w:r>
    </w:p>
    <w:bookmarkEnd w:id="370"/>
    <w:bookmarkStart w:name="z475" w:id="371"/>
    <w:p>
      <w:pPr>
        <w:spacing w:after="0"/>
        <w:ind w:left="0"/>
        <w:jc w:val="both"/>
      </w:pPr>
      <w:r>
        <w:rPr>
          <w:rFonts w:ascii="Times New Roman"/>
          <w:b w:val="false"/>
          <w:i w:val="false"/>
          <w:color w:val="000000"/>
          <w:sz w:val="28"/>
        </w:rPr>
        <w:t>
      рабочие места.</w:t>
      </w:r>
    </w:p>
    <w:bookmarkEnd w:id="371"/>
    <w:bookmarkStart w:name="z476" w:id="372"/>
    <w:p>
      <w:pPr>
        <w:spacing w:after="0"/>
        <w:ind w:left="0"/>
        <w:jc w:val="both"/>
      </w:pPr>
      <w:r>
        <w:rPr>
          <w:rFonts w:ascii="Times New Roman"/>
          <w:b w:val="false"/>
          <w:i w:val="false"/>
          <w:color w:val="000000"/>
          <w:sz w:val="28"/>
        </w:rPr>
        <w:t>
      Будут сформированы крупные продовольственные экосистемы по производству и переработке мяса, фруктов, овощей, сахара, зерновых, масличных культур, молочной продукции.</w:t>
      </w:r>
    </w:p>
    <w:bookmarkEnd w:id="372"/>
    <w:bookmarkStart w:name="z477" w:id="373"/>
    <w:p>
      <w:pPr>
        <w:spacing w:after="0"/>
        <w:ind w:left="0"/>
        <w:jc w:val="both"/>
      </w:pPr>
      <w:r>
        <w:rPr>
          <w:rFonts w:ascii="Times New Roman"/>
          <w:b w:val="false"/>
          <w:i w:val="false"/>
          <w:color w:val="000000"/>
          <w:sz w:val="28"/>
        </w:rPr>
        <w:t>
      Якорные предприятия будут расположены в соответствии с природно-климатическими и экономическими факторами следующим образом:</w:t>
      </w:r>
    </w:p>
    <w:bookmarkEnd w:id="373"/>
    <w:bookmarkStart w:name="z478" w:id="374"/>
    <w:p>
      <w:pPr>
        <w:spacing w:after="0"/>
        <w:ind w:left="0"/>
        <w:jc w:val="both"/>
      </w:pPr>
      <w:r>
        <w:rPr>
          <w:rFonts w:ascii="Times New Roman"/>
          <w:b w:val="false"/>
          <w:i w:val="false"/>
          <w:color w:val="000000"/>
          <w:sz w:val="28"/>
        </w:rPr>
        <w:t>
      производство и глубокая переработка зерновых культур мощностью 300 тысяч тонн в Северо-Казахстанской области;</w:t>
      </w:r>
    </w:p>
    <w:bookmarkEnd w:id="374"/>
    <w:bookmarkStart w:name="z479" w:id="375"/>
    <w:p>
      <w:pPr>
        <w:spacing w:after="0"/>
        <w:ind w:left="0"/>
        <w:jc w:val="both"/>
      </w:pPr>
      <w:r>
        <w:rPr>
          <w:rFonts w:ascii="Times New Roman"/>
          <w:b w:val="false"/>
          <w:i w:val="false"/>
          <w:color w:val="000000"/>
          <w:sz w:val="28"/>
        </w:rPr>
        <w:t>
      производство и переработка баранины мощностью 15 тысяч тонн и говядины с мощностью 20 тысяч тонн в Алматинской и Актюбинской областях;</w:t>
      </w:r>
    </w:p>
    <w:bookmarkEnd w:id="375"/>
    <w:bookmarkStart w:name="z480" w:id="376"/>
    <w:p>
      <w:pPr>
        <w:spacing w:after="0"/>
        <w:ind w:left="0"/>
        <w:jc w:val="both"/>
      </w:pPr>
      <w:r>
        <w:rPr>
          <w:rFonts w:ascii="Times New Roman"/>
          <w:b w:val="false"/>
          <w:i w:val="false"/>
          <w:color w:val="000000"/>
          <w:sz w:val="28"/>
        </w:rPr>
        <w:t>
      производство и переработка масличных культур общей мощностью 700 тысяч тонн в Акмолинской, Восточно-Казахстанской и Северо-Казахстанской областях;</w:t>
      </w:r>
    </w:p>
    <w:bookmarkEnd w:id="376"/>
    <w:bookmarkStart w:name="z481" w:id="377"/>
    <w:p>
      <w:pPr>
        <w:spacing w:after="0"/>
        <w:ind w:left="0"/>
        <w:jc w:val="both"/>
      </w:pPr>
      <w:r>
        <w:rPr>
          <w:rFonts w:ascii="Times New Roman"/>
          <w:b w:val="false"/>
          <w:i w:val="false"/>
          <w:color w:val="000000"/>
          <w:sz w:val="28"/>
        </w:rPr>
        <w:t>
      производство и переработка молока общей мощностью 204 тысяч тонн в Алматинской, Павлодарской и Северо-Казахстанская областях;</w:t>
      </w:r>
    </w:p>
    <w:bookmarkEnd w:id="377"/>
    <w:bookmarkStart w:name="z482" w:id="378"/>
    <w:p>
      <w:pPr>
        <w:spacing w:after="0"/>
        <w:ind w:left="0"/>
        <w:jc w:val="both"/>
      </w:pPr>
      <w:r>
        <w:rPr>
          <w:rFonts w:ascii="Times New Roman"/>
          <w:b w:val="false"/>
          <w:i w:val="false"/>
          <w:color w:val="000000"/>
          <w:sz w:val="28"/>
        </w:rPr>
        <w:t>
      производство и переработка плодов и овощей мощностью 5 тысяч тонн в Жамбылской области;</w:t>
      </w:r>
    </w:p>
    <w:bookmarkEnd w:id="378"/>
    <w:bookmarkStart w:name="z483" w:id="379"/>
    <w:p>
      <w:pPr>
        <w:spacing w:after="0"/>
        <w:ind w:left="0"/>
        <w:jc w:val="both"/>
      </w:pPr>
      <w:r>
        <w:rPr>
          <w:rFonts w:ascii="Times New Roman"/>
          <w:b w:val="false"/>
          <w:i w:val="false"/>
          <w:color w:val="000000"/>
          <w:sz w:val="28"/>
        </w:rPr>
        <w:t>
      производство и переработка фруктов общей мощностью 5 тысяч тонн в Алматинской, Жамбылской и Туркестанской областях;</w:t>
      </w:r>
    </w:p>
    <w:bookmarkEnd w:id="379"/>
    <w:bookmarkStart w:name="z484" w:id="380"/>
    <w:p>
      <w:pPr>
        <w:spacing w:after="0"/>
        <w:ind w:left="0"/>
        <w:jc w:val="both"/>
      </w:pPr>
      <w:r>
        <w:rPr>
          <w:rFonts w:ascii="Times New Roman"/>
          <w:b w:val="false"/>
          <w:i w:val="false"/>
          <w:color w:val="000000"/>
          <w:sz w:val="28"/>
        </w:rPr>
        <w:t>
      производство сахара общей мощностью 150 тысяч тонн в Алматинской и Жамбылской областях.</w:t>
      </w:r>
    </w:p>
    <w:bookmarkEnd w:id="380"/>
    <w:p>
      <w:pPr>
        <w:spacing w:after="0"/>
        <w:ind w:left="0"/>
        <w:jc w:val="both"/>
      </w:pPr>
      <w:r>
        <w:rPr>
          <w:rFonts w:ascii="Times New Roman"/>
          <w:b w:val="false"/>
          <w:i w:val="false"/>
          <w:color w:val="000000"/>
          <w:sz w:val="28"/>
        </w:rPr>
        <w:t>
      Укрупнение отечественных агрофирм, а также активное привлечение транснациональных корпораций на взаимовыгодных условиях.</w:t>
      </w:r>
    </w:p>
    <w:bookmarkStart w:name="z485" w:id="381"/>
    <w:p>
      <w:pPr>
        <w:spacing w:after="0"/>
        <w:ind w:left="0"/>
        <w:jc w:val="both"/>
      </w:pPr>
      <w:r>
        <w:rPr>
          <w:rFonts w:ascii="Times New Roman"/>
          <w:b w:val="false"/>
          <w:i w:val="false"/>
          <w:color w:val="000000"/>
          <w:sz w:val="28"/>
        </w:rPr>
        <w:t>
      Будут обеспечены пошаговое отражение формирования 7 крупных экосистем в информационной платформе, а также ежемесячное размещение информации на сайте Министерства сельского хозяйства, в том числе по задействованным и необходимым стейкхолдерам в процессе создания экосистем.</w:t>
      </w:r>
    </w:p>
    <w:bookmarkEnd w:id="381"/>
    <w:bookmarkStart w:name="z486" w:id="382"/>
    <w:p>
      <w:pPr>
        <w:spacing w:after="0"/>
        <w:ind w:left="0"/>
        <w:jc w:val="both"/>
      </w:pPr>
      <w:r>
        <w:rPr>
          <w:rFonts w:ascii="Times New Roman"/>
          <w:b w:val="false"/>
          <w:i w:val="false"/>
          <w:color w:val="000000"/>
          <w:sz w:val="28"/>
        </w:rPr>
        <w:t>
      Инфраструктура или сфера услуг сельскохозяйственного производства Казахстана должна создаваться на основе кооперативов самих сельхозтоваропроизводителей и объединений этих кооперативов.</w:t>
      </w:r>
    </w:p>
    <w:bookmarkEnd w:id="382"/>
    <w:bookmarkStart w:name="z487" w:id="383"/>
    <w:p>
      <w:pPr>
        <w:spacing w:after="0"/>
        <w:ind w:left="0"/>
        <w:jc w:val="both"/>
      </w:pPr>
      <w:r>
        <w:rPr>
          <w:rFonts w:ascii="Times New Roman"/>
          <w:b w:val="false"/>
          <w:i w:val="false"/>
          <w:color w:val="000000"/>
          <w:sz w:val="28"/>
        </w:rPr>
        <w:t xml:space="preserve">
      Необходимо начать с формирования кооперативов личных подсобных хозяйств, на долю которых приходится почти половина валовой продукции отрасли. Причем кооперативы ЛПХ должны создаваться в каждом сельском округе. Первоначально желательно создание пилотных кооперативов в 30-60 сельских округах 3-6 районов 2-3 областей. </w:t>
      </w:r>
    </w:p>
    <w:bookmarkEnd w:id="383"/>
    <w:bookmarkStart w:name="z488" w:id="384"/>
    <w:p>
      <w:pPr>
        <w:spacing w:after="0"/>
        <w:ind w:left="0"/>
        <w:jc w:val="both"/>
      </w:pPr>
      <w:r>
        <w:rPr>
          <w:rFonts w:ascii="Times New Roman"/>
          <w:b w:val="false"/>
          <w:i w:val="false"/>
          <w:color w:val="000000"/>
          <w:sz w:val="28"/>
        </w:rPr>
        <w:t>
      В функции такого кооператива должны входить:</w:t>
      </w:r>
    </w:p>
    <w:bookmarkEnd w:id="384"/>
    <w:bookmarkStart w:name="z489" w:id="385"/>
    <w:p>
      <w:pPr>
        <w:spacing w:after="0"/>
        <w:ind w:left="0"/>
        <w:jc w:val="both"/>
      </w:pPr>
      <w:r>
        <w:rPr>
          <w:rFonts w:ascii="Times New Roman"/>
          <w:b w:val="false"/>
          <w:i w:val="false"/>
          <w:color w:val="000000"/>
          <w:sz w:val="28"/>
        </w:rPr>
        <w:t>
      организация заготовки, хранения, первичной обработки, хранения, оптовой реализации сельхозпродукции;</w:t>
      </w:r>
    </w:p>
    <w:bookmarkEnd w:id="385"/>
    <w:bookmarkStart w:name="z490" w:id="386"/>
    <w:p>
      <w:pPr>
        <w:spacing w:after="0"/>
        <w:ind w:left="0"/>
        <w:jc w:val="both"/>
      </w:pPr>
      <w:r>
        <w:rPr>
          <w:rFonts w:ascii="Times New Roman"/>
          <w:b w:val="false"/>
          <w:i w:val="false"/>
          <w:color w:val="000000"/>
          <w:sz w:val="28"/>
        </w:rPr>
        <w:t>
      обеспечение своих членов-ЛПХ товарно-материальными ценностями, необходимыми для производства сельхозпродукции, – семенами, удобрениями, пестицидами, ГСМ, комбикормами и т.п.;</w:t>
      </w:r>
    </w:p>
    <w:bookmarkEnd w:id="386"/>
    <w:bookmarkStart w:name="z491" w:id="387"/>
    <w:p>
      <w:pPr>
        <w:spacing w:after="0"/>
        <w:ind w:left="0"/>
        <w:jc w:val="both"/>
      </w:pPr>
      <w:r>
        <w:rPr>
          <w:rFonts w:ascii="Times New Roman"/>
          <w:b w:val="false"/>
          <w:i w:val="false"/>
          <w:color w:val="000000"/>
          <w:sz w:val="28"/>
        </w:rPr>
        <w:t>
      оказание услуг в области ветеринарии, механизации, мелиорации, кормозаготовке и т.п.;</w:t>
      </w:r>
    </w:p>
    <w:bookmarkEnd w:id="387"/>
    <w:bookmarkStart w:name="z492" w:id="388"/>
    <w:p>
      <w:pPr>
        <w:spacing w:after="0"/>
        <w:ind w:left="0"/>
        <w:jc w:val="both"/>
      </w:pPr>
      <w:r>
        <w:rPr>
          <w:rFonts w:ascii="Times New Roman"/>
          <w:b w:val="false"/>
          <w:i w:val="false"/>
          <w:color w:val="000000"/>
          <w:sz w:val="28"/>
        </w:rPr>
        <w:t>
      консультирование в вопросах применения новых пород, сортов, технологий, изменений в законодательстве;</w:t>
      </w:r>
    </w:p>
    <w:bookmarkEnd w:id="388"/>
    <w:bookmarkStart w:name="z493" w:id="389"/>
    <w:p>
      <w:pPr>
        <w:spacing w:after="0"/>
        <w:ind w:left="0"/>
        <w:jc w:val="both"/>
      </w:pPr>
      <w:r>
        <w:rPr>
          <w:rFonts w:ascii="Times New Roman"/>
          <w:b w:val="false"/>
          <w:i w:val="false"/>
          <w:color w:val="000000"/>
          <w:sz w:val="28"/>
        </w:rPr>
        <w:t>
      доведение мер государственной поддержки.</w:t>
      </w:r>
    </w:p>
    <w:bookmarkEnd w:id="389"/>
    <w:bookmarkStart w:name="z494" w:id="390"/>
    <w:p>
      <w:pPr>
        <w:spacing w:after="0"/>
        <w:ind w:left="0"/>
        <w:jc w:val="both"/>
      </w:pPr>
      <w:r>
        <w:rPr>
          <w:rFonts w:ascii="Times New Roman"/>
          <w:b w:val="false"/>
          <w:i w:val="false"/>
          <w:color w:val="000000"/>
          <w:sz w:val="28"/>
        </w:rPr>
        <w:t>
      На втором этапе будут созданы кооперативы мелких крестьянских хозяйств на уровне сельских районов с теми же функциями, что и у кооперативов ЛПХ. Кроме того, на этом этапе необходимо приступить к созданию районных объединений сельских кооперативов ЛПХ для выполнения более узких задач – создания перерабатывающих предприятий, оказания специализированных услуг, например, услуги в области ветеринарии, защиты растений и т.п. В районные кооперативы входят и кооперативы мелких крестьянских хозяйств.</w:t>
      </w:r>
    </w:p>
    <w:bookmarkEnd w:id="390"/>
    <w:bookmarkStart w:name="z495" w:id="391"/>
    <w:p>
      <w:pPr>
        <w:spacing w:after="0"/>
        <w:ind w:left="0"/>
        <w:jc w:val="both"/>
      </w:pPr>
      <w:r>
        <w:rPr>
          <w:rFonts w:ascii="Times New Roman"/>
          <w:b w:val="false"/>
          <w:i w:val="false"/>
          <w:color w:val="000000"/>
          <w:sz w:val="28"/>
        </w:rPr>
        <w:t>
      На третьем этапе создание на уровне областей кооперативов средних и крупных сельхозтоваропроизводителей. На этом же этапе создаются областные объединения районных кооперативов.</w:t>
      </w:r>
    </w:p>
    <w:bookmarkEnd w:id="391"/>
    <w:bookmarkStart w:name="z496" w:id="392"/>
    <w:p>
      <w:pPr>
        <w:spacing w:after="0"/>
        <w:ind w:left="0"/>
        <w:jc w:val="both"/>
      </w:pPr>
      <w:r>
        <w:rPr>
          <w:rFonts w:ascii="Times New Roman"/>
          <w:b w:val="false"/>
          <w:i w:val="false"/>
          <w:color w:val="000000"/>
          <w:sz w:val="28"/>
        </w:rPr>
        <w:t>
      Для стимулирования кооперации необходимы следующие меры государственной поддержки:</w:t>
      </w:r>
    </w:p>
    <w:bookmarkEnd w:id="392"/>
    <w:bookmarkStart w:name="z497" w:id="393"/>
    <w:p>
      <w:pPr>
        <w:spacing w:after="0"/>
        <w:ind w:left="0"/>
        <w:jc w:val="both"/>
      </w:pPr>
      <w:r>
        <w:rPr>
          <w:rFonts w:ascii="Times New Roman"/>
          <w:b w:val="false"/>
          <w:i w:val="false"/>
          <w:color w:val="000000"/>
          <w:sz w:val="28"/>
        </w:rPr>
        <w:t>
      инвестиционное субсидирование стоимости оборудования, приобретаемого кооперативами для обслуживания своих членов;</w:t>
      </w:r>
    </w:p>
    <w:bookmarkEnd w:id="393"/>
    <w:bookmarkStart w:name="z498" w:id="394"/>
    <w:p>
      <w:pPr>
        <w:spacing w:after="0"/>
        <w:ind w:left="0"/>
        <w:jc w:val="both"/>
      </w:pPr>
      <w:r>
        <w:rPr>
          <w:rFonts w:ascii="Times New Roman"/>
          <w:b w:val="false"/>
          <w:i w:val="false"/>
          <w:color w:val="000000"/>
          <w:sz w:val="28"/>
        </w:rPr>
        <w:t>
      субсидирование стоимости услуг, оказываемых кооперативами своим членам;</w:t>
      </w:r>
    </w:p>
    <w:bookmarkEnd w:id="394"/>
    <w:bookmarkStart w:name="z499" w:id="395"/>
    <w:p>
      <w:pPr>
        <w:spacing w:after="0"/>
        <w:ind w:left="0"/>
        <w:jc w:val="both"/>
      </w:pPr>
      <w:r>
        <w:rPr>
          <w:rFonts w:ascii="Times New Roman"/>
          <w:b w:val="false"/>
          <w:i w:val="false"/>
          <w:color w:val="000000"/>
          <w:sz w:val="28"/>
        </w:rPr>
        <w:t xml:space="preserve">
      бюджетное финансирование мероприятий по распространению знаний – информационно-маркетинговому обеспечению членов кооперативов. </w:t>
      </w:r>
    </w:p>
    <w:bookmarkEnd w:id="395"/>
    <w:bookmarkStart w:name="z500" w:id="396"/>
    <w:p>
      <w:pPr>
        <w:spacing w:after="0"/>
        <w:ind w:left="0"/>
        <w:jc w:val="both"/>
      </w:pPr>
      <w:r>
        <w:rPr>
          <w:rFonts w:ascii="Times New Roman"/>
          <w:b w:val="false"/>
          <w:i w:val="false"/>
          <w:color w:val="000000"/>
          <w:sz w:val="28"/>
        </w:rPr>
        <w:t>
      Ускорению темпов обновления сельскохозяйственной техники и оборудования в малых крестьянских и личных подсобных хозяйствах и их кооперативах будет способствовать применение повышенной до 50% ставки инвестиционного субсидирования на приобретаемые ими тракторы мощностью до 60 лошадиных сил и прицепное/навесное оборудование, агрегатируемое с тракторами данного класса.</w:t>
      </w:r>
    </w:p>
    <w:bookmarkEnd w:id="396"/>
    <w:bookmarkStart w:name="z501" w:id="397"/>
    <w:p>
      <w:pPr>
        <w:spacing w:after="0"/>
        <w:ind w:left="0"/>
        <w:jc w:val="both"/>
      </w:pPr>
      <w:r>
        <w:rPr>
          <w:rFonts w:ascii="Times New Roman"/>
          <w:b w:val="false"/>
          <w:i w:val="false"/>
          <w:color w:val="000000"/>
          <w:sz w:val="28"/>
        </w:rPr>
        <w:t xml:space="preserve">
      Отдельного внимания требует развитие сельских территорий, в первую очередь, социальной и инженерной инфраструктуры сельских населенных пунктов. Гармоничное развитие сельских территорий (инфраструктура, досуг, качество жизни) является таким же важным фактором как плодородие почв, технологии, наука и субсидии. </w:t>
      </w:r>
    </w:p>
    <w:bookmarkEnd w:id="397"/>
    <w:bookmarkStart w:name="z502" w:id="398"/>
    <w:p>
      <w:pPr>
        <w:spacing w:after="0"/>
        <w:ind w:left="0"/>
        <w:jc w:val="both"/>
      </w:pPr>
      <w:r>
        <w:rPr>
          <w:rFonts w:ascii="Times New Roman"/>
          <w:b w:val="false"/>
          <w:i w:val="false"/>
          <w:color w:val="000000"/>
          <w:sz w:val="28"/>
        </w:rPr>
        <w:t xml:space="preserve">
      </w:t>
      </w:r>
      <w:r>
        <w:rPr>
          <w:rFonts w:ascii="Times New Roman"/>
          <w:b w:val="false"/>
          <w:i/>
          <w:color w:val="000000"/>
          <w:sz w:val="28"/>
        </w:rPr>
        <w:t>4.7. Научное и кадровое обеспечение АПК</w:t>
      </w:r>
      <w:r>
        <w:rPr>
          <w:rFonts w:ascii="Times New Roman"/>
          <w:b w:val="false"/>
          <w:i w:val="false"/>
          <w:color w:val="000000"/>
          <w:sz w:val="28"/>
        </w:rPr>
        <w:t xml:space="preserve"> </w:t>
      </w:r>
    </w:p>
    <w:bookmarkEnd w:id="398"/>
    <w:p>
      <w:pPr>
        <w:spacing w:after="0"/>
        <w:ind w:left="0"/>
        <w:jc w:val="both"/>
      </w:pPr>
      <w:r>
        <w:rPr>
          <w:rFonts w:ascii="Times New Roman"/>
          <w:b w:val="false"/>
          <w:i w:val="false"/>
          <w:color w:val="000000"/>
          <w:sz w:val="28"/>
        </w:rPr>
        <w:t>
      Раскрытие потенциала аграрной науки за счет:</w:t>
      </w:r>
    </w:p>
    <w:p>
      <w:pPr>
        <w:spacing w:after="0"/>
        <w:ind w:left="0"/>
        <w:jc w:val="both"/>
      </w:pPr>
      <w:r>
        <w:rPr>
          <w:rFonts w:ascii="Times New Roman"/>
          <w:b w:val="false"/>
          <w:i w:val="false"/>
          <w:color w:val="000000"/>
          <w:sz w:val="28"/>
        </w:rPr>
        <w:t>
      налаживания полноценного научно-практического сотрудничества с признанными зарубежными центрами аграрной науки;</w:t>
      </w:r>
    </w:p>
    <w:p>
      <w:pPr>
        <w:spacing w:after="0"/>
        <w:ind w:left="0"/>
        <w:jc w:val="both"/>
      </w:pPr>
      <w:r>
        <w:rPr>
          <w:rFonts w:ascii="Times New Roman"/>
          <w:b w:val="false"/>
          <w:i w:val="false"/>
          <w:color w:val="000000"/>
          <w:sz w:val="28"/>
        </w:rPr>
        <w:t>
      поддержки частных научно-технологических инициатив и адаптации образовательных программ к потребностям аграрного сектора;</w:t>
      </w:r>
    </w:p>
    <w:p>
      <w:pPr>
        <w:spacing w:after="0"/>
        <w:ind w:left="0"/>
        <w:jc w:val="both"/>
      </w:pPr>
      <w:r>
        <w:rPr>
          <w:rFonts w:ascii="Times New Roman"/>
          <w:b w:val="false"/>
          <w:i w:val="false"/>
          <w:color w:val="000000"/>
          <w:sz w:val="28"/>
        </w:rPr>
        <w:t>
      научно-обоснованной постановки приоритетов и задач технологической модернизации АПК с учетом социально-экономической значимости на основе международного опыта;</w:t>
      </w:r>
    </w:p>
    <w:p>
      <w:pPr>
        <w:spacing w:after="0"/>
        <w:ind w:left="0"/>
        <w:jc w:val="both"/>
      </w:pPr>
      <w:r>
        <w:rPr>
          <w:rFonts w:ascii="Times New Roman"/>
          <w:b w:val="false"/>
          <w:i w:val="false"/>
          <w:color w:val="000000"/>
          <w:sz w:val="28"/>
        </w:rPr>
        <w:t>
      обеспечения точечного финансирования реализации прикладных исследований в области АПК по основным приоритетам:</w:t>
      </w:r>
    </w:p>
    <w:p>
      <w:pPr>
        <w:spacing w:after="0"/>
        <w:ind w:left="0"/>
        <w:jc w:val="both"/>
      </w:pPr>
      <w:r>
        <w:rPr>
          <w:rFonts w:ascii="Times New Roman"/>
          <w:b w:val="false"/>
          <w:i w:val="false"/>
          <w:color w:val="000000"/>
          <w:sz w:val="28"/>
        </w:rPr>
        <w:t xml:space="preserve">
      обеспечение фермеров отечественными семенами, выведение и культивация новых производительных сортов; </w:t>
      </w:r>
    </w:p>
    <w:p>
      <w:pPr>
        <w:spacing w:after="0"/>
        <w:ind w:left="0"/>
        <w:jc w:val="both"/>
      </w:pPr>
      <w:r>
        <w:rPr>
          <w:rFonts w:ascii="Times New Roman"/>
          <w:b w:val="false"/>
          <w:i w:val="false"/>
          <w:color w:val="000000"/>
          <w:sz w:val="28"/>
        </w:rPr>
        <w:t>
      сохранение, пополнение и воспроизводство генетических ресурсов растительного происхождения. Создание национального генетического банка (65 тыс. сортообразцов);</w:t>
      </w:r>
    </w:p>
    <w:p>
      <w:pPr>
        <w:spacing w:after="0"/>
        <w:ind w:left="0"/>
        <w:jc w:val="both"/>
      </w:pPr>
      <w:r>
        <w:rPr>
          <w:rFonts w:ascii="Times New Roman"/>
          <w:b w:val="false"/>
          <w:i w:val="false"/>
          <w:color w:val="000000"/>
          <w:sz w:val="28"/>
        </w:rPr>
        <w:t xml:space="preserve">
      развитие генетики и селекции в животноводстве. Сохранение, пополнение и воспроизводство генетических ресурсов животного происхождения. Создание банка биологических активов; </w:t>
      </w:r>
    </w:p>
    <w:p>
      <w:pPr>
        <w:spacing w:after="0"/>
        <w:ind w:left="0"/>
        <w:jc w:val="both"/>
      </w:pPr>
      <w:r>
        <w:rPr>
          <w:rFonts w:ascii="Times New Roman"/>
          <w:b w:val="false"/>
          <w:i w:val="false"/>
          <w:color w:val="000000"/>
          <w:sz w:val="28"/>
        </w:rPr>
        <w:t>
      ветеринарная, фитосанитарная, карантинная и пищевая безопасность;</w:t>
      </w:r>
    </w:p>
    <w:p>
      <w:pPr>
        <w:spacing w:after="0"/>
        <w:ind w:left="0"/>
        <w:jc w:val="both"/>
      </w:pPr>
      <w:r>
        <w:rPr>
          <w:rFonts w:ascii="Times New Roman"/>
          <w:b w:val="false"/>
          <w:i w:val="false"/>
          <w:color w:val="000000"/>
          <w:sz w:val="28"/>
        </w:rPr>
        <w:t xml:space="preserve">
      увеличения финансирования аграрных научных исследований (не менее </w:t>
      </w:r>
    </w:p>
    <w:p>
      <w:pPr>
        <w:spacing w:after="0"/>
        <w:ind w:left="0"/>
        <w:jc w:val="both"/>
      </w:pPr>
      <w:r>
        <w:rPr>
          <w:rFonts w:ascii="Times New Roman"/>
          <w:b w:val="false"/>
          <w:i w:val="false"/>
          <w:color w:val="000000"/>
          <w:sz w:val="28"/>
        </w:rPr>
        <w:t>1 % от ВП сельского хозяйства);</w:t>
      </w:r>
    </w:p>
    <w:p>
      <w:pPr>
        <w:spacing w:after="0"/>
        <w:ind w:left="0"/>
        <w:jc w:val="both"/>
      </w:pPr>
      <w:r>
        <w:rPr>
          <w:rFonts w:ascii="Times New Roman"/>
          <w:b w:val="false"/>
          <w:i w:val="false"/>
          <w:color w:val="000000"/>
          <w:sz w:val="28"/>
        </w:rPr>
        <w:t>
      стимулирования инновационной активности агропредприятий;</w:t>
      </w:r>
    </w:p>
    <w:p>
      <w:pPr>
        <w:spacing w:after="0"/>
        <w:ind w:left="0"/>
        <w:jc w:val="both"/>
      </w:pPr>
      <w:r>
        <w:rPr>
          <w:rFonts w:ascii="Times New Roman"/>
          <w:b w:val="false"/>
          <w:i w:val="false"/>
          <w:color w:val="000000"/>
          <w:sz w:val="28"/>
        </w:rPr>
        <w:t>
      добровольного софинансирования со стороны бизнеса на прикладные НТП;</w:t>
      </w:r>
    </w:p>
    <w:p>
      <w:pPr>
        <w:spacing w:after="0"/>
        <w:ind w:left="0"/>
        <w:jc w:val="both"/>
      </w:pPr>
      <w:r>
        <w:rPr>
          <w:rFonts w:ascii="Times New Roman"/>
          <w:b w:val="false"/>
          <w:i w:val="false"/>
          <w:color w:val="000000"/>
          <w:sz w:val="28"/>
        </w:rPr>
        <w:t>
      развития системы коммерциализации результатов прикладных научно-технических программ и механизмов роялти;</w:t>
      </w:r>
    </w:p>
    <w:p>
      <w:pPr>
        <w:spacing w:after="0"/>
        <w:ind w:left="0"/>
        <w:jc w:val="both"/>
      </w:pPr>
      <w:r>
        <w:rPr>
          <w:rFonts w:ascii="Times New Roman"/>
          <w:b w:val="false"/>
          <w:i w:val="false"/>
          <w:color w:val="000000"/>
          <w:sz w:val="28"/>
        </w:rPr>
        <w:t>
      введения отраслевого грантового финансирования прикладных исследований;</w:t>
      </w:r>
    </w:p>
    <w:p>
      <w:pPr>
        <w:spacing w:after="0"/>
        <w:ind w:left="0"/>
        <w:jc w:val="both"/>
      </w:pPr>
      <w:r>
        <w:rPr>
          <w:rFonts w:ascii="Times New Roman"/>
          <w:b w:val="false"/>
          <w:i w:val="false"/>
          <w:color w:val="000000"/>
          <w:sz w:val="28"/>
        </w:rPr>
        <w:t>
      увеличения уставного капитала НАНОЦ в целях обеспечения модернизации инфраструктуры аграрных научно-исследовательских организаций, вузов и опытно-производственных предприятий, сельскохозяйственных опытных станций;</w:t>
      </w:r>
    </w:p>
    <w:p>
      <w:pPr>
        <w:spacing w:after="0"/>
        <w:ind w:left="0"/>
        <w:jc w:val="both"/>
      </w:pPr>
      <w:r>
        <w:rPr>
          <w:rFonts w:ascii="Times New Roman"/>
          <w:b w:val="false"/>
          <w:i w:val="false"/>
          <w:color w:val="000000"/>
          <w:sz w:val="28"/>
        </w:rPr>
        <w:t>
      развития систем распространения знаний, трансферта и коммерциализации РННТД и механизмов роялти;</w:t>
      </w:r>
    </w:p>
    <w:p>
      <w:pPr>
        <w:spacing w:after="0"/>
        <w:ind w:left="0"/>
        <w:jc w:val="both"/>
      </w:pPr>
      <w:r>
        <w:rPr>
          <w:rFonts w:ascii="Times New Roman"/>
          <w:b w:val="false"/>
          <w:i w:val="false"/>
          <w:color w:val="000000"/>
          <w:sz w:val="28"/>
        </w:rPr>
        <w:t>
      обеспечения развития первичного семеноводства на базе опытных хозяйств, в том числе обновления оборудования и стимулирования аграрной науки.</w:t>
      </w:r>
    </w:p>
    <w:bookmarkStart w:name="z513" w:id="3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 </w:t>
      </w:r>
      <w:r>
        <w:rPr>
          <w:rFonts w:ascii="Times New Roman"/>
          <w:b w:val="false"/>
          <w:i/>
          <w:color w:val="000000"/>
          <w:sz w:val="28"/>
        </w:rPr>
        <w:t>Земельные ресурсы</w:t>
      </w:r>
    </w:p>
    <w:bookmarkEnd w:id="399"/>
    <w:bookmarkStart w:name="z514" w:id="400"/>
    <w:p>
      <w:pPr>
        <w:spacing w:after="0"/>
        <w:ind w:left="0"/>
        <w:jc w:val="both"/>
      </w:pPr>
      <w:r>
        <w:rPr>
          <w:rFonts w:ascii="Times New Roman"/>
          <w:b w:val="false"/>
          <w:i w:val="false"/>
          <w:color w:val="000000"/>
          <w:sz w:val="28"/>
        </w:rPr>
        <w:t>
      Сокращение сроков изъятия неиспользуемых земель сельскохозяйственного назначения с 2-х лет до 1 года в целях рационального и эффективного использования земель.</w:t>
      </w:r>
    </w:p>
    <w:bookmarkEnd w:id="400"/>
    <w:bookmarkStart w:name="z515" w:id="401"/>
    <w:p>
      <w:pPr>
        <w:spacing w:after="0"/>
        <w:ind w:left="0"/>
        <w:jc w:val="both"/>
      </w:pPr>
      <w:r>
        <w:rPr>
          <w:rFonts w:ascii="Times New Roman"/>
          <w:b w:val="false"/>
          <w:i w:val="false"/>
          <w:color w:val="000000"/>
          <w:sz w:val="28"/>
        </w:rPr>
        <w:t>
      Разработка нормативов максимальных размеров земель сельскохозяйственного назначения, которые могут находиться в собственности и землепользовании граждан Республики Казахстан.</w:t>
      </w:r>
    </w:p>
    <w:bookmarkEnd w:id="401"/>
    <w:bookmarkStart w:name="z516" w:id="402"/>
    <w:p>
      <w:pPr>
        <w:spacing w:after="0"/>
        <w:ind w:left="0"/>
        <w:jc w:val="both"/>
      </w:pPr>
      <w:r>
        <w:rPr>
          <w:rFonts w:ascii="Times New Roman"/>
          <w:b w:val="false"/>
          <w:i w:val="false"/>
          <w:color w:val="000000"/>
          <w:sz w:val="28"/>
        </w:rPr>
        <w:t xml:space="preserve">
      </w:t>
      </w:r>
      <w:r>
        <w:rPr>
          <w:rFonts w:ascii="Times New Roman"/>
          <w:b w:val="false"/>
          <w:i/>
          <w:color w:val="000000"/>
          <w:sz w:val="28"/>
        </w:rPr>
        <w:t>4.9. Цифровизация АПК</w:t>
      </w:r>
      <w:r>
        <w:rPr>
          <w:rFonts w:ascii="Times New Roman"/>
          <w:b w:val="false"/>
          <w:i w:val="false"/>
          <w:color w:val="000000"/>
          <w:sz w:val="28"/>
        </w:rPr>
        <w:t xml:space="preserve"> </w:t>
      </w:r>
    </w:p>
    <w:bookmarkEnd w:id="402"/>
    <w:p>
      <w:pPr>
        <w:spacing w:after="0"/>
        <w:ind w:left="0"/>
        <w:jc w:val="both"/>
      </w:pPr>
      <w:r>
        <w:rPr>
          <w:rFonts w:ascii="Times New Roman"/>
          <w:b w:val="false"/>
          <w:i w:val="false"/>
          <w:color w:val="000000"/>
          <w:sz w:val="28"/>
        </w:rPr>
        <w:t>
      Все информационные системы агропромышленного комплекса будут объединены с созданием единой цифровой платформы агропромышленного комплекса (Е-АПК), которая позволит получить фермеру все государственные услуги в сфере АПК по принципу "единое окно".</w:t>
      </w:r>
    </w:p>
    <w:p>
      <w:pPr>
        <w:spacing w:after="0"/>
        <w:ind w:left="0"/>
        <w:jc w:val="both"/>
      </w:pPr>
      <w:r>
        <w:rPr>
          <w:rFonts w:ascii="Times New Roman"/>
          <w:b w:val="false"/>
          <w:i w:val="false"/>
          <w:color w:val="000000"/>
          <w:sz w:val="28"/>
        </w:rPr>
        <w:t>
      Автоматизация государственных услуг и процессов позволит получить субсидии и услуги в электронном формате.</w:t>
      </w:r>
    </w:p>
    <w:p>
      <w:pPr>
        <w:spacing w:after="0"/>
        <w:ind w:left="0"/>
        <w:jc w:val="both"/>
      </w:pPr>
      <w:r>
        <w:rPr>
          <w:rFonts w:ascii="Times New Roman"/>
          <w:b w:val="false"/>
          <w:i w:val="false"/>
          <w:color w:val="000000"/>
          <w:sz w:val="28"/>
        </w:rPr>
        <w:t>
      Внедрится информационная система прослеживаемости в растениеводстве (ИСР) в целях обеспечения прослеживаемости от "поля до прилавка".</w:t>
      </w:r>
    </w:p>
    <w:p>
      <w:pPr>
        <w:spacing w:after="0"/>
        <w:ind w:left="0"/>
        <w:jc w:val="both"/>
      </w:pPr>
      <w:r>
        <w:rPr>
          <w:rFonts w:ascii="Times New Roman"/>
          <w:b w:val="false"/>
          <w:i w:val="false"/>
          <w:color w:val="000000"/>
          <w:sz w:val="28"/>
        </w:rPr>
        <w:t>
      Будет создана единая государственная система субсидирования, на которой будут оказываться меры государственной поддержки на бесплатной основе.</w:t>
      </w:r>
    </w:p>
    <w:bookmarkStart w:name="z521" w:id="4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4.10. </w:t>
      </w:r>
      <w:r>
        <w:rPr>
          <w:rFonts w:ascii="Times New Roman"/>
          <w:b w:val="false"/>
          <w:i/>
          <w:color w:val="000000"/>
          <w:sz w:val="28"/>
        </w:rPr>
        <w:t>Государственная поддержка</w:t>
      </w:r>
    </w:p>
    <w:bookmarkEnd w:id="403"/>
    <w:bookmarkStart w:name="z522" w:id="404"/>
    <w:p>
      <w:pPr>
        <w:spacing w:after="0"/>
        <w:ind w:left="0"/>
        <w:jc w:val="both"/>
      </w:pPr>
      <w:r>
        <w:rPr>
          <w:rFonts w:ascii="Times New Roman"/>
          <w:b w:val="false"/>
          <w:i w:val="false"/>
          <w:color w:val="000000"/>
          <w:sz w:val="28"/>
        </w:rPr>
        <w:t>
      Будет обеспечен принцип специализации регионов при оказании государственной поддержки АПК на основе схемы специализации регионов, которая будет использована как база, на основе которой будут сформированы крупномасштабные зоны производства отдельных видов сельскохозяйственной продукции. Это позволит дифференцированно и более эффективно проводить государственную политику в зависимости от природно-климатических и других факторов.</w:t>
      </w:r>
    </w:p>
    <w:bookmarkEnd w:id="404"/>
    <w:bookmarkStart w:name="z523" w:id="405"/>
    <w:p>
      <w:pPr>
        <w:spacing w:after="0"/>
        <w:ind w:left="0"/>
        <w:jc w:val="both"/>
      </w:pPr>
      <w:r>
        <w:rPr>
          <w:rFonts w:ascii="Times New Roman"/>
          <w:b w:val="false"/>
          <w:i w:val="false"/>
          <w:color w:val="000000"/>
          <w:sz w:val="28"/>
        </w:rPr>
        <w:t xml:space="preserve">
      Также будет проведена работа по пересмотру кредитной политики АО "НУХ "Байтерек", которая также должна учитывать схему специализации. </w:t>
      </w:r>
    </w:p>
    <w:bookmarkEnd w:id="405"/>
    <w:bookmarkStart w:name="z524" w:id="406"/>
    <w:p>
      <w:pPr>
        <w:spacing w:after="0"/>
        <w:ind w:left="0"/>
        <w:jc w:val="both"/>
      </w:pPr>
      <w:r>
        <w:rPr>
          <w:rFonts w:ascii="Times New Roman"/>
          <w:b w:val="false"/>
          <w:i w:val="false"/>
          <w:color w:val="000000"/>
          <w:sz w:val="28"/>
        </w:rPr>
        <w:t>
      Схема специализации не будет запрещать производить любые другие продукты, которые ею не предусмотрены, но мерами господдержки такое производство охватываться не будет.</w:t>
      </w:r>
    </w:p>
    <w:bookmarkEnd w:id="406"/>
    <w:bookmarkStart w:name="z525" w:id="407"/>
    <w:p>
      <w:pPr>
        <w:spacing w:after="0"/>
        <w:ind w:left="0"/>
        <w:jc w:val="both"/>
      </w:pPr>
      <w:r>
        <w:rPr>
          <w:rFonts w:ascii="Times New Roman"/>
          <w:b w:val="false"/>
          <w:i w:val="false"/>
          <w:color w:val="000000"/>
          <w:sz w:val="28"/>
        </w:rPr>
        <w:t>
      Планируются дальнейшее развитие и совершенствование существующих мер господдержки, а именно:</w:t>
      </w:r>
    </w:p>
    <w:bookmarkEnd w:id="407"/>
    <w:bookmarkStart w:name="z526" w:id="408"/>
    <w:p>
      <w:pPr>
        <w:spacing w:after="0"/>
        <w:ind w:left="0"/>
        <w:jc w:val="both"/>
      </w:pPr>
      <w:r>
        <w:rPr>
          <w:rFonts w:ascii="Times New Roman"/>
          <w:b w:val="false"/>
          <w:i w:val="false"/>
          <w:color w:val="000000"/>
          <w:sz w:val="28"/>
        </w:rPr>
        <w:t>
      сохранение и дальнейшее совершенствование налогообложения;</w:t>
      </w:r>
    </w:p>
    <w:bookmarkEnd w:id="408"/>
    <w:bookmarkStart w:name="z527" w:id="409"/>
    <w:p>
      <w:pPr>
        <w:spacing w:after="0"/>
        <w:ind w:left="0"/>
        <w:jc w:val="both"/>
      </w:pPr>
      <w:r>
        <w:rPr>
          <w:rFonts w:ascii="Times New Roman"/>
          <w:b w:val="false"/>
          <w:i w:val="false"/>
          <w:color w:val="000000"/>
          <w:sz w:val="28"/>
        </w:rPr>
        <w:t>
      дальнейшее расширение объемов и совершенствование инструментов льготного кредитования, лизинговых программ, повышение их доступности для субъектов АПК;</w:t>
      </w:r>
    </w:p>
    <w:bookmarkEnd w:id="409"/>
    <w:bookmarkStart w:name="z528" w:id="410"/>
    <w:p>
      <w:pPr>
        <w:spacing w:after="0"/>
        <w:ind w:left="0"/>
        <w:jc w:val="both"/>
      </w:pPr>
      <w:r>
        <w:rPr>
          <w:rFonts w:ascii="Times New Roman"/>
          <w:b w:val="false"/>
          <w:i w:val="false"/>
          <w:color w:val="000000"/>
          <w:sz w:val="28"/>
        </w:rPr>
        <w:t xml:space="preserve">
      продолжение работы по форвардному закупу сельхозпродукции путем ежегодного финансирования субъектов агропромышленного комплекса на сумму до 100 млрд тенге для стимулирования выращивания приоритетных культур, формирования и поддержания резервного запаса зерна, фуражного фонда, стабилизационных фондов по социально значимым продовольственным товарам; </w:t>
      </w:r>
    </w:p>
    <w:bookmarkEnd w:id="410"/>
    <w:p>
      <w:pPr>
        <w:spacing w:after="0"/>
        <w:ind w:left="0"/>
        <w:jc w:val="both"/>
      </w:pPr>
      <w:r>
        <w:rPr>
          <w:rFonts w:ascii="Times New Roman"/>
          <w:b w:val="false"/>
          <w:i w:val="false"/>
          <w:color w:val="000000"/>
          <w:sz w:val="28"/>
        </w:rPr>
        <w:t>
      продолжение финансирования для проведения мероприятий по весенне-полевым и уборочным работам субъектов агропромышленного комплекса в рамках краткосрочного и среднесрочного бюджетного кредита до 140 млрд тенге ежегодно;</w:t>
      </w:r>
    </w:p>
    <w:bookmarkStart w:name="z530" w:id="411"/>
    <w:p>
      <w:pPr>
        <w:spacing w:after="0"/>
        <w:ind w:left="0"/>
        <w:jc w:val="both"/>
      </w:pPr>
      <w:r>
        <w:rPr>
          <w:rFonts w:ascii="Times New Roman"/>
          <w:b w:val="false"/>
          <w:i w:val="false"/>
          <w:color w:val="000000"/>
          <w:sz w:val="28"/>
        </w:rPr>
        <w:t xml:space="preserve">
      продолжение мероприятий по борьбе с вредителями и карантинными объектами, особо опасными болезнями сельскохозяйственных животных, распространению знаний за счет государства, а также дальнейшее совершенствование их механизмов; </w:t>
      </w:r>
    </w:p>
    <w:bookmarkEnd w:id="411"/>
    <w:bookmarkStart w:name="z531" w:id="412"/>
    <w:p>
      <w:pPr>
        <w:spacing w:after="0"/>
        <w:ind w:left="0"/>
        <w:jc w:val="both"/>
      </w:pPr>
      <w:r>
        <w:rPr>
          <w:rFonts w:ascii="Times New Roman"/>
          <w:b w:val="false"/>
          <w:i w:val="false"/>
          <w:color w:val="000000"/>
          <w:sz w:val="28"/>
        </w:rPr>
        <w:t>
      совершенствование института страхования АПК;</w:t>
      </w:r>
    </w:p>
    <w:bookmarkEnd w:id="412"/>
    <w:bookmarkStart w:name="z532" w:id="413"/>
    <w:p>
      <w:pPr>
        <w:spacing w:after="0"/>
        <w:ind w:left="0"/>
        <w:jc w:val="both"/>
      </w:pPr>
      <w:r>
        <w:rPr>
          <w:rFonts w:ascii="Times New Roman"/>
          <w:b w:val="false"/>
          <w:i w:val="false"/>
          <w:color w:val="000000"/>
          <w:sz w:val="28"/>
        </w:rPr>
        <w:t>
      совершенствование механизмов субсидирования и введение новых форм государственной поддержки;</w:t>
      </w:r>
    </w:p>
    <w:bookmarkEnd w:id="413"/>
    <w:bookmarkStart w:name="z533" w:id="414"/>
    <w:p>
      <w:pPr>
        <w:spacing w:after="0"/>
        <w:ind w:left="0"/>
        <w:jc w:val="both"/>
      </w:pPr>
      <w:r>
        <w:rPr>
          <w:rFonts w:ascii="Times New Roman"/>
          <w:b w:val="false"/>
          <w:i w:val="false"/>
          <w:color w:val="000000"/>
          <w:sz w:val="28"/>
        </w:rPr>
        <w:t>
      стимулирование создания новых производственных мощностей;</w:t>
      </w:r>
    </w:p>
    <w:bookmarkEnd w:id="414"/>
    <w:bookmarkStart w:name="z534" w:id="415"/>
    <w:p>
      <w:pPr>
        <w:spacing w:after="0"/>
        <w:ind w:left="0"/>
        <w:jc w:val="both"/>
      </w:pPr>
      <w:r>
        <w:rPr>
          <w:rFonts w:ascii="Times New Roman"/>
          <w:b w:val="false"/>
          <w:i w:val="false"/>
          <w:color w:val="000000"/>
          <w:sz w:val="28"/>
        </w:rPr>
        <w:t>
      продолжение мероприятий по развитию аграрной науки и подготовке кадров для АПК.</w:t>
      </w:r>
    </w:p>
    <w:bookmarkEnd w:id="415"/>
    <w:bookmarkStart w:name="z535" w:id="416"/>
    <w:p>
      <w:pPr>
        <w:spacing w:after="0"/>
        <w:ind w:left="0"/>
        <w:jc w:val="both"/>
      </w:pPr>
      <w:r>
        <w:rPr>
          <w:rFonts w:ascii="Times New Roman"/>
          <w:b w:val="false"/>
          <w:i w:val="false"/>
          <w:color w:val="000000"/>
          <w:sz w:val="28"/>
        </w:rPr>
        <w:t>
      В целях обеспечения прозрачности при получении мер государственной поддержки необходимо открыть доступ органам внешнего государственного аудита и финансового контроля к сведениям дочерних организаций АО "НУХ "Байтерек" и АО "НК "Продовольственная контрактная корпорация", составляющим банковскую тайну, путем включения в правила, типовые договора, внутренние нормативные документы соответствующих норм, предусматривающих наличие согласия получателя государственной поддержки на раскрытие банковской тайны. При этом данное условие должно быть обеспечено на всех уровнях государственного и квазигосударственного сектора.</w:t>
      </w:r>
    </w:p>
    <w:bookmarkEnd w:id="416"/>
    <w:bookmarkStart w:name="z536" w:id="417"/>
    <w:p>
      <w:pPr>
        <w:spacing w:after="0"/>
        <w:ind w:left="0"/>
        <w:jc w:val="left"/>
      </w:pPr>
      <w:r>
        <w:rPr>
          <w:rFonts w:ascii="Times New Roman"/>
          <w:b/>
          <w:i w:val="false"/>
          <w:color w:val="000000"/>
        </w:rPr>
        <w:t xml:space="preserve"> 5. Основные принципы и подходы развития</w:t>
      </w:r>
    </w:p>
    <w:bookmarkEnd w:id="417"/>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28.03.2023 </w:t>
      </w:r>
      <w:r>
        <w:rPr>
          <w:rFonts w:ascii="Times New Roman"/>
          <w:b w:val="false"/>
          <w:i w:val="false"/>
          <w:color w:val="ff0000"/>
          <w:sz w:val="28"/>
        </w:rPr>
        <w:t>№ 268</w:t>
      </w:r>
      <w:r>
        <w:rPr>
          <w:rFonts w:ascii="Times New Roman"/>
          <w:b w:val="false"/>
          <w:i w:val="false"/>
          <w:color w:val="ff0000"/>
          <w:sz w:val="28"/>
        </w:rPr>
        <w:t xml:space="preserve">; от 28.02.2024 </w:t>
      </w:r>
      <w:r>
        <w:rPr>
          <w:rFonts w:ascii="Times New Roman"/>
          <w:b w:val="false"/>
          <w:i w:val="false"/>
          <w:color w:val="ff0000"/>
          <w:sz w:val="28"/>
        </w:rPr>
        <w:t>№ 132</w:t>
      </w:r>
      <w:r>
        <w:rPr>
          <w:rFonts w:ascii="Times New Roman"/>
          <w:b w:val="false"/>
          <w:i w:val="false"/>
          <w:color w:val="ff0000"/>
          <w:sz w:val="28"/>
        </w:rPr>
        <w:t>.</w:t>
      </w:r>
    </w:p>
    <w:bookmarkStart w:name="z537" w:id="418"/>
    <w:p>
      <w:pPr>
        <w:spacing w:after="0"/>
        <w:ind w:left="0"/>
        <w:jc w:val="both"/>
      </w:pPr>
      <w:r>
        <w:rPr>
          <w:rFonts w:ascii="Times New Roman"/>
          <w:b w:val="false"/>
          <w:i w:val="false"/>
          <w:color w:val="000000"/>
          <w:sz w:val="28"/>
        </w:rPr>
        <w:t>
      Принципы Концепции развития АПК РК на 2021 – 2030 годы</w:t>
      </w:r>
    </w:p>
    <w:bookmarkEnd w:id="418"/>
    <w:bookmarkStart w:name="z538" w:id="419"/>
    <w:p>
      <w:pPr>
        <w:spacing w:after="0"/>
        <w:ind w:left="0"/>
        <w:jc w:val="both"/>
      </w:pPr>
      <w:r>
        <w:rPr>
          <w:rFonts w:ascii="Times New Roman"/>
          <w:b w:val="false"/>
          <w:i w:val="false"/>
          <w:color w:val="000000"/>
          <w:sz w:val="28"/>
        </w:rPr>
        <w:t>
      сбалансированное устойчивое развитие: эффективное производство, сохранение природных ресурсов и развитие человеческого капитала;</w:t>
      </w:r>
    </w:p>
    <w:bookmarkEnd w:id="419"/>
    <w:bookmarkStart w:name="z539" w:id="420"/>
    <w:p>
      <w:pPr>
        <w:spacing w:after="0"/>
        <w:ind w:left="0"/>
        <w:jc w:val="both"/>
      </w:pPr>
      <w:r>
        <w:rPr>
          <w:rFonts w:ascii="Times New Roman"/>
          <w:b w:val="false"/>
          <w:i w:val="false"/>
          <w:color w:val="000000"/>
          <w:sz w:val="28"/>
        </w:rPr>
        <w:t>
      учет рисков, стабильность и преемственность агрополитики, кумулятивный эффект поддержки отрасли;</w:t>
      </w:r>
    </w:p>
    <w:bookmarkEnd w:id="420"/>
    <w:bookmarkStart w:name="z540" w:id="421"/>
    <w:p>
      <w:pPr>
        <w:spacing w:after="0"/>
        <w:ind w:left="0"/>
        <w:jc w:val="both"/>
      </w:pPr>
      <w:r>
        <w:rPr>
          <w:rFonts w:ascii="Times New Roman"/>
          <w:b w:val="false"/>
          <w:i w:val="false"/>
          <w:color w:val="000000"/>
          <w:sz w:val="28"/>
        </w:rPr>
        <w:t>
      принцип инклюзивности: государство создает и поддерживает соответствующие условия для того, чтобы производители сельхозпродукции вне зависимости от размера и организационной формы являлись равноправными участниками рынка;</w:t>
      </w:r>
    </w:p>
    <w:bookmarkEnd w:id="421"/>
    <w:bookmarkStart w:name="z541" w:id="422"/>
    <w:p>
      <w:pPr>
        <w:spacing w:after="0"/>
        <w:ind w:left="0"/>
        <w:jc w:val="both"/>
      </w:pPr>
      <w:r>
        <w:rPr>
          <w:rFonts w:ascii="Times New Roman"/>
          <w:b w:val="false"/>
          <w:i w:val="false"/>
          <w:color w:val="000000"/>
          <w:sz w:val="28"/>
        </w:rPr>
        <w:t>
      создание универсальных условий для всех добросовестных участников рынка;</w:t>
      </w:r>
    </w:p>
    <w:bookmarkEnd w:id="422"/>
    <w:bookmarkStart w:name="z542" w:id="423"/>
    <w:p>
      <w:pPr>
        <w:spacing w:after="0"/>
        <w:ind w:left="0"/>
        <w:jc w:val="both"/>
      </w:pPr>
      <w:r>
        <w:rPr>
          <w:rFonts w:ascii="Times New Roman"/>
          <w:b w:val="false"/>
          <w:i w:val="false"/>
          <w:color w:val="000000"/>
          <w:sz w:val="28"/>
        </w:rPr>
        <w:t>
      доступность в новых знаниях для СХТП в АПК;</w:t>
      </w:r>
    </w:p>
    <w:bookmarkEnd w:id="423"/>
    <w:bookmarkStart w:name="z543" w:id="424"/>
    <w:p>
      <w:pPr>
        <w:spacing w:after="0"/>
        <w:ind w:left="0"/>
        <w:jc w:val="both"/>
      </w:pPr>
      <w:r>
        <w:rPr>
          <w:rFonts w:ascii="Times New Roman"/>
          <w:b w:val="false"/>
          <w:i w:val="false"/>
          <w:color w:val="000000"/>
          <w:sz w:val="28"/>
        </w:rPr>
        <w:t>
      антикоррупционность механизмов оказания госуслуг на основе цифровизации и контроля качества</w:t>
      </w:r>
    </w:p>
    <w:bookmarkEnd w:id="424"/>
    <w:bookmarkStart w:name="z544" w:id="425"/>
    <w:p>
      <w:pPr>
        <w:spacing w:after="0"/>
        <w:ind w:left="0"/>
        <w:jc w:val="both"/>
      </w:pPr>
      <w:r>
        <w:rPr>
          <w:rFonts w:ascii="Times New Roman"/>
          <w:b w:val="false"/>
          <w:i w:val="false"/>
          <w:color w:val="000000"/>
          <w:sz w:val="28"/>
        </w:rPr>
        <w:t>
      Приоритеты развития АПК на 2021 – 2030 годы</w:t>
      </w:r>
    </w:p>
    <w:bookmarkEnd w:id="425"/>
    <w:bookmarkStart w:name="z545" w:id="426"/>
    <w:p>
      <w:pPr>
        <w:spacing w:after="0"/>
        <w:ind w:left="0"/>
        <w:jc w:val="both"/>
      </w:pPr>
      <w:r>
        <w:rPr>
          <w:rFonts w:ascii="Times New Roman"/>
          <w:b w:val="false"/>
          <w:i w:val="false"/>
          <w:color w:val="000000"/>
          <w:sz w:val="28"/>
        </w:rPr>
        <w:t>
      обеспечение продовольственной безопасности и повышение качества продукции;</w:t>
      </w:r>
    </w:p>
    <w:bookmarkEnd w:id="426"/>
    <w:bookmarkStart w:name="z546" w:id="427"/>
    <w:p>
      <w:pPr>
        <w:spacing w:after="0"/>
        <w:ind w:left="0"/>
        <w:jc w:val="both"/>
      </w:pPr>
      <w:r>
        <w:rPr>
          <w:rFonts w:ascii="Times New Roman"/>
          <w:b w:val="false"/>
          <w:i w:val="false"/>
          <w:color w:val="000000"/>
          <w:sz w:val="28"/>
        </w:rPr>
        <w:t>
      создание 7 устойчивых продовольственных экосистем;</w:t>
      </w:r>
    </w:p>
    <w:bookmarkEnd w:id="427"/>
    <w:bookmarkStart w:name="z547" w:id="428"/>
    <w:p>
      <w:pPr>
        <w:spacing w:after="0"/>
        <w:ind w:left="0"/>
        <w:jc w:val="both"/>
      </w:pPr>
      <w:r>
        <w:rPr>
          <w:rFonts w:ascii="Times New Roman"/>
          <w:b w:val="false"/>
          <w:i w:val="false"/>
          <w:color w:val="000000"/>
          <w:sz w:val="28"/>
        </w:rPr>
        <w:t>
      оптимизация механизмов поддержки, ориентация на конкурентоспособную продукцию;</w:t>
      </w:r>
    </w:p>
    <w:bookmarkEnd w:id="428"/>
    <w:bookmarkStart w:name="z548" w:id="429"/>
    <w:p>
      <w:pPr>
        <w:spacing w:after="0"/>
        <w:ind w:left="0"/>
        <w:jc w:val="both"/>
      </w:pPr>
      <w:r>
        <w:rPr>
          <w:rFonts w:ascii="Times New Roman"/>
          <w:b w:val="false"/>
          <w:i w:val="false"/>
          <w:color w:val="000000"/>
          <w:sz w:val="28"/>
        </w:rPr>
        <w:t>
      формирование привлекательности отрасли на основе технологичности, цифровизации, экологичности и развития человеческого капитала;</w:t>
      </w:r>
    </w:p>
    <w:bookmarkEnd w:id="429"/>
    <w:bookmarkStart w:name="z549" w:id="430"/>
    <w:p>
      <w:pPr>
        <w:spacing w:after="0"/>
        <w:ind w:left="0"/>
        <w:jc w:val="both"/>
      </w:pPr>
      <w:r>
        <w:rPr>
          <w:rFonts w:ascii="Times New Roman"/>
          <w:b w:val="false"/>
          <w:i w:val="false"/>
          <w:color w:val="000000"/>
          <w:sz w:val="28"/>
        </w:rPr>
        <w:t xml:space="preserve">
      создание единой системы, нацеленной на потребности АПК: наука </w:t>
      </w:r>
    </w:p>
    <w:bookmarkEnd w:id="430"/>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подготовка кадров </w:t>
      </w:r>
    </w:p>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распространение знаний (лаборатория </w:t>
      </w:r>
    </w:p>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аудитория </w:t>
      </w:r>
    </w:p>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поле);</w:t>
      </w:r>
      <w:r>
        <w:br/>
      </w:r>
      <w:r>
        <w:rPr>
          <w:rFonts w:ascii="Times New Roman"/>
          <w:b w:val="false"/>
          <w:i w:val="false"/>
          <w:color w:val="000000"/>
          <w:sz w:val="28"/>
        </w:rPr>
        <w:t>
</w:t>
      </w:r>
    </w:p>
    <w:bookmarkStart w:name="z550" w:id="431"/>
    <w:p>
      <w:pPr>
        <w:spacing w:after="0"/>
        <w:ind w:left="0"/>
        <w:jc w:val="both"/>
      </w:pPr>
      <w:r>
        <w:rPr>
          <w:rFonts w:ascii="Times New Roman"/>
          <w:b w:val="false"/>
          <w:i w:val="false"/>
          <w:color w:val="000000"/>
          <w:sz w:val="28"/>
        </w:rPr>
        <w:t>
      развитие системы коммерциализации и трансферта;</w:t>
      </w:r>
    </w:p>
    <w:bookmarkEnd w:id="431"/>
    <w:bookmarkStart w:name="z551" w:id="432"/>
    <w:p>
      <w:pPr>
        <w:spacing w:after="0"/>
        <w:ind w:left="0"/>
        <w:jc w:val="both"/>
      </w:pPr>
      <w:r>
        <w:rPr>
          <w:rFonts w:ascii="Times New Roman"/>
          <w:b w:val="false"/>
          <w:i w:val="false"/>
          <w:color w:val="000000"/>
          <w:sz w:val="28"/>
        </w:rPr>
        <w:t xml:space="preserve">
      объективное распределение ресурсов на научные исследования и экстеншн на основе качества компетенции исполнителей и предлагаемых ими подходов к решению поставленных задач; </w:t>
      </w:r>
    </w:p>
    <w:bookmarkEnd w:id="432"/>
    <w:bookmarkStart w:name="z552" w:id="433"/>
    <w:p>
      <w:pPr>
        <w:spacing w:after="0"/>
        <w:ind w:left="0"/>
        <w:jc w:val="both"/>
      </w:pPr>
      <w:r>
        <w:rPr>
          <w:rFonts w:ascii="Times New Roman"/>
          <w:b w:val="false"/>
          <w:i w:val="false"/>
          <w:color w:val="000000"/>
          <w:sz w:val="28"/>
        </w:rPr>
        <w:t>
      развитие и укрепление фитосанитарной и ветеринарной службы;</w:t>
      </w:r>
    </w:p>
    <w:bookmarkEnd w:id="433"/>
    <w:bookmarkStart w:name="z553" w:id="434"/>
    <w:p>
      <w:pPr>
        <w:spacing w:after="0"/>
        <w:ind w:left="0"/>
        <w:jc w:val="both"/>
      </w:pPr>
      <w:r>
        <w:rPr>
          <w:rFonts w:ascii="Times New Roman"/>
          <w:b w:val="false"/>
          <w:i w:val="false"/>
          <w:color w:val="000000"/>
          <w:sz w:val="28"/>
        </w:rPr>
        <w:t>
      формирование эффективных систем землепользования и водопользования для производства продукции АПК;</w:t>
      </w:r>
    </w:p>
    <w:bookmarkEnd w:id="434"/>
    <w:bookmarkStart w:name="z554" w:id="435"/>
    <w:p>
      <w:pPr>
        <w:spacing w:after="0"/>
        <w:ind w:left="0"/>
        <w:jc w:val="both"/>
      </w:pPr>
      <w:r>
        <w:rPr>
          <w:rFonts w:ascii="Times New Roman"/>
          <w:b w:val="false"/>
          <w:i w:val="false"/>
          <w:color w:val="000000"/>
          <w:sz w:val="28"/>
        </w:rPr>
        <w:t>
      рост доходов и уровня систем жизнеобеспечения сельского населения, развитие сельской инфраструктуры;</w:t>
      </w:r>
    </w:p>
    <w:bookmarkEnd w:id="435"/>
    <w:bookmarkStart w:name="z555" w:id="436"/>
    <w:p>
      <w:pPr>
        <w:spacing w:after="0"/>
        <w:ind w:left="0"/>
        <w:jc w:val="both"/>
      </w:pPr>
      <w:r>
        <w:rPr>
          <w:rFonts w:ascii="Times New Roman"/>
          <w:b w:val="false"/>
          <w:i w:val="false"/>
          <w:color w:val="000000"/>
          <w:sz w:val="28"/>
        </w:rPr>
        <w:t>
      построение устойчивых цепочек производства и сбыта.</w:t>
      </w:r>
    </w:p>
    <w:bookmarkEnd w:id="436"/>
    <w:bookmarkStart w:name="z556" w:id="4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 </w:t>
      </w:r>
      <w:r>
        <w:rPr>
          <w:rFonts w:ascii="Times New Roman"/>
          <w:b w:val="false"/>
          <w:i/>
          <w:color w:val="000000"/>
          <w:sz w:val="28"/>
        </w:rPr>
        <w:t>Растениеводство</w:t>
      </w:r>
    </w:p>
    <w:bookmarkEnd w:id="437"/>
    <w:bookmarkStart w:name="z557" w:id="438"/>
    <w:p>
      <w:pPr>
        <w:spacing w:after="0"/>
        <w:ind w:left="0"/>
        <w:jc w:val="both"/>
      </w:pPr>
      <w:r>
        <w:rPr>
          <w:rFonts w:ascii="Times New Roman"/>
          <w:b w:val="false"/>
          <w:i w:val="false"/>
          <w:color w:val="000000"/>
          <w:sz w:val="28"/>
        </w:rPr>
        <w:t>
      В целях увеличения загруженности перерабатывающих предприятий, роста объемов экспорта конкурентоспособной продукции, расширения кормовой базы отрасли животноводства будет обеспечена реальная диверсификация в растениеводстве, которая подразумевает оптимизацию (сокращение) площадей монокультур, водоемких культур (рис, хлопок) и расширение альтернативных высокорентабельных культур (масличных, зернобобовых, крупяных, зернофуражных, овощебахчевых, кормовых и др.), что будет способствовать увеличению их производства.</w:t>
      </w:r>
    </w:p>
    <w:bookmarkEnd w:id="438"/>
    <w:p>
      <w:pPr>
        <w:spacing w:after="0"/>
        <w:ind w:left="0"/>
        <w:jc w:val="both"/>
      </w:pPr>
      <w:r>
        <w:rPr>
          <w:rFonts w:ascii="Times New Roman"/>
          <w:b w:val="false"/>
          <w:i w:val="false"/>
          <w:color w:val="000000"/>
          <w:sz w:val="28"/>
        </w:rPr>
        <w:t>
      В рамках централизованной работы по обеспечению скоординированных действий казахстанских участников рынка для доступа на внешние рынки необходима активизация деятельности акционерного общества "Национальная компания "Продовольственная контрактная корпорация" по продвижению казахстанского зерна на экспорт.</w:t>
      </w:r>
    </w:p>
    <w:bookmarkStart w:name="z558" w:id="439"/>
    <w:p>
      <w:pPr>
        <w:spacing w:after="0"/>
        <w:ind w:left="0"/>
        <w:jc w:val="both"/>
      </w:pPr>
      <w:r>
        <w:rPr>
          <w:rFonts w:ascii="Times New Roman"/>
          <w:b w:val="false"/>
          <w:i w:val="false"/>
          <w:color w:val="000000"/>
          <w:sz w:val="28"/>
        </w:rPr>
        <w:t>
      Диверсификация производства будет обеспечена за счет активизации разъяснительной работы среди землепользователей и усиления контроля за выполнением требований земельного законодательства.</w:t>
      </w:r>
    </w:p>
    <w:bookmarkEnd w:id="439"/>
    <w:bookmarkStart w:name="z559" w:id="440"/>
    <w:p>
      <w:pPr>
        <w:spacing w:after="0"/>
        <w:ind w:left="0"/>
        <w:jc w:val="both"/>
      </w:pPr>
      <w:r>
        <w:rPr>
          <w:rFonts w:ascii="Times New Roman"/>
          <w:b w:val="false"/>
          <w:i w:val="false"/>
          <w:color w:val="000000"/>
          <w:sz w:val="28"/>
        </w:rPr>
        <w:t xml:space="preserve">
      Усиление контроля будет достигаться за счет адаптации и внедрения в практику зарубежной методики расшифровки космических снимков, технологии дистанционного зондирования земли по определению видового состава растений на полях, а также совершенствования системы агрохимического обслуживания сельхозпроизводства с пересмотром подходов проведения агрохимического обследования почв. </w:t>
      </w:r>
    </w:p>
    <w:bookmarkEnd w:id="440"/>
    <w:bookmarkStart w:name="z790" w:id="441"/>
    <w:p>
      <w:pPr>
        <w:spacing w:after="0"/>
        <w:ind w:left="0"/>
        <w:jc w:val="both"/>
      </w:pPr>
      <w:r>
        <w:rPr>
          <w:rFonts w:ascii="Times New Roman"/>
          <w:b w:val="false"/>
          <w:i w:val="false"/>
          <w:color w:val="000000"/>
          <w:sz w:val="28"/>
        </w:rPr>
        <w:t>
      В целях развития орошаемого земледелия площади орошаемых земель сельскохозяйственного назначения будут доведены до 2,5 млн га, также будут обеспечена экономия водных ресурсов путем широкого внедрения водосберегающих технологий орошения, в том числе за счет субсидирования 80 % (30 % из местного бюджета) затрат при инвестиционных вложениях без разделения по странам происхождения техники, усовершенствована деятельность гидрогеолого-мелиоративной службы путем улучшения материально-технической базы и расширения их зоны деятельности при проведении мониторинга орошаемых земель.</w:t>
      </w:r>
    </w:p>
    <w:bookmarkEnd w:id="441"/>
    <w:bookmarkStart w:name="z560" w:id="442"/>
    <w:p>
      <w:pPr>
        <w:spacing w:after="0"/>
        <w:ind w:left="0"/>
        <w:jc w:val="both"/>
      </w:pPr>
      <w:r>
        <w:rPr>
          <w:rFonts w:ascii="Times New Roman"/>
          <w:b w:val="false"/>
          <w:i w:val="false"/>
          <w:color w:val="000000"/>
          <w:sz w:val="28"/>
        </w:rPr>
        <w:t xml:space="preserve">
      С целью увеличения объемов применения удобрений будет продолжена государственная поддержка по субсидированию стоимости минеральных удобрений, а также введено субсидирование приобретения органических удобрений промышленного производства, получит свое развитие сеть сбыта минеральных удобрений, расширится ассортимент удобрений отечественного производства. Будет законодательно закреплена функция уполномоченного органа в области развития агропромышленного комплекса по установлению тарифов на оказываемые платные виды услуг государственным учреждением в сфере агрохимического обслуживания сельскохозяйственного производства. </w:t>
      </w:r>
    </w:p>
    <w:bookmarkEnd w:id="442"/>
    <w:p>
      <w:pPr>
        <w:spacing w:after="0"/>
        <w:ind w:left="0"/>
        <w:jc w:val="both"/>
      </w:pPr>
      <w:r>
        <w:rPr>
          <w:rFonts w:ascii="Times New Roman"/>
          <w:b w:val="false"/>
          <w:i w:val="false"/>
          <w:color w:val="000000"/>
          <w:sz w:val="28"/>
        </w:rPr>
        <w:t xml:space="preserve">
      Учитывая, что имеется проблема по снижению обеспеченности семенами основных видов сельскохозяйственных культур, а также низкий процент обеспеченности отечественными семенами некоторых культур (рапс, сахарная свекла и овощные культуры, по которым дефицит составляет более 90 %), будет принят ряд мер в семеноводстве, которые направлены на обеспечение сельхозтоваропроизводителей семенами высоких репродукций отечественного производства, предусматривающие в том числе повышение нормативов субсидирования до 80 % при приобретении селекционно-семеноводческой техники и оборудования, семяочистительно-сортировального оборудования. Данные меры государственной поддержки будут доступны всем элитно-семеноводческим и семеноводческим хозяйствам, осуществляющим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семеноводстве".</w:t>
      </w:r>
    </w:p>
    <w:p>
      <w:pPr>
        <w:spacing w:after="0"/>
        <w:ind w:left="0"/>
        <w:jc w:val="both"/>
      </w:pPr>
      <w:r>
        <w:rPr>
          <w:rFonts w:ascii="Times New Roman"/>
          <w:b w:val="false"/>
          <w:i w:val="false"/>
          <w:color w:val="000000"/>
          <w:sz w:val="28"/>
        </w:rPr>
        <w:t>
      В целях развития отечественного семеноводства будет предусмотрено повышенное субсидирование при приобретении отечественных семян сортов и гибридов.</w:t>
      </w:r>
    </w:p>
    <w:p>
      <w:pPr>
        <w:spacing w:after="0"/>
        <w:ind w:left="0"/>
        <w:jc w:val="both"/>
      </w:pPr>
      <w:r>
        <w:rPr>
          <w:rFonts w:ascii="Times New Roman"/>
          <w:b w:val="false"/>
          <w:i w:val="false"/>
          <w:color w:val="000000"/>
          <w:sz w:val="28"/>
        </w:rPr>
        <w:t>
      С целью ускоренного размножения сортов отечественной селекции, стимулирования производителей семян за счет формирования спроса будет пересмотрена доля субсидирования посевных площадей по категориям семян.</w:t>
      </w:r>
    </w:p>
    <w:p>
      <w:pPr>
        <w:spacing w:after="0"/>
        <w:ind w:left="0"/>
        <w:jc w:val="both"/>
      </w:pPr>
      <w:r>
        <w:rPr>
          <w:rFonts w:ascii="Times New Roman"/>
          <w:b w:val="false"/>
          <w:i w:val="false"/>
          <w:color w:val="000000"/>
          <w:sz w:val="28"/>
        </w:rPr>
        <w:t>
      Также будет создана стройная сеть семеноводческих хозяйств.</w:t>
      </w:r>
    </w:p>
    <w:p>
      <w:pPr>
        <w:spacing w:after="0"/>
        <w:ind w:left="0"/>
        <w:jc w:val="both"/>
      </w:pPr>
      <w:r>
        <w:rPr>
          <w:rFonts w:ascii="Times New Roman"/>
          <w:b w:val="false"/>
          <w:i w:val="false"/>
          <w:color w:val="000000"/>
          <w:sz w:val="28"/>
        </w:rPr>
        <w:t>
      Будет внедрена информационная система прослеживаемости в растениеводстве (ИСР), которая будет в себе содержать цифровизацию и автоматизацию семеноводства, выращивания, хранения, учета и реализации сельскохозяйственных культур, а также обеспечит контроль и безопасность перемещаемой продукции, с исключением "серых" схем, как внутри государства, так и в рамках импорта продукции.</w:t>
      </w:r>
    </w:p>
    <w:p>
      <w:pPr>
        <w:spacing w:after="0"/>
        <w:ind w:left="0"/>
        <w:jc w:val="both"/>
      </w:pPr>
      <w:r>
        <w:rPr>
          <w:rFonts w:ascii="Times New Roman"/>
          <w:b w:val="false"/>
          <w:i w:val="false"/>
          <w:color w:val="000000"/>
          <w:sz w:val="28"/>
        </w:rPr>
        <w:t>
      За счет выделения средств на материально-техническое оснащение будет модернизирована до международного уровня и укомплектована современным ДНК-оборудованием сортоиспытательная сеть, что позволит за счет повышения эффективности и качества государственного сортоиспытания внедрять в сельскохозяйственное производство высокопродуктивные сорта.</w:t>
      </w:r>
    </w:p>
    <w:bookmarkStart w:name="z566" w:id="443"/>
    <w:p>
      <w:pPr>
        <w:spacing w:after="0"/>
        <w:ind w:left="0"/>
        <w:jc w:val="both"/>
      </w:pPr>
      <w:r>
        <w:rPr>
          <w:rFonts w:ascii="Times New Roman"/>
          <w:b w:val="false"/>
          <w:i w:val="false"/>
          <w:color w:val="000000"/>
          <w:sz w:val="28"/>
        </w:rPr>
        <w:t>
      На это также будет нацелен ныне реализуемый проект по производству поливной техники.</w:t>
      </w:r>
    </w:p>
    <w:bookmarkEnd w:id="443"/>
    <w:bookmarkStart w:name="z568" w:id="444"/>
    <w:p>
      <w:pPr>
        <w:spacing w:after="0"/>
        <w:ind w:left="0"/>
        <w:jc w:val="both"/>
      </w:pPr>
      <w:r>
        <w:rPr>
          <w:rFonts w:ascii="Times New Roman"/>
          <w:b w:val="false"/>
          <w:i w:val="false"/>
          <w:color w:val="000000"/>
          <w:sz w:val="28"/>
        </w:rPr>
        <w:t>
      Будет обеспечен единый подход при субсидировании приобретения сельхозтехники с установлением единых стоимостных лимитов в отношении всех категорий сельхозтехники</w:t>
      </w:r>
    </w:p>
    <w:bookmarkEnd w:id="444"/>
    <w:bookmarkStart w:name="z569" w:id="445"/>
    <w:p>
      <w:pPr>
        <w:spacing w:after="0"/>
        <w:ind w:left="0"/>
        <w:jc w:val="both"/>
      </w:pPr>
      <w:r>
        <w:rPr>
          <w:rFonts w:ascii="Times New Roman"/>
          <w:b w:val="false"/>
          <w:i w:val="false"/>
          <w:color w:val="000000"/>
          <w:sz w:val="28"/>
        </w:rPr>
        <w:t>
      Пересмотр и актуализация лимитов предельной стоимости в рамках инвестсубсидий сделают их более доступными для большего круга получателей, в том числе небольших хозяйств.</w:t>
      </w:r>
    </w:p>
    <w:bookmarkEnd w:id="445"/>
    <w:bookmarkStart w:name="z570" w:id="446"/>
    <w:p>
      <w:pPr>
        <w:spacing w:after="0"/>
        <w:ind w:left="0"/>
        <w:jc w:val="both"/>
      </w:pPr>
      <w:r>
        <w:rPr>
          <w:rFonts w:ascii="Times New Roman"/>
          <w:b w:val="false"/>
          <w:i w:val="false"/>
          <w:color w:val="000000"/>
          <w:sz w:val="28"/>
        </w:rPr>
        <w:t>
      Переход к органическому земледелию будет достигаться в основном за счет внедрения в производство "зеленой" технологии, применения органических удобрений и биологических методов защиты растений.</w:t>
      </w:r>
    </w:p>
    <w:bookmarkEnd w:id="446"/>
    <w:bookmarkStart w:name="z571" w:id="447"/>
    <w:p>
      <w:pPr>
        <w:spacing w:after="0"/>
        <w:ind w:left="0"/>
        <w:jc w:val="both"/>
      </w:pPr>
      <w:r>
        <w:rPr>
          <w:rFonts w:ascii="Times New Roman"/>
          <w:b w:val="false"/>
          <w:i w:val="false"/>
          <w:color w:val="000000"/>
          <w:sz w:val="28"/>
        </w:rPr>
        <w:t>
      Будет утверждена Дорожная карта по развитию органического сельского хозяйства. Пилотная программа по поддержке экологически чистого сельского хозяйства, ориентированного на экспорт, реализуется в Алматинской и Жамбылской областях.</w:t>
      </w:r>
    </w:p>
    <w:bookmarkEnd w:id="447"/>
    <w:bookmarkStart w:name="z572" w:id="4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Фитосанитарная безопасность будет обеспечена за счет реструктуризации систем мониторинга, прогноза, организации и проведения полевых мероприятий фитосанитарной обработки, реформирования структуры службы, а также контроля и оценки фитосанитарной ситуации, повышения компетенции государственных органов инспекторов и участников АПК в области пищевой и фитосанитарной безопасности, карантина и защиты растений.</w:t>
      </w:r>
    </w:p>
    <w:bookmarkEnd w:id="448"/>
    <w:bookmarkStart w:name="z577" w:id="449"/>
    <w:p>
      <w:pPr>
        <w:spacing w:after="0"/>
        <w:ind w:left="0"/>
        <w:jc w:val="both"/>
      </w:pPr>
      <w:r>
        <w:rPr>
          <w:rFonts w:ascii="Times New Roman"/>
          <w:b w:val="false"/>
          <w:i w:val="false"/>
          <w:color w:val="000000"/>
          <w:sz w:val="28"/>
        </w:rPr>
        <w:t>
      В целях исключения рисков, связанных с несвоевременным проведением обработок против саранчовых вредителей, предотвращения потерь, связанных с их распространением, будут осуществлен перевод услуг по проведению обработок против саранчи в государственную монополию, а также приняты меры по дооснащению РГП "Фитосанитария" необходимыми материальными и техническими средствами, предусмотрена компетенция Министерства сельского хозяйства на определение перечня вредных и особо опасных вредных организмов, борьба с которыми будет осуществляться за счет бюджетных средств.</w:t>
      </w:r>
    </w:p>
    <w:bookmarkEnd w:id="449"/>
    <w:bookmarkStart w:name="z579" w:id="450"/>
    <w:p>
      <w:pPr>
        <w:spacing w:after="0"/>
        <w:ind w:left="0"/>
        <w:jc w:val="both"/>
      </w:pPr>
      <w:r>
        <w:rPr>
          <w:rFonts w:ascii="Times New Roman"/>
          <w:b w:val="false"/>
          <w:i w:val="false"/>
          <w:color w:val="000000"/>
          <w:sz w:val="28"/>
        </w:rPr>
        <w:t>
      В целях пресечения оборота фальсифицированных и незарегистрированных пестицидов на территории страны будут приняты меры по регламентации порядка изъятия и уничтожения таких пестицидов, а также усиления ответственности физических и юридических лиц.</w:t>
      </w:r>
    </w:p>
    <w:bookmarkEnd w:id="450"/>
    <w:bookmarkStart w:name="z580" w:id="451"/>
    <w:p>
      <w:pPr>
        <w:spacing w:after="0"/>
        <w:ind w:left="0"/>
        <w:jc w:val="both"/>
      </w:pPr>
      <w:r>
        <w:rPr>
          <w:rFonts w:ascii="Times New Roman"/>
          <w:b w:val="false"/>
          <w:i w:val="false"/>
          <w:color w:val="000000"/>
          <w:sz w:val="28"/>
        </w:rPr>
        <w:t>
      В целях создания условий для отечественного агропромышленного комплекса будут разработаны детальные дорожные карты по развитию отдельных направлений растениеводства, в т.ч. направленные на решение проблем низкого уровня диверсификации, отсталости селекционной работы и системы семеноводства, необеспеченности семенами отечественной селекции, ухудшения плодородия почвы, применения водосберегающих технологий на орошении, технической и технологической оснащенности отрасли и т.д.</w:t>
      </w:r>
    </w:p>
    <w:bookmarkEnd w:id="451"/>
    <w:bookmarkStart w:name="z581" w:id="452"/>
    <w:p>
      <w:pPr>
        <w:spacing w:after="0"/>
        <w:ind w:left="0"/>
        <w:jc w:val="both"/>
      </w:pPr>
      <w:r>
        <w:rPr>
          <w:rFonts w:ascii="Times New Roman"/>
          <w:b w:val="false"/>
          <w:i w:val="false"/>
          <w:color w:val="000000"/>
          <w:sz w:val="28"/>
        </w:rPr>
        <w:t>
      Планы по диверсификации с учетом региональной специфики и потребностей рынка будут доводиться до местных исполнительных органов, которые в свою очередь должны принять все необходимые меры по исполнению данных планов.</w:t>
      </w:r>
    </w:p>
    <w:bookmarkEnd w:id="452"/>
    <w:p>
      <w:pPr>
        <w:spacing w:after="0"/>
        <w:ind w:left="0"/>
        <w:jc w:val="both"/>
      </w:pPr>
      <w:r>
        <w:rPr>
          <w:rFonts w:ascii="Times New Roman"/>
          <w:b w:val="false"/>
          <w:i w:val="false"/>
          <w:color w:val="000000"/>
          <w:sz w:val="28"/>
        </w:rPr>
        <w:t>
      Принятые меры по диверсификации в совокупности с мерами по увеличению объемов государственной поддержки, внедрению современных технологий в отрасли создадут предпосылки для роста объемов производства, повышения урожайности и качества производимой растениеводческой продукции, загрузки производственных мощностей предприятий по переработке сельскохозяйственной продукции, обеспечения их отечественным сырьем и укрепления кормовой базы животноводства.</w:t>
      </w:r>
    </w:p>
    <w:p>
      <w:pPr>
        <w:spacing w:after="0"/>
        <w:ind w:left="0"/>
        <w:jc w:val="both"/>
      </w:pPr>
      <w:r>
        <w:rPr>
          <w:rFonts w:ascii="Times New Roman"/>
          <w:b w:val="false"/>
          <w:i w:val="false"/>
          <w:color w:val="000000"/>
          <w:sz w:val="28"/>
        </w:rPr>
        <w:t>
      В целях соблюдения научно обоснованных севооборотов будут реализованы технические возможности и предусмотрены обязательства по подтверждению сведений с полей с помощью космического мониторинга.</w:t>
      </w:r>
    </w:p>
    <w:p>
      <w:pPr>
        <w:spacing w:after="0"/>
        <w:ind w:left="0"/>
        <w:jc w:val="both"/>
      </w:pPr>
      <w:r>
        <w:rPr>
          <w:rFonts w:ascii="Times New Roman"/>
          <w:b w:val="false"/>
          <w:i w:val="false"/>
          <w:color w:val="000000"/>
          <w:sz w:val="28"/>
        </w:rPr>
        <w:t>
      Обеспечение реализации обновленной стратегии акционерного общества "Национальная компания "Продовольственная контрактная корпорация", предусматривающей в том числе мандат по содействию частному рынку в создании полноценной сети производства, хранения и реализации сельскохозяйственной продукции, а также осуществление интервенции для сдерживания роста цен.</w:t>
      </w:r>
    </w:p>
    <w:p>
      <w:pPr>
        <w:spacing w:after="0"/>
        <w:ind w:left="0"/>
        <w:jc w:val="both"/>
      </w:pPr>
      <w:r>
        <w:rPr>
          <w:rFonts w:ascii="Times New Roman"/>
          <w:b w:val="false"/>
          <w:i w:val="false"/>
          <w:color w:val="000000"/>
          <w:sz w:val="28"/>
        </w:rPr>
        <w:t>
      В рамках содействия частному рынку в создании полноценной сети производства, хранения и сбыта сельскохозяйственной продукции планируется внедрить трехсторонний форвардный закуп сырья (семена подсолнечника, рис и гречиха) между акционерным обществом "Национальная компания "Продовольственная контрактная корпорация"", сельхозтоваропроизводителем и перерабатывающим предприятием с обязательным условием по фиксированию цен на сырье и готовую продукцию.</w:t>
      </w:r>
    </w:p>
    <w:p>
      <w:pPr>
        <w:spacing w:after="0"/>
        <w:ind w:left="0"/>
        <w:jc w:val="both"/>
      </w:pPr>
      <w:r>
        <w:rPr>
          <w:rFonts w:ascii="Times New Roman"/>
          <w:b w:val="false"/>
          <w:i w:val="false"/>
          <w:color w:val="000000"/>
          <w:sz w:val="28"/>
        </w:rPr>
        <w:t>
      В данной схеме будет раскрыт потенциал перерабатывающих предприятий путем их загрузки доступным сырьем (гречиха, подсолнечник, рис).</w:t>
      </w:r>
    </w:p>
    <w:p>
      <w:pPr>
        <w:spacing w:after="0"/>
        <w:ind w:left="0"/>
        <w:jc w:val="both"/>
      </w:pPr>
      <w:r>
        <w:rPr>
          <w:rFonts w:ascii="Times New Roman"/>
          <w:b w:val="false"/>
          <w:i w:val="false"/>
          <w:color w:val="000000"/>
          <w:sz w:val="28"/>
        </w:rPr>
        <w:t>
      В целях сдерживания роста цен на продовольствие акционерное общество "Национальная компания "Продовольственная контрактная корпорация" будет использовать товарные интервенции через реализацию удешевленного зерна мукомольным предприятиям, животноводческим и птицеводческим хозяйствам в годы неурожая и сезонного роста цен.</w:t>
      </w:r>
    </w:p>
    <w:bookmarkStart w:name="z582" w:id="4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 </w:t>
      </w:r>
      <w:r>
        <w:rPr>
          <w:rFonts w:ascii="Times New Roman"/>
          <w:b w:val="false"/>
          <w:i/>
          <w:color w:val="000000"/>
          <w:sz w:val="28"/>
        </w:rPr>
        <w:t>Животноводство</w:t>
      </w:r>
    </w:p>
    <w:bookmarkEnd w:id="453"/>
    <w:bookmarkStart w:name="z583" w:id="454"/>
    <w:p>
      <w:pPr>
        <w:spacing w:after="0"/>
        <w:ind w:left="0"/>
        <w:jc w:val="both"/>
      </w:pPr>
      <w:r>
        <w:rPr>
          <w:rFonts w:ascii="Times New Roman"/>
          <w:b w:val="false"/>
          <w:i w:val="false"/>
          <w:color w:val="000000"/>
          <w:sz w:val="28"/>
        </w:rPr>
        <w:t xml:space="preserve">
      Повышение удельного веса кормовых культур в севообороте будет достигаться в рамках мероприятий по диверсификации растениеводства. </w:t>
      </w:r>
    </w:p>
    <w:bookmarkEnd w:id="454"/>
    <w:bookmarkStart w:name="z584" w:id="455"/>
    <w:p>
      <w:pPr>
        <w:spacing w:after="0"/>
        <w:ind w:left="0"/>
        <w:jc w:val="both"/>
      </w:pPr>
      <w:r>
        <w:rPr>
          <w:rFonts w:ascii="Times New Roman"/>
          <w:b w:val="false"/>
          <w:i w:val="false"/>
          <w:color w:val="000000"/>
          <w:sz w:val="28"/>
        </w:rPr>
        <w:t>
      Для совершенствования селекционно-племенной работы будет широко внедряться в производство методика ДНК-анализа и геномной оценки животных.</w:t>
      </w:r>
    </w:p>
    <w:bookmarkEnd w:id="455"/>
    <w:bookmarkStart w:name="z585" w:id="456"/>
    <w:p>
      <w:pPr>
        <w:spacing w:after="0"/>
        <w:ind w:left="0"/>
        <w:jc w:val="both"/>
      </w:pPr>
      <w:r>
        <w:rPr>
          <w:rFonts w:ascii="Times New Roman"/>
          <w:b w:val="false"/>
          <w:i w:val="false"/>
          <w:color w:val="000000"/>
          <w:sz w:val="28"/>
        </w:rPr>
        <w:t>
      Системные меры будут приняты по ускоренному развитию мясного скотоводства с использованием опыта развитых стран и привлечением в этот процесс стратегической транснациональной компании.</w:t>
      </w:r>
    </w:p>
    <w:bookmarkEnd w:id="456"/>
    <w:bookmarkStart w:name="z586" w:id="457"/>
    <w:p>
      <w:pPr>
        <w:spacing w:after="0"/>
        <w:ind w:left="0"/>
        <w:jc w:val="both"/>
      </w:pPr>
      <w:r>
        <w:rPr>
          <w:rFonts w:ascii="Times New Roman"/>
          <w:b w:val="false"/>
          <w:i w:val="false"/>
          <w:color w:val="000000"/>
          <w:sz w:val="28"/>
        </w:rPr>
        <w:t xml:space="preserve">
      Для обеспечения устойчивого развития животноводства, а также в целях повышения эффективности использования природных ресурсов, снижения воздействия на экологию будет постепенно увеличиваться доля государственных расходов на поддержку инвестиций, ориентированных на сохранение водных и биоресурсов. </w:t>
      </w:r>
    </w:p>
    <w:bookmarkEnd w:id="457"/>
    <w:bookmarkStart w:name="z587" w:id="458"/>
    <w:p>
      <w:pPr>
        <w:spacing w:after="0"/>
        <w:ind w:left="0"/>
        <w:jc w:val="both"/>
      </w:pPr>
      <w:r>
        <w:rPr>
          <w:rFonts w:ascii="Times New Roman"/>
          <w:b w:val="false"/>
          <w:i w:val="false"/>
          <w:color w:val="000000"/>
          <w:sz w:val="28"/>
        </w:rPr>
        <w:t>
      Будет проводиться масштабная программа обучения фермеров и оказана консультационная поддержка для внедрения лучших мировых практик и технологий ведения хозяйства по содержанию и уходу за животными, эффективному кормлению и заготовке кормов, современным методам селекции и искусственного осеменения, улучшению качества и безопасности продукции, устойчивому управлению пастбищами и другим востребованным практикам.</w:t>
      </w:r>
    </w:p>
    <w:bookmarkEnd w:id="458"/>
    <w:bookmarkStart w:name="z588" w:id="459"/>
    <w:p>
      <w:pPr>
        <w:spacing w:after="0"/>
        <w:ind w:left="0"/>
        <w:jc w:val="both"/>
      </w:pPr>
      <w:r>
        <w:rPr>
          <w:rFonts w:ascii="Times New Roman"/>
          <w:b w:val="false"/>
          <w:i w:val="false"/>
          <w:color w:val="000000"/>
          <w:sz w:val="28"/>
        </w:rPr>
        <w:t>
      Восстановление деградированных пастбищ будет осуществляться за счет их коренного и поверхностного улучшения, улучшения практик выпаса скота и вовлечения в оборот неиспользуемых пастбищных угодий за счет их обводнения путем дальнейшего совершенствования существующих мер государственного стимулирования и применения новых подходов, позволяющих повысить эффективность этих мероприятий.</w:t>
      </w:r>
    </w:p>
    <w:bookmarkEnd w:id="459"/>
    <w:bookmarkStart w:name="z589" w:id="460"/>
    <w:p>
      <w:pPr>
        <w:spacing w:after="0"/>
        <w:ind w:left="0"/>
        <w:jc w:val="both"/>
      </w:pPr>
      <w:r>
        <w:rPr>
          <w:rFonts w:ascii="Times New Roman"/>
          <w:b w:val="false"/>
          <w:i w:val="false"/>
          <w:color w:val="000000"/>
          <w:sz w:val="28"/>
        </w:rPr>
        <w:t>
      С целью снятия существующих барьеров для развития экспорта животноводческой продукции с одной стороны будет усилена государственная протекция, а с другой, максимально использованы возможности стратегической транснациональной компании, изъявившей желание инвестировать средства в мясную отрасль.</w:t>
      </w:r>
    </w:p>
    <w:bookmarkEnd w:id="460"/>
    <w:bookmarkStart w:name="z590" w:id="461"/>
    <w:p>
      <w:pPr>
        <w:spacing w:after="0"/>
        <w:ind w:left="0"/>
        <w:jc w:val="both"/>
      </w:pPr>
      <w:r>
        <w:rPr>
          <w:rFonts w:ascii="Times New Roman"/>
          <w:b w:val="false"/>
          <w:i w:val="false"/>
          <w:color w:val="000000"/>
          <w:sz w:val="28"/>
        </w:rPr>
        <w:t>
      Продолжится начатая работа по развитию сети молочно-товарных ферм и мощностей по производству мяса птицы с целью снижения импортозависимости.</w:t>
      </w:r>
    </w:p>
    <w:bookmarkEnd w:id="461"/>
    <w:p>
      <w:pPr>
        <w:spacing w:after="0"/>
        <w:ind w:left="0"/>
        <w:jc w:val="both"/>
      </w:pPr>
      <w:bookmarkStart w:name="z591" w:id="462"/>
      <w:r>
        <w:rPr>
          <w:rFonts w:ascii="Times New Roman"/>
          <w:b w:val="false"/>
          <w:i w:val="false"/>
          <w:color w:val="000000"/>
          <w:sz w:val="28"/>
        </w:rPr>
        <w:t xml:space="preserve">
      В области ветеринарии будет проведена реформа системы ветеринарии. </w:t>
      </w:r>
    </w:p>
    <w:bookmarkEnd w:id="462"/>
    <w:p>
      <w:pPr>
        <w:spacing w:after="0"/>
        <w:ind w:left="0"/>
        <w:jc w:val="both"/>
      </w:pPr>
      <w:r>
        <w:rPr>
          <w:rFonts w:ascii="Times New Roman"/>
          <w:b w:val="false"/>
          <w:i w:val="false"/>
          <w:color w:val="000000"/>
          <w:sz w:val="28"/>
        </w:rPr>
        <w:t>В частности, создание условий для развития рынка частных ветеринарных услуг. Также планируется разграничение полномочии между уровнями государственного управления (центр, регион). Более того будет повышена ответственность ветеринарных врачей и увеличена заработная плата ветеринарных врачей, а также подготовка кадров.</w:t>
      </w:r>
    </w:p>
    <w:bookmarkStart w:name="z592" w:id="463"/>
    <w:p>
      <w:pPr>
        <w:spacing w:after="0"/>
        <w:ind w:left="0"/>
        <w:jc w:val="both"/>
      </w:pPr>
      <w:r>
        <w:rPr>
          <w:rFonts w:ascii="Times New Roman"/>
          <w:b w:val="false"/>
          <w:i w:val="false"/>
          <w:color w:val="000000"/>
          <w:sz w:val="28"/>
        </w:rPr>
        <w:t xml:space="preserve">
      Будет проводиться цифровизация процессов, автоматизация сбора и передачи данных в сфере ветеринарии. </w:t>
      </w:r>
    </w:p>
    <w:bookmarkEnd w:id="463"/>
    <w:bookmarkStart w:name="z593" w:id="464"/>
    <w:p>
      <w:pPr>
        <w:spacing w:after="0"/>
        <w:ind w:left="0"/>
        <w:jc w:val="both"/>
      </w:pPr>
      <w:r>
        <w:rPr>
          <w:rFonts w:ascii="Times New Roman"/>
          <w:b w:val="false"/>
          <w:i w:val="false"/>
          <w:color w:val="000000"/>
          <w:sz w:val="28"/>
        </w:rPr>
        <w:t>
      В целях создания условий для развития отечественного животноводства будут разработаны детальные дорожные карты по развитию мясного и молочного животноводства, овцеводства, птицеводства, а также других направлений животноводства, включающие в себя меры, направленные на решение проблем прочной кормовой базы, породного преобразования и т.д.</w:t>
      </w:r>
    </w:p>
    <w:bookmarkEnd w:id="464"/>
    <w:bookmarkStart w:name="z594" w:id="465"/>
    <w:p>
      <w:pPr>
        <w:spacing w:after="0"/>
        <w:ind w:left="0"/>
        <w:jc w:val="both"/>
      </w:pPr>
      <w:r>
        <w:rPr>
          <w:rFonts w:ascii="Times New Roman"/>
          <w:b w:val="false"/>
          <w:i w:val="false"/>
          <w:color w:val="000000"/>
          <w:sz w:val="28"/>
        </w:rPr>
        <w:t xml:space="preserve">
      </w:t>
      </w:r>
      <w:r>
        <w:rPr>
          <w:rFonts w:ascii="Times New Roman"/>
          <w:b w:val="false"/>
          <w:i/>
          <w:color w:val="000000"/>
          <w:sz w:val="28"/>
        </w:rPr>
        <w:t>5.3. Переработка сельскохозяйственной продукции</w:t>
      </w:r>
      <w:r>
        <w:rPr>
          <w:rFonts w:ascii="Times New Roman"/>
          <w:b w:val="false"/>
          <w:i w:val="false"/>
          <w:color w:val="000000"/>
          <w:sz w:val="28"/>
        </w:rPr>
        <w:t xml:space="preserve"> </w:t>
      </w:r>
    </w:p>
    <w:bookmarkEnd w:id="465"/>
    <w:p>
      <w:pPr>
        <w:spacing w:after="0"/>
        <w:ind w:left="0"/>
        <w:jc w:val="both"/>
      </w:pPr>
      <w:r>
        <w:rPr>
          <w:rFonts w:ascii="Times New Roman"/>
          <w:b w:val="false"/>
          <w:i w:val="false"/>
          <w:color w:val="000000"/>
          <w:sz w:val="28"/>
        </w:rPr>
        <w:t>
      Приоритетными и перспективными направлениями по глубокой переработке станут мясо, молоко и зерно.</w:t>
      </w:r>
    </w:p>
    <w:p>
      <w:pPr>
        <w:spacing w:after="0"/>
        <w:ind w:left="0"/>
        <w:jc w:val="both"/>
      </w:pPr>
      <w:r>
        <w:rPr>
          <w:rFonts w:ascii="Times New Roman"/>
          <w:b w:val="false"/>
          <w:i w:val="false"/>
          <w:color w:val="000000"/>
          <w:sz w:val="28"/>
        </w:rPr>
        <w:t>
      В целях обеспечения перерабатывающих предприятий качественным и доступным сырьем будет расширен перечень сельскохозяйственной продукции, при сдаче которой фермерам выплачиваются субсидии.</w:t>
      </w:r>
    </w:p>
    <w:p>
      <w:pPr>
        <w:spacing w:after="0"/>
        <w:ind w:left="0"/>
        <w:jc w:val="both"/>
      </w:pPr>
      <w:r>
        <w:rPr>
          <w:rFonts w:ascii="Times New Roman"/>
          <w:b w:val="false"/>
          <w:i w:val="false"/>
          <w:color w:val="000000"/>
          <w:sz w:val="28"/>
        </w:rPr>
        <w:t>
      Для обеспечения перерабатывающих предприятий доступными кредитными ресурсами для закупа сырья будет предусмотрено отдельное направление для перерабатывающих предприятий.</w:t>
      </w:r>
    </w:p>
    <w:p>
      <w:pPr>
        <w:spacing w:after="0"/>
        <w:ind w:left="0"/>
        <w:jc w:val="both"/>
      </w:pPr>
      <w:r>
        <w:rPr>
          <w:rFonts w:ascii="Times New Roman"/>
          <w:b w:val="false"/>
          <w:i w:val="false"/>
          <w:color w:val="000000"/>
          <w:sz w:val="28"/>
        </w:rPr>
        <w:t>
      Для развития перерабатывающих производств по приоритетным направлениям будут выделены льготные кредитные ресурсы.</w:t>
      </w:r>
    </w:p>
    <w:p>
      <w:pPr>
        <w:spacing w:after="0"/>
        <w:ind w:left="0"/>
        <w:jc w:val="both"/>
      </w:pPr>
      <w:r>
        <w:rPr>
          <w:rFonts w:ascii="Times New Roman"/>
          <w:b w:val="false"/>
          <w:i w:val="false"/>
          <w:color w:val="000000"/>
          <w:sz w:val="28"/>
        </w:rPr>
        <w:t>
      Будет продолжено субсидирование инвестиционных затрат, ставки вознаграждения по кредитам и лизингу для предприятий переработки, стоимости отдельных видов закупаемого на переработку сельскохозяйственного сырья, в том числе для производства продуктов глубокой переработки.</w:t>
      </w:r>
    </w:p>
    <w:p>
      <w:pPr>
        <w:spacing w:after="0"/>
        <w:ind w:left="0"/>
        <w:jc w:val="both"/>
      </w:pPr>
      <w:r>
        <w:rPr>
          <w:rFonts w:ascii="Times New Roman"/>
          <w:b w:val="false"/>
          <w:i w:val="false"/>
          <w:color w:val="000000"/>
          <w:sz w:val="28"/>
        </w:rPr>
        <w:t xml:space="preserve">
      Будет расширен перечень направлений, финансируемых в рамках инвестиционного субсидирования. </w:t>
      </w:r>
    </w:p>
    <w:p>
      <w:pPr>
        <w:spacing w:after="0"/>
        <w:ind w:left="0"/>
        <w:jc w:val="both"/>
      </w:pPr>
      <w:r>
        <w:rPr>
          <w:rFonts w:ascii="Times New Roman"/>
          <w:b w:val="false"/>
          <w:i w:val="false"/>
          <w:color w:val="000000"/>
          <w:sz w:val="28"/>
        </w:rPr>
        <w:t xml:space="preserve">
      Для перехода на стимулирование производства продуктов более глубокой переработки сельскохозяйственной продукции будет разработан новый паспорт инвестиционного субсидирования на производство продуктов высокого передела с повышенным нормативом субсидирования. </w:t>
      </w:r>
    </w:p>
    <w:p>
      <w:pPr>
        <w:spacing w:after="0"/>
        <w:ind w:left="0"/>
        <w:jc w:val="both"/>
      </w:pPr>
      <w:r>
        <w:rPr>
          <w:rFonts w:ascii="Times New Roman"/>
          <w:b w:val="false"/>
          <w:i w:val="false"/>
          <w:color w:val="000000"/>
          <w:sz w:val="28"/>
        </w:rPr>
        <w:t>
      Для обеспечения рынка сбыта на внешних рынках будет продолжена активная работа по открытию новых рынков сбыта, расширению номенклатуры экспортируемых товаров в уже открытых странах.</w:t>
      </w:r>
    </w:p>
    <w:bookmarkStart w:name="z598" w:id="4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5.4. </w:t>
      </w:r>
      <w:r>
        <w:rPr>
          <w:rFonts w:ascii="Times New Roman"/>
          <w:b w:val="false"/>
          <w:i/>
          <w:color w:val="000000"/>
          <w:sz w:val="28"/>
        </w:rPr>
        <w:t>Развитие рынков</w:t>
      </w:r>
    </w:p>
    <w:bookmarkEnd w:id="466"/>
    <w:bookmarkStart w:name="z599" w:id="467"/>
    <w:p>
      <w:pPr>
        <w:spacing w:after="0"/>
        <w:ind w:left="0"/>
        <w:jc w:val="both"/>
      </w:pPr>
      <w:r>
        <w:rPr>
          <w:rFonts w:ascii="Times New Roman"/>
          <w:b w:val="false"/>
          <w:i w:val="false"/>
          <w:color w:val="000000"/>
          <w:sz w:val="28"/>
        </w:rPr>
        <w:t xml:space="preserve">
      За счет строительства оптово-распределительных центров (ОРЦ) и овощехранилищ будет обеспечено развитие инфраструктуры хранения и распределения продовольствия. В целом в рамках национальной товаропроводящей системы планируется создание сети ОРЦ с применением механизма государственно-частного партнерства. </w:t>
      </w:r>
    </w:p>
    <w:bookmarkEnd w:id="467"/>
    <w:bookmarkStart w:name="z600" w:id="468"/>
    <w:p>
      <w:pPr>
        <w:spacing w:after="0"/>
        <w:ind w:left="0"/>
        <w:jc w:val="both"/>
      </w:pPr>
      <w:r>
        <w:rPr>
          <w:rFonts w:ascii="Times New Roman"/>
          <w:b w:val="false"/>
          <w:i w:val="false"/>
          <w:color w:val="000000"/>
          <w:sz w:val="28"/>
        </w:rPr>
        <w:t>
      Устранение торговых барьеров, согласование ветеринарных и фитосанитарных требований будут достигаться за счет активизации переговорных процессов с потенциальными импортерами, зарубежными партнерами, а также участия в работе международных организаций (ВТО, МЭБ, МКЗЗР, Комиссия Codex Alimentarius, FiBL и IFOAM).</w:t>
      </w:r>
    </w:p>
    <w:bookmarkEnd w:id="468"/>
    <w:bookmarkStart w:name="z601" w:id="469"/>
    <w:p>
      <w:pPr>
        <w:spacing w:after="0"/>
        <w:ind w:left="0"/>
        <w:jc w:val="both"/>
      </w:pPr>
      <w:r>
        <w:rPr>
          <w:rFonts w:ascii="Times New Roman"/>
          <w:b w:val="false"/>
          <w:i w:val="false"/>
          <w:color w:val="000000"/>
          <w:sz w:val="28"/>
        </w:rPr>
        <w:t>
      Будут продолжена работа по внедрению международных стандартов качества и сертификации.</w:t>
      </w:r>
    </w:p>
    <w:bookmarkEnd w:id="469"/>
    <w:bookmarkStart w:name="z602" w:id="4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 </w:t>
      </w:r>
      <w:r>
        <w:rPr>
          <w:rFonts w:ascii="Times New Roman"/>
          <w:b w:val="false"/>
          <w:i/>
          <w:color w:val="000000"/>
          <w:sz w:val="28"/>
        </w:rPr>
        <w:t xml:space="preserve">Техническое оснащение </w:t>
      </w:r>
    </w:p>
    <w:bookmarkEnd w:id="470"/>
    <w:bookmarkStart w:name="z603" w:id="471"/>
    <w:p>
      <w:pPr>
        <w:spacing w:after="0"/>
        <w:ind w:left="0"/>
        <w:jc w:val="both"/>
      </w:pPr>
      <w:r>
        <w:rPr>
          <w:rFonts w:ascii="Times New Roman"/>
          <w:b w:val="false"/>
          <w:i w:val="false"/>
          <w:color w:val="000000"/>
          <w:sz w:val="28"/>
        </w:rPr>
        <w:t>
      Ускорение темпов обновления технического парка сельского хозяйства будет осуществлено за счет совершенствования мер господдержки приобретения сельхозтехники, в том числе путем актуализации стоимостных лимитов субсидирования сельхозтехники в действующих паспортах программы инвестсубсидирования, увеличения доли локализации отечественного производства сельхозтехники, развития и расширения программ льготного кредитования техники отечественного производства.</w:t>
      </w:r>
    </w:p>
    <w:bookmarkEnd w:id="471"/>
    <w:bookmarkStart w:name="z604" w:id="472"/>
    <w:p>
      <w:pPr>
        <w:spacing w:after="0"/>
        <w:ind w:left="0"/>
        <w:jc w:val="both"/>
      </w:pPr>
      <w:r>
        <w:rPr>
          <w:rFonts w:ascii="Times New Roman"/>
          <w:b w:val="false"/>
          <w:i w:val="false"/>
          <w:color w:val="000000"/>
          <w:sz w:val="28"/>
        </w:rPr>
        <w:t>
      5.6. Сельскохозяйственная кооперация и инфраструктура АПК</w:t>
      </w:r>
    </w:p>
    <w:bookmarkEnd w:id="472"/>
    <w:bookmarkStart w:name="z605" w:id="473"/>
    <w:p>
      <w:pPr>
        <w:spacing w:after="0"/>
        <w:ind w:left="0"/>
        <w:jc w:val="both"/>
      </w:pPr>
      <w:r>
        <w:rPr>
          <w:rFonts w:ascii="Times New Roman"/>
          <w:b w:val="false"/>
          <w:i w:val="false"/>
          <w:color w:val="000000"/>
          <w:sz w:val="28"/>
        </w:rPr>
        <w:t>
      Ключевым инструментом повышения эффективности производства будут являться два механизма кооперации организованных хозяйств: горизонтальная кооперация и вертикальная (якорная) кооперация. ЛПХ могут участвовать в кооперации в качестве субъектов предпринимательства в формах ИП, КХ, ФХ.</w:t>
      </w:r>
    </w:p>
    <w:bookmarkEnd w:id="473"/>
    <w:bookmarkStart w:name="z606" w:id="474"/>
    <w:p>
      <w:pPr>
        <w:spacing w:after="0"/>
        <w:ind w:left="0"/>
        <w:jc w:val="both"/>
      </w:pPr>
      <w:r>
        <w:rPr>
          <w:rFonts w:ascii="Times New Roman"/>
          <w:b w:val="false"/>
          <w:i w:val="false"/>
          <w:color w:val="000000"/>
          <w:sz w:val="28"/>
        </w:rPr>
        <w:t>
      На развитие сельскохозяйственной кооперации в течение 7 лет будет направлен 1 трлн тенге на кредитование с охватом более 1 млн сельчан с учетом членов семьи, с вовлечением в кооперативное предпринимательство половины всех личных подсобных хозяйств и созданием более 350 тысяч рабочих мест, в том числе сезонных и временных. Стимулирование кооперации личных подсобных хозяйств будет проведено в том числе в рамках дальнейшей реализации программы "Ауыл аманаты". Также участникам программы будет обеспечен доступ к рынкам сбыта.</w:t>
      </w:r>
    </w:p>
    <w:bookmarkEnd w:id="474"/>
    <w:bookmarkStart w:name="z607" w:id="475"/>
    <w:p>
      <w:pPr>
        <w:spacing w:after="0"/>
        <w:ind w:left="0"/>
        <w:jc w:val="both"/>
      </w:pPr>
      <w:r>
        <w:rPr>
          <w:rFonts w:ascii="Times New Roman"/>
          <w:b w:val="false"/>
          <w:i w:val="false"/>
          <w:color w:val="000000"/>
          <w:sz w:val="28"/>
        </w:rPr>
        <w:t xml:space="preserve">
      В развитии кооперации важную роль будут играть центры развития кооперации, в функции которых будут входить социальная, экономическая, культурная поддержка кооперативов, в том числе их постоянная, полная поддержка и сопровождение. </w:t>
      </w:r>
    </w:p>
    <w:bookmarkEnd w:id="475"/>
    <w:p>
      <w:pPr>
        <w:spacing w:after="0"/>
        <w:ind w:left="0"/>
        <w:jc w:val="both"/>
      </w:pPr>
      <w:r>
        <w:rPr>
          <w:rFonts w:ascii="Times New Roman"/>
          <w:b w:val="false"/>
          <w:i w:val="false"/>
          <w:color w:val="000000"/>
          <w:sz w:val="28"/>
        </w:rPr>
        <w:t>
      При этом в зависимости от специализации региона СПК совместно с местным исполнительным органом будут разработаны типовые бизнес-планы для каждого сельского округа.</w:t>
      </w:r>
    </w:p>
    <w:bookmarkStart w:name="z608" w:id="4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5.7. </w:t>
      </w:r>
      <w:r>
        <w:rPr>
          <w:rFonts w:ascii="Times New Roman"/>
          <w:b w:val="false"/>
          <w:i/>
          <w:color w:val="000000"/>
          <w:sz w:val="28"/>
        </w:rPr>
        <w:t>Научное и кадровое обеспечение АПК</w:t>
      </w:r>
    </w:p>
    <w:bookmarkEnd w:id="476"/>
    <w:bookmarkStart w:name="z611" w:id="477"/>
    <w:p>
      <w:pPr>
        <w:spacing w:after="0"/>
        <w:ind w:left="0"/>
        <w:jc w:val="both"/>
      </w:pPr>
      <w:r>
        <w:rPr>
          <w:rFonts w:ascii="Times New Roman"/>
          <w:b w:val="false"/>
          <w:i w:val="false"/>
          <w:color w:val="000000"/>
          <w:sz w:val="28"/>
        </w:rPr>
        <w:t>
      Будет обеспечено достаточное ежегодное государственное финансирование аграрных научных исследований (не менее 1 % от ВП сельского хозяйства).</w:t>
      </w:r>
    </w:p>
    <w:bookmarkEnd w:id="477"/>
    <w:bookmarkStart w:name="z612" w:id="478"/>
    <w:p>
      <w:pPr>
        <w:spacing w:after="0"/>
        <w:ind w:left="0"/>
        <w:jc w:val="both"/>
      </w:pPr>
      <w:r>
        <w:rPr>
          <w:rFonts w:ascii="Times New Roman"/>
          <w:b w:val="false"/>
          <w:i w:val="false"/>
          <w:color w:val="000000"/>
          <w:sz w:val="28"/>
        </w:rPr>
        <w:t>
      Будет создана постоянно действующая, профессиональная система определения приоритетов и задач технологической модернизации АПК – ситуационный центр МСХ.</w:t>
      </w:r>
    </w:p>
    <w:bookmarkEnd w:id="478"/>
    <w:bookmarkStart w:name="z613" w:id="479"/>
    <w:p>
      <w:pPr>
        <w:spacing w:after="0"/>
        <w:ind w:left="0"/>
        <w:jc w:val="both"/>
      </w:pPr>
      <w:r>
        <w:rPr>
          <w:rFonts w:ascii="Times New Roman"/>
          <w:b w:val="false"/>
          <w:i w:val="false"/>
          <w:color w:val="000000"/>
          <w:sz w:val="28"/>
        </w:rPr>
        <w:t>
      Будет запущен центр технологических компетенций в АПК по сопровождению платформы "AgriTech".</w:t>
      </w:r>
    </w:p>
    <w:bookmarkEnd w:id="479"/>
    <w:bookmarkStart w:name="z614" w:id="480"/>
    <w:p>
      <w:pPr>
        <w:spacing w:after="0"/>
        <w:ind w:left="0"/>
        <w:jc w:val="both"/>
      </w:pPr>
      <w:r>
        <w:rPr>
          <w:rFonts w:ascii="Times New Roman"/>
          <w:b w:val="false"/>
          <w:i w:val="false"/>
          <w:color w:val="000000"/>
          <w:sz w:val="28"/>
        </w:rPr>
        <w:t>
      Будет развита система коммерциализации РННТД в АПК.</w:t>
      </w:r>
    </w:p>
    <w:bookmarkEnd w:id="480"/>
    <w:bookmarkStart w:name="z615" w:id="481"/>
    <w:p>
      <w:pPr>
        <w:spacing w:after="0"/>
        <w:ind w:left="0"/>
        <w:jc w:val="both"/>
      </w:pPr>
      <w:r>
        <w:rPr>
          <w:rFonts w:ascii="Times New Roman"/>
          <w:b w:val="false"/>
          <w:i w:val="false"/>
          <w:color w:val="000000"/>
          <w:sz w:val="28"/>
        </w:rPr>
        <w:t>
      Будет выстроена Национальная система распространения знаний с высоким охватом субъектов АПК.</w:t>
      </w:r>
    </w:p>
    <w:bookmarkEnd w:id="481"/>
    <w:bookmarkStart w:name="z616" w:id="482"/>
    <w:p>
      <w:pPr>
        <w:spacing w:after="0"/>
        <w:ind w:left="0"/>
        <w:jc w:val="both"/>
      </w:pPr>
      <w:r>
        <w:rPr>
          <w:rFonts w:ascii="Times New Roman"/>
          <w:b w:val="false"/>
          <w:i w:val="false"/>
          <w:color w:val="000000"/>
          <w:sz w:val="28"/>
        </w:rPr>
        <w:t>
      Будет осуществлена модернизация инфраструктуры ВУЗов, НИИ, СХОС и ОПХ.</w:t>
      </w:r>
    </w:p>
    <w:bookmarkEnd w:id="482"/>
    <w:bookmarkStart w:name="z617" w:id="483"/>
    <w:p>
      <w:pPr>
        <w:spacing w:after="0"/>
        <w:ind w:left="0"/>
        <w:jc w:val="both"/>
      </w:pPr>
      <w:r>
        <w:rPr>
          <w:rFonts w:ascii="Times New Roman"/>
          <w:b w:val="false"/>
          <w:i w:val="false"/>
          <w:color w:val="000000"/>
          <w:sz w:val="28"/>
        </w:rPr>
        <w:t>
      Будет разработана система стимулов для субъектов АПК, применяющих современные технологии.</w:t>
      </w:r>
    </w:p>
    <w:bookmarkEnd w:id="483"/>
    <w:bookmarkStart w:name="z618" w:id="484"/>
    <w:p>
      <w:pPr>
        <w:spacing w:after="0"/>
        <w:ind w:left="0"/>
        <w:jc w:val="both"/>
      </w:pPr>
      <w:r>
        <w:rPr>
          <w:rFonts w:ascii="Times New Roman"/>
          <w:b w:val="false"/>
          <w:i w:val="false"/>
          <w:color w:val="000000"/>
          <w:sz w:val="28"/>
        </w:rPr>
        <w:t>
      Будут модернизированы содержание и инфраструктура образовательных программ ВУЗов, в том числе в партнерстве с ведущими зарубежными университетами и агробизнесом.</w:t>
      </w:r>
    </w:p>
    <w:bookmarkEnd w:id="484"/>
    <w:bookmarkStart w:name="z619" w:id="485"/>
    <w:p>
      <w:pPr>
        <w:spacing w:after="0"/>
        <w:ind w:left="0"/>
        <w:jc w:val="both"/>
      </w:pPr>
      <w:r>
        <w:rPr>
          <w:rFonts w:ascii="Times New Roman"/>
          <w:b w:val="false"/>
          <w:i w:val="false"/>
          <w:color w:val="000000"/>
          <w:sz w:val="28"/>
        </w:rPr>
        <w:t>
      Стоимость государственного образовательного заказа на подготовку кадров по трем ступеням (бакалавриат, магистратура, докторантура) будет корректироваться на постоянной основе, исходя из фактических затрат на реализацию соответствующих программ.</w:t>
      </w:r>
    </w:p>
    <w:bookmarkEnd w:id="485"/>
    <w:bookmarkStart w:name="z620" w:id="486"/>
    <w:p>
      <w:pPr>
        <w:spacing w:after="0"/>
        <w:ind w:left="0"/>
        <w:jc w:val="both"/>
      </w:pPr>
      <w:r>
        <w:rPr>
          <w:rFonts w:ascii="Times New Roman"/>
          <w:b w:val="false"/>
          <w:i w:val="false"/>
          <w:color w:val="000000"/>
          <w:sz w:val="28"/>
        </w:rPr>
        <w:t xml:space="preserve">
      Для каждого колледжа будет разработана и реализована программа модернизации компетенций в сфере АПК. Образовательные программы колледжей и университетов будут синхронизированы, механизм передачи компетенций от университетов колледжам будет расширен. </w:t>
      </w:r>
    </w:p>
    <w:bookmarkEnd w:id="486"/>
    <w:p>
      <w:pPr>
        <w:spacing w:after="0"/>
        <w:ind w:left="0"/>
        <w:jc w:val="both"/>
      </w:pPr>
      <w:r>
        <w:rPr>
          <w:rFonts w:ascii="Times New Roman"/>
          <w:b w:val="false"/>
          <w:i w:val="false"/>
          <w:color w:val="000000"/>
          <w:sz w:val="28"/>
        </w:rPr>
        <w:t>
      Будет развита отечественная система первичного семеноводства.</w:t>
      </w:r>
    </w:p>
    <w:p>
      <w:pPr>
        <w:spacing w:after="0"/>
        <w:ind w:left="0"/>
        <w:jc w:val="both"/>
      </w:pPr>
      <w:r>
        <w:rPr>
          <w:rFonts w:ascii="Times New Roman"/>
          <w:b w:val="false"/>
          <w:i w:val="false"/>
          <w:color w:val="000000"/>
          <w:sz w:val="28"/>
        </w:rPr>
        <w:t>
      Национальный аграрный научно-образовательный центр будет трансформирован в вертикально-интегрированный агротехнологический хаб и утвержден его план развития.</w:t>
      </w:r>
    </w:p>
    <w:bookmarkStart w:name="z622" w:id="4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5.8. </w:t>
      </w:r>
      <w:r>
        <w:rPr>
          <w:rFonts w:ascii="Times New Roman"/>
          <w:b w:val="false"/>
          <w:i/>
          <w:color w:val="000000"/>
          <w:sz w:val="28"/>
        </w:rPr>
        <w:t>Земельные ресурсы</w:t>
      </w:r>
    </w:p>
    <w:bookmarkEnd w:id="487"/>
    <w:bookmarkStart w:name="z623" w:id="488"/>
    <w:p>
      <w:pPr>
        <w:spacing w:after="0"/>
        <w:ind w:left="0"/>
        <w:jc w:val="both"/>
      </w:pPr>
      <w:r>
        <w:rPr>
          <w:rFonts w:ascii="Times New Roman"/>
          <w:b w:val="false"/>
          <w:i w:val="false"/>
          <w:color w:val="000000"/>
          <w:sz w:val="28"/>
        </w:rPr>
        <w:t xml:space="preserve">
      Будет усовершенствовано земельное законодательство по упрощению процедур порядка предоставления земельных участков, минимизации взаимодействия получателей услуг с государственными служащими путем цифровизации услуг в сфере земельных отношений, доступность сведений о свободных земельных участках. </w:t>
      </w:r>
    </w:p>
    <w:bookmarkEnd w:id="488"/>
    <w:bookmarkStart w:name="z624" w:id="489"/>
    <w:p>
      <w:pPr>
        <w:spacing w:after="0"/>
        <w:ind w:left="0"/>
        <w:jc w:val="both"/>
      </w:pPr>
      <w:r>
        <w:rPr>
          <w:rFonts w:ascii="Times New Roman"/>
          <w:b w:val="false"/>
          <w:i w:val="false"/>
          <w:color w:val="000000"/>
          <w:sz w:val="28"/>
        </w:rPr>
        <w:t>
      За центральным уполномоченным органом будет закреплена функция по координации и руководству за деятельностью структур в сфере земельных отношений.</w:t>
      </w:r>
    </w:p>
    <w:bookmarkEnd w:id="489"/>
    <w:bookmarkStart w:name="z625" w:id="490"/>
    <w:p>
      <w:pPr>
        <w:spacing w:after="0"/>
        <w:ind w:left="0"/>
        <w:jc w:val="both"/>
      </w:pPr>
      <w:r>
        <w:rPr>
          <w:rFonts w:ascii="Times New Roman"/>
          <w:b w:val="false"/>
          <w:i w:val="false"/>
          <w:color w:val="000000"/>
          <w:sz w:val="28"/>
        </w:rPr>
        <w:t>
      С учетом международного опыта организации специализированных служб по анализу качественного состояния земельных ресурсов и эффективной системы управления земельными ресурсами предлагается создать в составе Министерства сельского хозяйства профильную кластерную почвенную службу в виде республиканского государственного предприятия на праве хозяйственного ведения путем передачи функций по почвенному и геоботаническому обследованию, мониторинга земель и определения бонитета почв с материально-технической базой.</w:t>
      </w:r>
    </w:p>
    <w:bookmarkEnd w:id="490"/>
    <w:bookmarkStart w:name="z626" w:id="491"/>
    <w:p>
      <w:pPr>
        <w:spacing w:after="0"/>
        <w:ind w:left="0"/>
        <w:jc w:val="both"/>
      </w:pPr>
      <w:r>
        <w:rPr>
          <w:rFonts w:ascii="Times New Roman"/>
          <w:b w:val="false"/>
          <w:i w:val="false"/>
          <w:color w:val="000000"/>
          <w:sz w:val="28"/>
        </w:rPr>
        <w:t>
      При этом с учетом внедрения методов дистанционного зондирования земли и оцифровки данных государственного земельного кадастра, используемых в геоинформационных системах государственных органов, будут внедрены современные методики анализа и борьба с опустыниванием и эрозией почвенного покрова.</w:t>
      </w:r>
    </w:p>
    <w:bookmarkEnd w:id="491"/>
    <w:bookmarkStart w:name="z627" w:id="492"/>
    <w:p>
      <w:pPr>
        <w:spacing w:after="0"/>
        <w:ind w:left="0"/>
        <w:jc w:val="both"/>
      </w:pPr>
      <w:r>
        <w:rPr>
          <w:rFonts w:ascii="Times New Roman"/>
          <w:b w:val="false"/>
          <w:i w:val="false"/>
          <w:color w:val="000000"/>
          <w:sz w:val="28"/>
        </w:rPr>
        <w:t>
      Будет проработана цифровизация мониторинга выполнения обязательств субъектами АПК по рациональному использованию сельхозземель.</w:t>
      </w:r>
    </w:p>
    <w:bookmarkEnd w:id="492"/>
    <w:bookmarkStart w:name="z628" w:id="493"/>
    <w:p>
      <w:pPr>
        <w:spacing w:after="0"/>
        <w:ind w:left="0"/>
        <w:jc w:val="both"/>
      </w:pPr>
      <w:r>
        <w:rPr>
          <w:rFonts w:ascii="Times New Roman"/>
          <w:b w:val="false"/>
          <w:i w:val="false"/>
          <w:color w:val="000000"/>
          <w:sz w:val="28"/>
        </w:rPr>
        <w:t xml:space="preserve">
      Для этого будет проводится мониторинг карты полей хозяйств с указанием схемы севооборотов. Такое обязательство фермеров позволит усилить их ответственность и соблюдать севообороты, кроме того загрузка в электронном формате позволит отслеживать чередование посевов сельхозкультур и диверсифицировать сельхозпроизводство с увеличением доли высокорентабельных и кормовых культур. </w:t>
      </w:r>
    </w:p>
    <w:bookmarkEnd w:id="493"/>
    <w:bookmarkStart w:name="z629" w:id="494"/>
    <w:p>
      <w:pPr>
        <w:spacing w:after="0"/>
        <w:ind w:left="0"/>
        <w:jc w:val="both"/>
      </w:pPr>
      <w:r>
        <w:rPr>
          <w:rFonts w:ascii="Times New Roman"/>
          <w:b w:val="false"/>
          <w:i w:val="false"/>
          <w:color w:val="000000"/>
          <w:sz w:val="28"/>
        </w:rPr>
        <w:t xml:space="preserve">
      </w:t>
      </w:r>
      <w:r>
        <w:rPr>
          <w:rFonts w:ascii="Times New Roman"/>
          <w:b w:val="false"/>
          <w:i/>
          <w:color w:val="000000"/>
          <w:sz w:val="28"/>
        </w:rPr>
        <w:t>5.9. Цифровизация АПК</w:t>
      </w:r>
      <w:r>
        <w:rPr>
          <w:rFonts w:ascii="Times New Roman"/>
          <w:b w:val="false"/>
          <w:i w:val="false"/>
          <w:color w:val="000000"/>
          <w:sz w:val="28"/>
        </w:rPr>
        <w:t xml:space="preserve"> </w:t>
      </w:r>
    </w:p>
    <w:bookmarkEnd w:id="494"/>
    <w:p>
      <w:pPr>
        <w:spacing w:after="0"/>
        <w:ind w:left="0"/>
        <w:jc w:val="both"/>
      </w:pPr>
      <w:r>
        <w:rPr>
          <w:rFonts w:ascii="Times New Roman"/>
          <w:b w:val="false"/>
          <w:i w:val="false"/>
          <w:color w:val="000000"/>
          <w:sz w:val="28"/>
        </w:rPr>
        <w:t xml:space="preserve">
      В целях выстраивания полной цепи прослеживаемости растениеводческой продукции будет реализован проект по разработке и внедрению системы паспортизации объектов производства растениеводства на базе новой информационной системы прослеживаемости в растениеводстве (ИСР), по примеру ИСЖ, которая будет в себе содержать цифровизацию и автоматизацию семеноводства, выращивания, хранения, учета и реализации сельскохозяйственных культур, а также обеспечит контроль и безопасность перемещаемой продукции, с исключением "серых" схем, как внутри государства, так и в рамках импорта продукции. На разработку и первый год технической поддержки информационной системы прослеживаемости в растениеводстве (ИСР) с приобретением планшетов для фитосанитарных инспекторов на постах будет заложено порядка 930 млн тенге. </w:t>
      </w:r>
    </w:p>
    <w:p>
      <w:pPr>
        <w:spacing w:after="0"/>
        <w:ind w:left="0"/>
        <w:jc w:val="both"/>
      </w:pPr>
      <w:r>
        <w:rPr>
          <w:rFonts w:ascii="Times New Roman"/>
          <w:b w:val="false"/>
          <w:i w:val="false"/>
          <w:color w:val="000000"/>
          <w:sz w:val="28"/>
        </w:rPr>
        <w:t>
      Кроме того, в целях упрощения перемещения продукции и прозрачности процессов проверок и досмотра подкарантинной и ветеринарной продукции в рамках информационной системы прослеживаемости в растениеводстве (ИСР) будет реализована система СУР – система управления рисками. Она позволит с помощью машинного обучения определять частоту и точность проверок и досмотра перемещаемой продукции.</w:t>
      </w:r>
    </w:p>
    <w:p>
      <w:pPr>
        <w:spacing w:after="0"/>
        <w:ind w:left="0"/>
        <w:jc w:val="both"/>
      </w:pPr>
      <w:r>
        <w:rPr>
          <w:rFonts w:ascii="Times New Roman"/>
          <w:b w:val="false"/>
          <w:i w:val="false"/>
          <w:color w:val="000000"/>
          <w:sz w:val="28"/>
        </w:rPr>
        <w:t>
      Будут продолжена работа по внедрению "точного" сельского хозяйства в животноводческом и растениеводческом направлениях и поставлена задача масштабирования проекта "цифровых" ферм во всех регионах страны.</w:t>
      </w:r>
    </w:p>
    <w:p>
      <w:pPr>
        <w:spacing w:after="0"/>
        <w:ind w:left="0"/>
        <w:jc w:val="both"/>
      </w:pPr>
      <w:r>
        <w:rPr>
          <w:rFonts w:ascii="Times New Roman"/>
          <w:b w:val="false"/>
          <w:i w:val="false"/>
          <w:color w:val="000000"/>
          <w:sz w:val="28"/>
        </w:rPr>
        <w:t>
      Автоматизация государственных услуг и процессов позволит получить субсидии и услуги в электронном формате. Будет создана единая государственная система субсидирования, на которой будут оказываться меры государственной поддержки на бесплатной основе.</w:t>
      </w:r>
    </w:p>
    <w:p>
      <w:pPr>
        <w:spacing w:after="0"/>
        <w:ind w:left="0"/>
        <w:jc w:val="both"/>
      </w:pPr>
      <w:r>
        <w:rPr>
          <w:rFonts w:ascii="Times New Roman"/>
          <w:b w:val="false"/>
          <w:i w:val="false"/>
          <w:color w:val="000000"/>
          <w:sz w:val="28"/>
        </w:rPr>
        <w:t>
      Будет продолжена работа по решению проблем с потребностью кадров для "цифровых" хозяйств. На начальном этапе в учебные программы действующих агроспециальностей будут включены современные дисциплины, в долгосрочной перспективе планируется ввести новые специальности, такие как "агроинформатик", "администратор агропредприятия", "оператор смарт-теплицы", "инженер агродронов" и т.д.</w:t>
      </w:r>
    </w:p>
    <w:p>
      <w:pPr>
        <w:spacing w:after="0"/>
        <w:ind w:left="0"/>
        <w:jc w:val="both"/>
      </w:pPr>
      <w:r>
        <w:rPr>
          <w:rFonts w:ascii="Times New Roman"/>
          <w:b w:val="false"/>
          <w:i w:val="false"/>
          <w:color w:val="000000"/>
          <w:sz w:val="28"/>
        </w:rPr>
        <w:t xml:space="preserve">
      В рамках цифровизации мер государственной поддержки планируются автоматизировать все бизнес-процессы и обеспечить оказание мер государственной поддержки исключительно в электронном формате. </w:t>
      </w:r>
    </w:p>
    <w:p>
      <w:pPr>
        <w:spacing w:after="0"/>
        <w:ind w:left="0"/>
        <w:jc w:val="both"/>
      </w:pPr>
      <w:r>
        <w:rPr>
          <w:rFonts w:ascii="Times New Roman"/>
          <w:b w:val="false"/>
          <w:i w:val="false"/>
          <w:color w:val="000000"/>
          <w:sz w:val="28"/>
        </w:rPr>
        <w:t>
      В целях обеспечения комплексного подхода к цифровизации сельского хозяйства и создания единой цифровой платформы агропромышленного комплекса (Е-АПК) планируется объединить все имеющиеся информационные системы в сельском хозяйстве.</w:t>
      </w:r>
    </w:p>
    <w:p>
      <w:pPr>
        <w:spacing w:after="0"/>
        <w:ind w:left="0"/>
        <w:jc w:val="both"/>
      </w:pPr>
      <w:r>
        <w:rPr>
          <w:rFonts w:ascii="Times New Roman"/>
          <w:b w:val="false"/>
          <w:i w:val="false"/>
          <w:color w:val="000000"/>
          <w:sz w:val="28"/>
        </w:rPr>
        <w:t>
      Создание единой цифровой платформы агропромышленного комплекса (Е-АПК) позволит обеспечить полный цикл прослеживаемости в сельском хозяйстве "от поля до прилавка", прозрачность отрасли, создание "единого окна" для фермера и единого "рабочего места" для уполномоченных органов, нивелирование коррупционных рисков при субсидировании, информационную безопасность, защиту персональных и конфиденциальных данных, усиление ветеринарной и карантинной безопасности, исключит дублирование функций, сократит производственные затраты и административные расходы.</w:t>
      </w:r>
    </w:p>
    <w:p>
      <w:pPr>
        <w:spacing w:after="0"/>
        <w:ind w:left="0"/>
        <w:jc w:val="both"/>
      </w:pPr>
      <w:r>
        <w:rPr>
          <w:rFonts w:ascii="Times New Roman"/>
          <w:b w:val="false"/>
          <w:i w:val="false"/>
          <w:color w:val="000000"/>
          <w:sz w:val="28"/>
        </w:rPr>
        <w:t>
      Будут проводиться тренинги в формате деловой игры "Нео Номад" с детальной демонстрацией принципов работы цифрового оборудования, в ходе которых ставится задача спроектировать "цифровую" ферму, произвести расчеты по цифровой модернизации и сокращению затрат, а также определить срок окупаемости приобретенного оборудования.</w:t>
      </w:r>
    </w:p>
    <w:bookmarkStart w:name="z636" w:id="4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5.10. </w:t>
      </w:r>
      <w:r>
        <w:rPr>
          <w:rFonts w:ascii="Times New Roman"/>
          <w:b w:val="false"/>
          <w:i/>
          <w:color w:val="000000"/>
          <w:sz w:val="28"/>
        </w:rPr>
        <w:t>Государственная поддержка</w:t>
      </w:r>
    </w:p>
    <w:bookmarkEnd w:id="495"/>
    <w:bookmarkStart w:name="z637" w:id="496"/>
    <w:p>
      <w:pPr>
        <w:spacing w:after="0"/>
        <w:ind w:left="0"/>
        <w:jc w:val="both"/>
      </w:pPr>
      <w:r>
        <w:rPr>
          <w:rFonts w:ascii="Times New Roman"/>
          <w:b w:val="false"/>
          <w:i w:val="false"/>
          <w:color w:val="000000"/>
          <w:sz w:val="28"/>
        </w:rPr>
        <w:t>
      Сохранятся действующие налоговые преференции. Будут приняты меры по расширению льготного кредитования, в том числе через институты развития АО "Национальный управляющий холдинг "Байтерек" путем увеличения уставного капитала АО "Национальный управляющий холдинг "Байтерек" с последующими увеличениями уставных капиталов АО "Аграрная кредитная корпорация" ежегодно до 30 млрд тенге на 2024 – 2025 годы для финансирования субъектов АПК на реализацию импортозамещающих и экспортоориентированных инвестиционных проектов, стоимостью до 5 млрд тенге, и АО "КазАгроФинанс" в 2023 году в размере до 20 млрд тенге, на 2024 – 2025 годы до 30 млрд тенге ежегодно для финансирования приобретения сельскохозяйственной техники, кормозаготовительной техники и мобильных систем орошения для последующей передачи в лизинг, а также выделения долгосрочного бюджетного кредита в размере до 40 млрд тенге АО "Аграрная кредитная корпорация" для финансирования субъектов агропромышленного комплекса на инвестиционные проекты и развития сети кредитных товариществ, разработке новых направлений лизинговых программ и долгосрочного бюджетного кредита АО "КазАгроФинанс" в размере до 30 млрд тенге ежегодно в 2023 – 2025 годы для финансирования различной сельскохозяйственной техники казахстанского производства и (или) сборки для дальнейшего предоставления в лизинг.</w:t>
      </w:r>
    </w:p>
    <w:bookmarkEnd w:id="496"/>
    <w:bookmarkStart w:name="z638" w:id="497"/>
    <w:p>
      <w:pPr>
        <w:spacing w:after="0"/>
        <w:ind w:left="0"/>
        <w:jc w:val="both"/>
      </w:pPr>
      <w:r>
        <w:rPr>
          <w:rFonts w:ascii="Times New Roman"/>
          <w:b w:val="false"/>
          <w:i w:val="false"/>
          <w:color w:val="000000"/>
          <w:sz w:val="28"/>
        </w:rPr>
        <w:t>
      За счет разработки и внедрения новых механизмов использования права аренды земель сельхозназначения в качестве залогового обеспечения повысится доступность кредитных ресурсов.</w:t>
      </w:r>
    </w:p>
    <w:bookmarkEnd w:id="497"/>
    <w:bookmarkStart w:name="z639" w:id="498"/>
    <w:p>
      <w:pPr>
        <w:spacing w:after="0"/>
        <w:ind w:left="0"/>
        <w:jc w:val="both"/>
      </w:pPr>
      <w:r>
        <w:rPr>
          <w:rFonts w:ascii="Times New Roman"/>
          <w:b w:val="false"/>
          <w:i w:val="false"/>
          <w:color w:val="000000"/>
          <w:sz w:val="28"/>
        </w:rPr>
        <w:t>
      С развитием сети ОРЦ будут расширены объемы форвардных закупок, в первую очередь за счет социально значимых продовольственных товаров.</w:t>
      </w:r>
    </w:p>
    <w:bookmarkEnd w:id="498"/>
    <w:bookmarkStart w:name="z640" w:id="499"/>
    <w:p>
      <w:pPr>
        <w:spacing w:after="0"/>
        <w:ind w:left="0"/>
        <w:jc w:val="both"/>
      </w:pPr>
      <w:r>
        <w:rPr>
          <w:rFonts w:ascii="Times New Roman"/>
          <w:b w:val="false"/>
          <w:i w:val="false"/>
          <w:color w:val="000000"/>
          <w:sz w:val="28"/>
        </w:rPr>
        <w:t>
      Объемы и перечень государственных услуг по борьбе с вредителями и карантинными объектами, а также особо опасными болезнями животных будут регулироваться с учетом складывающейся фитосанитарной и эпизоотической ситуации в стране и в пограничных зонах сопредельных государств.</w:t>
      </w:r>
    </w:p>
    <w:bookmarkEnd w:id="499"/>
    <w:bookmarkStart w:name="z641" w:id="500"/>
    <w:p>
      <w:pPr>
        <w:spacing w:after="0"/>
        <w:ind w:left="0"/>
        <w:jc w:val="both"/>
      </w:pPr>
      <w:r>
        <w:rPr>
          <w:rFonts w:ascii="Times New Roman"/>
          <w:b w:val="false"/>
          <w:i w:val="false"/>
          <w:color w:val="000000"/>
          <w:sz w:val="28"/>
        </w:rPr>
        <w:t>
      Развитие аграрной науки будет обеспечено за счет повышения уровня ее финансирования не менее 1 % от ВП сельского хозяйства.</w:t>
      </w:r>
    </w:p>
    <w:bookmarkEnd w:id="500"/>
    <w:bookmarkStart w:name="z642" w:id="501"/>
    <w:p>
      <w:pPr>
        <w:spacing w:after="0"/>
        <w:ind w:left="0"/>
        <w:jc w:val="both"/>
      </w:pPr>
      <w:r>
        <w:rPr>
          <w:rFonts w:ascii="Times New Roman"/>
          <w:b w:val="false"/>
          <w:i w:val="false"/>
          <w:color w:val="000000"/>
          <w:sz w:val="28"/>
        </w:rPr>
        <w:t>
      Развитие и дальнейшее совершенствование работы по распространению знаний будут достигаться за счет создания функционирования ее новой национальной системы.</w:t>
      </w:r>
    </w:p>
    <w:bookmarkEnd w:id="501"/>
    <w:bookmarkStart w:name="z643" w:id="502"/>
    <w:p>
      <w:pPr>
        <w:spacing w:after="0"/>
        <w:ind w:left="0"/>
        <w:jc w:val="both"/>
      </w:pPr>
      <w:r>
        <w:rPr>
          <w:rFonts w:ascii="Times New Roman"/>
          <w:b w:val="false"/>
          <w:i w:val="false"/>
          <w:color w:val="000000"/>
          <w:sz w:val="28"/>
        </w:rPr>
        <w:t>
      За счет усиления разъяснительной работы среди субъектов АПК получит развитие институт страхования, а его совершенствование – за счет расширения количества страховых продуктов.</w:t>
      </w:r>
    </w:p>
    <w:bookmarkEnd w:id="502"/>
    <w:bookmarkStart w:name="z644" w:id="503"/>
    <w:p>
      <w:pPr>
        <w:spacing w:after="0"/>
        <w:ind w:left="0"/>
        <w:jc w:val="both"/>
      </w:pPr>
      <w:r>
        <w:rPr>
          <w:rFonts w:ascii="Times New Roman"/>
          <w:b w:val="false"/>
          <w:i w:val="false"/>
          <w:color w:val="000000"/>
          <w:sz w:val="28"/>
        </w:rPr>
        <w:t>
      Развитие и совершенствование механизмов субсидирования будут достигаться за счет:</w:t>
      </w:r>
    </w:p>
    <w:bookmarkEnd w:id="503"/>
    <w:bookmarkStart w:name="z645" w:id="504"/>
    <w:p>
      <w:pPr>
        <w:spacing w:after="0"/>
        <w:ind w:left="0"/>
        <w:jc w:val="both"/>
      </w:pPr>
      <w:r>
        <w:rPr>
          <w:rFonts w:ascii="Times New Roman"/>
          <w:b w:val="false"/>
          <w:i w:val="false"/>
          <w:color w:val="000000"/>
          <w:sz w:val="28"/>
        </w:rPr>
        <w:t>
      взаимоувязки с промышленной политикой государства за счет совершенствования инструментов стимулирования технологического перевооружения сельского хозяйства, внедрения инноваций;</w:t>
      </w:r>
    </w:p>
    <w:bookmarkEnd w:id="504"/>
    <w:bookmarkStart w:name="z646" w:id="505"/>
    <w:p>
      <w:pPr>
        <w:spacing w:after="0"/>
        <w:ind w:left="0"/>
        <w:jc w:val="both"/>
      </w:pPr>
      <w:r>
        <w:rPr>
          <w:rFonts w:ascii="Times New Roman"/>
          <w:b w:val="false"/>
          <w:i w:val="false"/>
          <w:color w:val="000000"/>
          <w:sz w:val="28"/>
        </w:rPr>
        <w:t>
      изменения порядка и механизмов субсидирования на предмет обеспечения их прозрачности, доступности малым и средним хозяйствам;</w:t>
      </w:r>
    </w:p>
    <w:bookmarkEnd w:id="505"/>
    <w:bookmarkStart w:name="z647" w:id="506"/>
    <w:p>
      <w:pPr>
        <w:spacing w:after="0"/>
        <w:ind w:left="0"/>
        <w:jc w:val="both"/>
      </w:pPr>
      <w:r>
        <w:rPr>
          <w:rFonts w:ascii="Times New Roman"/>
          <w:b w:val="false"/>
          <w:i w:val="false"/>
          <w:color w:val="000000"/>
          <w:sz w:val="28"/>
        </w:rPr>
        <w:t>
      укрепления нормативной базы, внедрения системы эффективного планирования и мониторинга;</w:t>
      </w:r>
    </w:p>
    <w:bookmarkEnd w:id="506"/>
    <w:bookmarkStart w:name="z648" w:id="507"/>
    <w:p>
      <w:pPr>
        <w:spacing w:after="0"/>
        <w:ind w:left="0"/>
        <w:jc w:val="both"/>
      </w:pPr>
      <w:r>
        <w:rPr>
          <w:rFonts w:ascii="Times New Roman"/>
          <w:b w:val="false"/>
          <w:i w:val="false"/>
          <w:color w:val="000000"/>
          <w:sz w:val="28"/>
        </w:rPr>
        <w:t>
      оптимизации действующих направлений субсидирования;</w:t>
      </w:r>
    </w:p>
    <w:bookmarkEnd w:id="507"/>
    <w:bookmarkStart w:name="z649" w:id="508"/>
    <w:p>
      <w:pPr>
        <w:spacing w:after="0"/>
        <w:ind w:left="0"/>
        <w:jc w:val="both"/>
      </w:pPr>
      <w:r>
        <w:rPr>
          <w:rFonts w:ascii="Times New Roman"/>
          <w:b w:val="false"/>
          <w:i w:val="false"/>
          <w:color w:val="000000"/>
          <w:sz w:val="28"/>
        </w:rPr>
        <w:t>
      упрощения и цифровизации процедур получения субсидий;</w:t>
      </w:r>
    </w:p>
    <w:bookmarkEnd w:id="508"/>
    <w:bookmarkStart w:name="z650" w:id="509"/>
    <w:p>
      <w:pPr>
        <w:spacing w:after="0"/>
        <w:ind w:left="0"/>
        <w:jc w:val="both"/>
      </w:pPr>
      <w:r>
        <w:rPr>
          <w:rFonts w:ascii="Times New Roman"/>
          <w:b w:val="false"/>
          <w:i w:val="false"/>
          <w:color w:val="000000"/>
          <w:sz w:val="28"/>
        </w:rPr>
        <w:t>
      принятия встречных обязательств по достижению установленных индикаторов по некоторым видам субсидий;</w:t>
      </w:r>
    </w:p>
    <w:bookmarkEnd w:id="509"/>
    <w:bookmarkStart w:name="z651" w:id="510"/>
    <w:p>
      <w:pPr>
        <w:spacing w:after="0"/>
        <w:ind w:left="0"/>
        <w:jc w:val="both"/>
      </w:pPr>
      <w:r>
        <w:rPr>
          <w:rFonts w:ascii="Times New Roman"/>
          <w:b w:val="false"/>
          <w:i w:val="false"/>
          <w:color w:val="000000"/>
          <w:sz w:val="28"/>
        </w:rPr>
        <w:t>
      определения единого органа, ответственного за выдачу и целевое использование субсидий, с определением четких приоритетов и измеримых индикаторов;</w:t>
      </w:r>
    </w:p>
    <w:bookmarkEnd w:id="510"/>
    <w:bookmarkStart w:name="z652" w:id="511"/>
    <w:p>
      <w:pPr>
        <w:spacing w:after="0"/>
        <w:ind w:left="0"/>
        <w:jc w:val="both"/>
      </w:pPr>
      <w:r>
        <w:rPr>
          <w:rFonts w:ascii="Times New Roman"/>
          <w:b w:val="false"/>
          <w:i w:val="false"/>
          <w:color w:val="000000"/>
          <w:sz w:val="28"/>
        </w:rPr>
        <w:t>
      внедрения механизмов планирования необходимых объемов финансовых ресурсов для субсидирования на предстоящий год и их увязку с возможностями государственного бюджета.</w:t>
      </w:r>
    </w:p>
    <w:bookmarkEnd w:id="511"/>
    <w:bookmarkStart w:name="z653" w:id="512"/>
    <w:p>
      <w:pPr>
        <w:spacing w:after="0"/>
        <w:ind w:left="0"/>
        <w:jc w:val="both"/>
      </w:pPr>
      <w:r>
        <w:rPr>
          <w:rFonts w:ascii="Times New Roman"/>
          <w:b w:val="false"/>
          <w:i w:val="false"/>
          <w:color w:val="000000"/>
          <w:sz w:val="28"/>
        </w:rPr>
        <w:t>
      Создание новых производственных мощностей будет достигаться через совершенствование механизмов инвестиционного субсидирования, субсидирование ставок вознаграждения по кредитам и лизингу, гарантирование и страхование займов, расширение инструментов льготного финансирования и направлений субсидирования, институциональное развитие системы кредитных товариществ.</w:t>
      </w:r>
    </w:p>
    <w:bookmarkEnd w:id="512"/>
    <w:bookmarkStart w:name="z654" w:id="513"/>
    <w:p>
      <w:pPr>
        <w:spacing w:after="0"/>
        <w:ind w:left="0"/>
        <w:jc w:val="both"/>
      </w:pPr>
      <w:r>
        <w:rPr>
          <w:rFonts w:ascii="Times New Roman"/>
          <w:b w:val="false"/>
          <w:i w:val="false"/>
          <w:color w:val="000000"/>
          <w:sz w:val="28"/>
        </w:rPr>
        <w:t>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планах развития государственного органа и области, города республиканского значения, столицы.</w:t>
      </w:r>
    </w:p>
    <w:bookmarkEnd w:id="513"/>
    <w:bookmarkStart w:name="z655" w:id="514"/>
    <w:p>
      <w:pPr>
        <w:spacing w:after="0"/>
        <w:ind w:left="0"/>
        <w:jc w:val="both"/>
      </w:pPr>
      <w:r>
        <w:rPr>
          <w:rFonts w:ascii="Times New Roman"/>
          <w:b w:val="false"/>
          <w:i w:val="false"/>
          <w:color w:val="000000"/>
          <w:sz w:val="28"/>
        </w:rPr>
        <w:t>
      На другие мероприятия средства будут выделяться с учетом развития экономики и потенциала увеличения доходной базы бюджета.</w:t>
      </w:r>
    </w:p>
    <w:bookmarkEnd w:id="514"/>
    <w:bookmarkStart w:name="z656" w:id="515"/>
    <w:p>
      <w:pPr>
        <w:spacing w:after="0"/>
        <w:ind w:left="0"/>
        <w:jc w:val="left"/>
      </w:pPr>
      <w:r>
        <w:rPr>
          <w:rFonts w:ascii="Times New Roman"/>
          <w:b/>
          <w:i w:val="false"/>
          <w:color w:val="000000"/>
        </w:rPr>
        <w:t xml:space="preserve"> 6. Целевые индикаторы и ожидаемые результаты</w:t>
      </w:r>
    </w:p>
    <w:bookmarkEnd w:id="515"/>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28.03.2023 </w:t>
      </w:r>
      <w:r>
        <w:rPr>
          <w:rFonts w:ascii="Times New Roman"/>
          <w:b w:val="false"/>
          <w:i w:val="false"/>
          <w:color w:val="ff0000"/>
          <w:sz w:val="28"/>
        </w:rPr>
        <w:t>№ 268</w:t>
      </w:r>
      <w:r>
        <w:rPr>
          <w:rFonts w:ascii="Times New Roman"/>
          <w:b w:val="false"/>
          <w:i w:val="false"/>
          <w:color w:val="ff0000"/>
          <w:sz w:val="28"/>
        </w:rPr>
        <w:t xml:space="preserve">; от 28.02.2024 </w:t>
      </w:r>
      <w:r>
        <w:rPr>
          <w:rFonts w:ascii="Times New Roman"/>
          <w:b w:val="false"/>
          <w:i w:val="false"/>
          <w:color w:val="ff0000"/>
          <w:sz w:val="28"/>
        </w:rPr>
        <w:t>№ 132</w:t>
      </w:r>
      <w:r>
        <w:rPr>
          <w:rFonts w:ascii="Times New Roman"/>
          <w:b w:val="false"/>
          <w:i w:val="false"/>
          <w:color w:val="ff0000"/>
          <w:sz w:val="28"/>
        </w:rPr>
        <w:t>.</w:t>
      </w:r>
    </w:p>
    <w:bookmarkStart w:name="z657" w:id="516"/>
    <w:p>
      <w:pPr>
        <w:spacing w:after="0"/>
        <w:ind w:left="0"/>
        <w:jc w:val="both"/>
      </w:pPr>
      <w:r>
        <w:rPr>
          <w:rFonts w:ascii="Times New Roman"/>
          <w:b w:val="false"/>
          <w:i w:val="false"/>
          <w:color w:val="000000"/>
          <w:sz w:val="28"/>
        </w:rPr>
        <w:t>
      1) повышение производительности труда в сельском хозяйстве в 3 раза по сравнению с 2020 годом;</w:t>
      </w:r>
    </w:p>
    <w:bookmarkEnd w:id="516"/>
    <w:bookmarkStart w:name="z791" w:id="517"/>
    <w:p>
      <w:pPr>
        <w:spacing w:after="0"/>
        <w:ind w:left="0"/>
        <w:jc w:val="both"/>
      </w:pPr>
      <w:r>
        <w:rPr>
          <w:rFonts w:ascii="Times New Roman"/>
          <w:b w:val="false"/>
          <w:i w:val="false"/>
          <w:color w:val="000000"/>
          <w:sz w:val="28"/>
        </w:rPr>
        <w:t>
      2) урожайность пшеницы в 2030 году – 20 ц/га;</w:t>
      </w:r>
    </w:p>
    <w:bookmarkEnd w:id="517"/>
    <w:bookmarkStart w:name="z792" w:id="518"/>
    <w:p>
      <w:pPr>
        <w:spacing w:after="0"/>
        <w:ind w:left="0"/>
        <w:jc w:val="both"/>
      </w:pPr>
      <w:r>
        <w:rPr>
          <w:rFonts w:ascii="Times New Roman"/>
          <w:b w:val="false"/>
          <w:i w:val="false"/>
          <w:color w:val="000000"/>
          <w:sz w:val="28"/>
        </w:rPr>
        <w:t>
      3) уровень обновления сельскохозяйственной техники в 2030 году – 10 %;</w:t>
      </w:r>
    </w:p>
    <w:bookmarkEnd w:id="518"/>
    <w:bookmarkStart w:name="z793" w:id="519"/>
    <w:p>
      <w:pPr>
        <w:spacing w:after="0"/>
        <w:ind w:left="0"/>
        <w:jc w:val="both"/>
      </w:pPr>
      <w:r>
        <w:rPr>
          <w:rFonts w:ascii="Times New Roman"/>
          <w:b w:val="false"/>
          <w:i w:val="false"/>
          <w:color w:val="000000"/>
          <w:sz w:val="28"/>
        </w:rPr>
        <w:t>
      4) уровень обеспеченности отечественными семенами в 2030 году – до 80 %;</w:t>
      </w:r>
    </w:p>
    <w:bookmarkEnd w:id="519"/>
    <w:bookmarkStart w:name="z794" w:id="520"/>
    <w:p>
      <w:pPr>
        <w:spacing w:after="0"/>
        <w:ind w:left="0"/>
        <w:jc w:val="both"/>
      </w:pPr>
      <w:r>
        <w:rPr>
          <w:rFonts w:ascii="Times New Roman"/>
          <w:b w:val="false"/>
          <w:i w:val="false"/>
          <w:color w:val="000000"/>
          <w:sz w:val="28"/>
        </w:rPr>
        <w:t>
      5) внесение минеральных удобрений от научно обоснованной нормы в 2030 году – до 50 %;</w:t>
      </w:r>
    </w:p>
    <w:bookmarkEnd w:id="520"/>
    <w:bookmarkStart w:name="z795" w:id="521"/>
    <w:p>
      <w:pPr>
        <w:spacing w:after="0"/>
        <w:ind w:left="0"/>
        <w:jc w:val="both"/>
      </w:pPr>
      <w:r>
        <w:rPr>
          <w:rFonts w:ascii="Times New Roman"/>
          <w:b w:val="false"/>
          <w:i w:val="false"/>
          <w:color w:val="000000"/>
          <w:sz w:val="28"/>
        </w:rPr>
        <w:t>
      6) уровень обеспеченности продовольственными товарами (в том числе социально значимыми) не менее 90 %;</w:t>
      </w:r>
    </w:p>
    <w:bookmarkEnd w:id="521"/>
    <w:bookmarkStart w:name="z796" w:id="522"/>
    <w:p>
      <w:pPr>
        <w:spacing w:after="0"/>
        <w:ind w:left="0"/>
        <w:jc w:val="both"/>
      </w:pPr>
      <w:r>
        <w:rPr>
          <w:rFonts w:ascii="Times New Roman"/>
          <w:b w:val="false"/>
          <w:i w:val="false"/>
          <w:color w:val="000000"/>
          <w:sz w:val="28"/>
        </w:rPr>
        <w:t>
      7) самообеспечение основными продовольственными товарами собственного производства в 2030 году: яблоки – 100 %, колбасные изделия – 100 %, сыры и творог – 100 %, сахар – 83 %, мясо птицы – 100 %;</w:t>
      </w:r>
    </w:p>
    <w:bookmarkEnd w:id="522"/>
    <w:bookmarkStart w:name="z797" w:id="523"/>
    <w:p>
      <w:pPr>
        <w:spacing w:after="0"/>
        <w:ind w:left="0"/>
        <w:jc w:val="both"/>
      </w:pPr>
      <w:r>
        <w:rPr>
          <w:rFonts w:ascii="Times New Roman"/>
          <w:b w:val="false"/>
          <w:i w:val="false"/>
          <w:color w:val="000000"/>
          <w:sz w:val="28"/>
        </w:rPr>
        <w:t xml:space="preserve">
      8) доля переработанной продукции в агропромышленном комплексе (молоко, мясо, семена масличных, рис, кукуруза, гречиха) – до 70 %; </w:t>
      </w:r>
    </w:p>
    <w:bookmarkEnd w:id="523"/>
    <w:bookmarkStart w:name="z798" w:id="524"/>
    <w:p>
      <w:pPr>
        <w:spacing w:after="0"/>
        <w:ind w:left="0"/>
        <w:jc w:val="both"/>
      </w:pPr>
      <w:r>
        <w:rPr>
          <w:rFonts w:ascii="Times New Roman"/>
          <w:b w:val="false"/>
          <w:i w:val="false"/>
          <w:color w:val="000000"/>
          <w:sz w:val="28"/>
        </w:rPr>
        <w:t>
      9) доля переработанной продукции в общем объеме экспорта АПК в 2030 году – 70 %;</w:t>
      </w:r>
    </w:p>
    <w:bookmarkEnd w:id="524"/>
    <w:bookmarkStart w:name="z799" w:id="525"/>
    <w:p>
      <w:pPr>
        <w:spacing w:after="0"/>
        <w:ind w:left="0"/>
        <w:jc w:val="both"/>
      </w:pPr>
      <w:r>
        <w:rPr>
          <w:rFonts w:ascii="Times New Roman"/>
          <w:b w:val="false"/>
          <w:i w:val="false"/>
          <w:color w:val="000000"/>
          <w:sz w:val="28"/>
        </w:rPr>
        <w:t>
      10) увеличение экспорта продукции агропромышленного комплекса в 3,5 раза по сравнению с 2020 годом;</w:t>
      </w:r>
    </w:p>
    <w:bookmarkEnd w:id="525"/>
    <w:bookmarkStart w:name="z800" w:id="526"/>
    <w:p>
      <w:pPr>
        <w:spacing w:after="0"/>
        <w:ind w:left="0"/>
        <w:jc w:val="both"/>
      </w:pPr>
      <w:r>
        <w:rPr>
          <w:rFonts w:ascii="Times New Roman"/>
          <w:b w:val="false"/>
          <w:i w:val="false"/>
          <w:color w:val="000000"/>
          <w:sz w:val="28"/>
        </w:rPr>
        <w:t>
      11) рост объема привлеченных инвестиций в основной капитал в сельское хозяйство в 4,2 раза;</w:t>
      </w:r>
    </w:p>
    <w:bookmarkEnd w:id="526"/>
    <w:bookmarkStart w:name="z801" w:id="527"/>
    <w:p>
      <w:pPr>
        <w:spacing w:after="0"/>
        <w:ind w:left="0"/>
        <w:jc w:val="both"/>
      </w:pPr>
      <w:r>
        <w:rPr>
          <w:rFonts w:ascii="Times New Roman"/>
          <w:b w:val="false"/>
          <w:i w:val="false"/>
          <w:color w:val="000000"/>
          <w:sz w:val="28"/>
        </w:rPr>
        <w:t>
      12) рост объема привлеченных инвестиций в основной капитал в производство продуктов питания в 3,4 раза;</w:t>
      </w:r>
    </w:p>
    <w:bookmarkEnd w:id="527"/>
    <w:bookmarkStart w:name="z802" w:id="528"/>
    <w:p>
      <w:pPr>
        <w:spacing w:after="0"/>
        <w:ind w:left="0"/>
        <w:jc w:val="both"/>
      </w:pPr>
      <w:r>
        <w:rPr>
          <w:rFonts w:ascii="Times New Roman"/>
          <w:b w:val="false"/>
          <w:i w:val="false"/>
          <w:color w:val="000000"/>
          <w:sz w:val="28"/>
        </w:rPr>
        <w:t>
      13) доля ненаблюдаемой (теневой) экономики в сельском, лесном и рыбном хозяйстве – 0,5 % в ВВП;</w:t>
      </w:r>
    </w:p>
    <w:bookmarkEnd w:id="528"/>
    <w:bookmarkStart w:name="z803" w:id="529"/>
    <w:p>
      <w:pPr>
        <w:spacing w:after="0"/>
        <w:ind w:left="0"/>
        <w:jc w:val="both"/>
      </w:pPr>
      <w:r>
        <w:rPr>
          <w:rFonts w:ascii="Times New Roman"/>
          <w:b w:val="false"/>
          <w:i w:val="false"/>
          <w:color w:val="000000"/>
          <w:sz w:val="28"/>
        </w:rPr>
        <w:t>
      14) площадь эродированных земель в составе сельскохозяйственных угодий к общей площади земель в 2030 году – 28,4 млн га;</w:t>
      </w:r>
    </w:p>
    <w:bookmarkEnd w:id="529"/>
    <w:bookmarkStart w:name="z804" w:id="530"/>
    <w:p>
      <w:pPr>
        <w:spacing w:after="0"/>
        <w:ind w:left="0"/>
        <w:jc w:val="both"/>
      </w:pPr>
      <w:r>
        <w:rPr>
          <w:rFonts w:ascii="Times New Roman"/>
          <w:b w:val="false"/>
          <w:i w:val="false"/>
          <w:color w:val="000000"/>
          <w:sz w:val="28"/>
        </w:rPr>
        <w:t>
      15) количество реализованных инвестиционных проектов – 1525 к 2030 году;</w:t>
      </w:r>
    </w:p>
    <w:bookmarkEnd w:id="530"/>
    <w:bookmarkStart w:name="z805" w:id="531"/>
    <w:p>
      <w:pPr>
        <w:spacing w:after="0"/>
        <w:ind w:left="0"/>
        <w:jc w:val="both"/>
      </w:pPr>
      <w:r>
        <w:rPr>
          <w:rFonts w:ascii="Times New Roman"/>
          <w:b w:val="false"/>
          <w:i w:val="false"/>
          <w:color w:val="000000"/>
          <w:sz w:val="28"/>
        </w:rPr>
        <w:t>
      16) создание рабочих мест в рамках инвестиционных проектов в АПК – к 2030 году 44 тысячи (26,4 тысячи постоянных и 17,6 тысячи временных);</w:t>
      </w:r>
    </w:p>
    <w:bookmarkEnd w:id="531"/>
    <w:bookmarkStart w:name="z806" w:id="532"/>
    <w:p>
      <w:pPr>
        <w:spacing w:after="0"/>
        <w:ind w:left="0"/>
        <w:jc w:val="both"/>
      </w:pPr>
      <w:r>
        <w:rPr>
          <w:rFonts w:ascii="Times New Roman"/>
          <w:b w:val="false"/>
          <w:i w:val="false"/>
          <w:color w:val="000000"/>
          <w:sz w:val="28"/>
        </w:rPr>
        <w:t>
      17) создание рабочих мест в рамках масштабирования опыта по повышению дохода сельского населения – 350 тысяч к 2029 году;</w:t>
      </w:r>
    </w:p>
    <w:bookmarkEnd w:id="532"/>
    <w:bookmarkStart w:name="z807" w:id="533"/>
    <w:p>
      <w:pPr>
        <w:spacing w:after="0"/>
        <w:ind w:left="0"/>
        <w:jc w:val="both"/>
      </w:pPr>
      <w:r>
        <w:rPr>
          <w:rFonts w:ascii="Times New Roman"/>
          <w:b w:val="false"/>
          <w:i w:val="false"/>
          <w:color w:val="000000"/>
          <w:sz w:val="28"/>
        </w:rPr>
        <w:t>
      18) доля внедренных завершенных научных разработок в АПК к 2030 году – 40 %;</w:t>
      </w:r>
    </w:p>
    <w:bookmarkEnd w:id="533"/>
    <w:bookmarkStart w:name="z808" w:id="534"/>
    <w:p>
      <w:pPr>
        <w:spacing w:after="0"/>
        <w:ind w:left="0"/>
        <w:jc w:val="both"/>
      </w:pPr>
      <w:r>
        <w:rPr>
          <w:rFonts w:ascii="Times New Roman"/>
          <w:b w:val="false"/>
          <w:i w:val="false"/>
          <w:color w:val="000000"/>
          <w:sz w:val="28"/>
        </w:rPr>
        <w:t>
      19) площадь земель с применением водосберегающих технологий (капельное орошение, дождевание) к 2030 году – 1362,2 тысячи га;</w:t>
      </w:r>
    </w:p>
    <w:bookmarkEnd w:id="534"/>
    <w:bookmarkStart w:name="z809" w:id="535"/>
    <w:p>
      <w:pPr>
        <w:spacing w:after="0"/>
        <w:ind w:left="0"/>
        <w:jc w:val="both"/>
      </w:pPr>
      <w:r>
        <w:rPr>
          <w:rFonts w:ascii="Times New Roman"/>
          <w:b w:val="false"/>
          <w:i w:val="false"/>
          <w:color w:val="000000"/>
          <w:sz w:val="28"/>
        </w:rPr>
        <w:t>
      20) доля маточного поголовья, охваченная породным преобразованием к 2030 году, – 43 %.</w:t>
      </w:r>
    </w:p>
    <w:bookmarkEnd w:id="535"/>
    <w:bookmarkStart w:name="z665" w:id="536"/>
    <w:p>
      <w:pPr>
        <w:spacing w:after="0"/>
        <w:ind w:left="0"/>
        <w:jc w:val="both"/>
      </w:pPr>
      <w:r>
        <w:rPr>
          <w:rFonts w:ascii="Times New Roman"/>
          <w:b w:val="false"/>
          <w:i w:val="false"/>
          <w:color w:val="000000"/>
          <w:sz w:val="28"/>
        </w:rPr>
        <w:t>
      Ожидаемые результаты</w:t>
      </w:r>
    </w:p>
    <w:bookmarkEnd w:id="536"/>
    <w:bookmarkStart w:name="z666" w:id="537"/>
    <w:p>
      <w:pPr>
        <w:spacing w:after="0"/>
        <w:ind w:left="0"/>
        <w:jc w:val="both"/>
      </w:pPr>
      <w:r>
        <w:rPr>
          <w:rFonts w:ascii="Times New Roman"/>
          <w:b w:val="false"/>
          <w:i w:val="false"/>
          <w:color w:val="000000"/>
          <w:sz w:val="28"/>
        </w:rPr>
        <w:t>
      Создание необходимой для сельского хозяйства и сельхозтоваропроизводителей инфраструктуры, включая объекты логистики и мелкие производства.</w:t>
      </w:r>
    </w:p>
    <w:bookmarkEnd w:id="537"/>
    <w:bookmarkStart w:name="z667" w:id="538"/>
    <w:p>
      <w:pPr>
        <w:spacing w:after="0"/>
        <w:ind w:left="0"/>
        <w:jc w:val="both"/>
      </w:pPr>
      <w:r>
        <w:rPr>
          <w:rFonts w:ascii="Times New Roman"/>
          <w:b w:val="false"/>
          <w:i w:val="false"/>
          <w:color w:val="000000"/>
          <w:sz w:val="28"/>
        </w:rPr>
        <w:t>
      Формирование семи крупных экосистем по производству и переработке мяса, фруктов, овощей, сахара, зерновых, масличных культур, молочной продукции.</w:t>
      </w:r>
    </w:p>
    <w:bookmarkEnd w:id="538"/>
    <w:bookmarkStart w:name="z668" w:id="539"/>
    <w:p>
      <w:pPr>
        <w:spacing w:after="0"/>
        <w:ind w:left="0"/>
        <w:jc w:val="both"/>
      </w:pPr>
      <w:r>
        <w:rPr>
          <w:rFonts w:ascii="Times New Roman"/>
          <w:b w:val="false"/>
          <w:i w:val="false"/>
          <w:color w:val="000000"/>
          <w:sz w:val="28"/>
        </w:rPr>
        <w:t>
      Эффективное использование земель сельскохозяйственного назначения с увеличением налоговой нагрузки на неиспользуемые участки. Ускорение работы по диверсификации структуры посевных площадей, модернизация подходов к мелиорации и рекультивации почвы.</w:t>
      </w:r>
    </w:p>
    <w:bookmarkEnd w:id="539"/>
    <w:bookmarkStart w:name="z669" w:id="540"/>
    <w:p>
      <w:pPr>
        <w:spacing w:after="0"/>
        <w:ind w:left="0"/>
        <w:jc w:val="both"/>
      </w:pPr>
      <w:r>
        <w:rPr>
          <w:rFonts w:ascii="Times New Roman"/>
          <w:b w:val="false"/>
          <w:i w:val="false"/>
          <w:color w:val="000000"/>
          <w:sz w:val="28"/>
        </w:rPr>
        <w:t>
      Внедрение механизмов по стимулированию развития кооперации сельхозпроизводителей – региональные продуктовые хабы.</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развития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2021 – 2030 годы</w:t>
            </w:r>
          </w:p>
        </w:tc>
      </w:tr>
    </w:tbl>
    <w:bookmarkStart w:name="z671" w:id="541"/>
    <w:p>
      <w:pPr>
        <w:spacing w:after="0"/>
        <w:ind w:left="0"/>
        <w:jc w:val="left"/>
      </w:pPr>
      <w:r>
        <w:rPr>
          <w:rFonts w:ascii="Times New Roman"/>
          <w:b/>
          <w:i w:val="false"/>
          <w:color w:val="000000"/>
        </w:rPr>
        <w:t xml:space="preserve"> План действий по реализации Концепции развития агропромышленного комплекса Республики Казахстан на 2021 – 2030 годы</w:t>
      </w:r>
    </w:p>
    <w:bookmarkEnd w:id="541"/>
    <w:p>
      <w:pPr>
        <w:spacing w:after="0"/>
        <w:ind w:left="0"/>
        <w:jc w:val="both"/>
      </w:pPr>
      <w:r>
        <w:rPr>
          <w:rFonts w:ascii="Times New Roman"/>
          <w:b w:val="false"/>
          <w:i w:val="false"/>
          <w:color w:val="ff0000"/>
          <w:sz w:val="28"/>
        </w:rPr>
        <w:t xml:space="preserve">
      Сноска. План - в редакции постановления Правительства РК от 28.02.2024 </w:t>
      </w:r>
      <w:r>
        <w:rPr>
          <w:rFonts w:ascii="Times New Roman"/>
          <w:b w:val="false"/>
          <w:i w:val="false"/>
          <w:color w:val="ff0000"/>
          <w:sz w:val="28"/>
        </w:rPr>
        <w:t>№ 132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Повышение производительности труда в сельском хозяйстве в 3 раза по сравнению с 2020 годом:</w:t>
            </w:r>
          </w:p>
          <w:p>
            <w:pPr>
              <w:spacing w:after="20"/>
              <w:ind w:left="20"/>
              <w:jc w:val="both"/>
            </w:pPr>
            <w:r>
              <w:rPr>
                <w:rFonts w:ascii="Times New Roman"/>
                <w:b w:val="false"/>
                <w:i w:val="false"/>
                <w:color w:val="000000"/>
                <w:sz w:val="20"/>
              </w:rPr>
              <w:t>
2021 год – 112,0 %;</w:t>
            </w:r>
          </w:p>
          <w:p>
            <w:pPr>
              <w:spacing w:after="20"/>
              <w:ind w:left="20"/>
              <w:jc w:val="both"/>
            </w:pPr>
            <w:r>
              <w:rPr>
                <w:rFonts w:ascii="Times New Roman"/>
                <w:b w:val="false"/>
                <w:i w:val="false"/>
                <w:color w:val="000000"/>
                <w:sz w:val="20"/>
              </w:rPr>
              <w:t>
2022 год – 125,4 %;</w:t>
            </w:r>
          </w:p>
          <w:p>
            <w:pPr>
              <w:spacing w:after="20"/>
              <w:ind w:left="20"/>
              <w:jc w:val="both"/>
            </w:pPr>
            <w:r>
              <w:rPr>
                <w:rFonts w:ascii="Times New Roman"/>
                <w:b w:val="false"/>
                <w:i w:val="false"/>
                <w:color w:val="000000"/>
                <w:sz w:val="20"/>
              </w:rPr>
              <w:t>
2023 год – 152,9 %;</w:t>
            </w:r>
          </w:p>
          <w:p>
            <w:pPr>
              <w:spacing w:after="20"/>
              <w:ind w:left="20"/>
              <w:jc w:val="both"/>
            </w:pPr>
            <w:r>
              <w:rPr>
                <w:rFonts w:ascii="Times New Roman"/>
                <w:b w:val="false"/>
                <w:i w:val="false"/>
                <w:color w:val="000000"/>
                <w:sz w:val="20"/>
              </w:rPr>
              <w:t>
2024 год – 164,9 %;</w:t>
            </w:r>
          </w:p>
          <w:p>
            <w:pPr>
              <w:spacing w:after="20"/>
              <w:ind w:left="20"/>
              <w:jc w:val="both"/>
            </w:pPr>
            <w:r>
              <w:rPr>
                <w:rFonts w:ascii="Times New Roman"/>
                <w:b w:val="false"/>
                <w:i w:val="false"/>
                <w:color w:val="000000"/>
                <w:sz w:val="20"/>
              </w:rPr>
              <w:t>
2025 год – 176,2 %;</w:t>
            </w:r>
          </w:p>
          <w:p>
            <w:pPr>
              <w:spacing w:after="20"/>
              <w:ind w:left="20"/>
              <w:jc w:val="both"/>
            </w:pPr>
            <w:r>
              <w:rPr>
                <w:rFonts w:ascii="Times New Roman"/>
                <w:b w:val="false"/>
                <w:i w:val="false"/>
                <w:color w:val="000000"/>
                <w:sz w:val="20"/>
              </w:rPr>
              <w:t>
2026 год – 197,4 %;</w:t>
            </w:r>
          </w:p>
          <w:p>
            <w:pPr>
              <w:spacing w:after="20"/>
              <w:ind w:left="20"/>
              <w:jc w:val="both"/>
            </w:pPr>
            <w:r>
              <w:rPr>
                <w:rFonts w:ascii="Times New Roman"/>
                <w:b w:val="false"/>
                <w:i w:val="false"/>
                <w:color w:val="000000"/>
                <w:sz w:val="20"/>
              </w:rPr>
              <w:t>
2027 год – 221,1 %;</w:t>
            </w:r>
          </w:p>
          <w:p>
            <w:pPr>
              <w:spacing w:after="20"/>
              <w:ind w:left="20"/>
              <w:jc w:val="both"/>
            </w:pPr>
            <w:r>
              <w:rPr>
                <w:rFonts w:ascii="Times New Roman"/>
                <w:b w:val="false"/>
                <w:i w:val="false"/>
                <w:color w:val="000000"/>
                <w:sz w:val="20"/>
              </w:rPr>
              <w:t>
2028 год – 247,6 %;</w:t>
            </w:r>
          </w:p>
          <w:p>
            <w:pPr>
              <w:spacing w:after="20"/>
              <w:ind w:left="20"/>
              <w:jc w:val="both"/>
            </w:pPr>
            <w:r>
              <w:rPr>
                <w:rFonts w:ascii="Times New Roman"/>
                <w:b w:val="false"/>
                <w:i w:val="false"/>
                <w:color w:val="000000"/>
                <w:sz w:val="20"/>
              </w:rPr>
              <w:t>
2029 год – 277,3 %;</w:t>
            </w:r>
          </w:p>
          <w:p>
            <w:pPr>
              <w:spacing w:after="20"/>
              <w:ind w:left="20"/>
              <w:jc w:val="both"/>
            </w:pPr>
            <w:r>
              <w:rPr>
                <w:rFonts w:ascii="Times New Roman"/>
                <w:b w:val="false"/>
                <w:i w:val="false"/>
                <w:color w:val="000000"/>
                <w:sz w:val="20"/>
              </w:rPr>
              <w:t>
2030 год – 300,9 %.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МВРИ, МФ, МЦРИАП, акиматы областей, городов Астаны, Алматы и Шымкента, АО "НУХ "Байтерек" (по согласованию),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Урожайность пшеницы:</w:t>
            </w:r>
          </w:p>
          <w:p>
            <w:pPr>
              <w:spacing w:after="20"/>
              <w:ind w:left="20"/>
              <w:jc w:val="both"/>
            </w:pPr>
            <w:r>
              <w:rPr>
                <w:rFonts w:ascii="Times New Roman"/>
                <w:b w:val="false"/>
                <w:i w:val="false"/>
                <w:color w:val="000000"/>
                <w:sz w:val="20"/>
              </w:rPr>
              <w:t>
2021 год – 9,3 ц/га;</w:t>
            </w:r>
          </w:p>
          <w:p>
            <w:pPr>
              <w:spacing w:after="20"/>
              <w:ind w:left="20"/>
              <w:jc w:val="both"/>
            </w:pPr>
            <w:r>
              <w:rPr>
                <w:rFonts w:ascii="Times New Roman"/>
                <w:b w:val="false"/>
                <w:i w:val="false"/>
                <w:color w:val="000000"/>
                <w:sz w:val="20"/>
              </w:rPr>
              <w:t>
2022 год – 10,2 ц/га;</w:t>
            </w:r>
          </w:p>
          <w:p>
            <w:pPr>
              <w:spacing w:after="20"/>
              <w:ind w:left="20"/>
              <w:jc w:val="both"/>
            </w:pPr>
            <w:r>
              <w:rPr>
                <w:rFonts w:ascii="Times New Roman"/>
                <w:b w:val="false"/>
                <w:i w:val="false"/>
                <w:color w:val="000000"/>
                <w:sz w:val="20"/>
              </w:rPr>
              <w:t>
2023 год – 11,4 ц/га;</w:t>
            </w:r>
          </w:p>
          <w:p>
            <w:pPr>
              <w:spacing w:after="20"/>
              <w:ind w:left="20"/>
              <w:jc w:val="both"/>
            </w:pPr>
            <w:r>
              <w:rPr>
                <w:rFonts w:ascii="Times New Roman"/>
                <w:b w:val="false"/>
                <w:i w:val="false"/>
                <w:color w:val="000000"/>
                <w:sz w:val="20"/>
              </w:rPr>
              <w:t>
2024 год – 12,6 ц/га;</w:t>
            </w:r>
          </w:p>
          <w:p>
            <w:pPr>
              <w:spacing w:after="20"/>
              <w:ind w:left="20"/>
              <w:jc w:val="both"/>
            </w:pPr>
            <w:r>
              <w:rPr>
                <w:rFonts w:ascii="Times New Roman"/>
                <w:b w:val="false"/>
                <w:i w:val="false"/>
                <w:color w:val="000000"/>
                <w:sz w:val="20"/>
              </w:rPr>
              <w:t>
2025 год – 13,8 ц/га;</w:t>
            </w:r>
          </w:p>
          <w:p>
            <w:pPr>
              <w:spacing w:after="20"/>
              <w:ind w:left="20"/>
              <w:jc w:val="both"/>
            </w:pPr>
            <w:r>
              <w:rPr>
                <w:rFonts w:ascii="Times New Roman"/>
                <w:b w:val="false"/>
                <w:i w:val="false"/>
                <w:color w:val="000000"/>
                <w:sz w:val="20"/>
              </w:rPr>
              <w:t>
2026 год – 15,0 ц/га;</w:t>
            </w:r>
          </w:p>
          <w:p>
            <w:pPr>
              <w:spacing w:after="20"/>
              <w:ind w:left="20"/>
              <w:jc w:val="both"/>
            </w:pPr>
            <w:r>
              <w:rPr>
                <w:rFonts w:ascii="Times New Roman"/>
                <w:b w:val="false"/>
                <w:i w:val="false"/>
                <w:color w:val="000000"/>
                <w:sz w:val="20"/>
              </w:rPr>
              <w:t>
2027 год – 16,2 ц/га;</w:t>
            </w:r>
          </w:p>
          <w:p>
            <w:pPr>
              <w:spacing w:after="20"/>
              <w:ind w:left="20"/>
              <w:jc w:val="both"/>
            </w:pPr>
            <w:r>
              <w:rPr>
                <w:rFonts w:ascii="Times New Roman"/>
                <w:b w:val="false"/>
                <w:i w:val="false"/>
                <w:color w:val="000000"/>
                <w:sz w:val="20"/>
              </w:rPr>
              <w:t>
2028 год – 17,4 ц/га;</w:t>
            </w:r>
          </w:p>
          <w:p>
            <w:pPr>
              <w:spacing w:after="20"/>
              <w:ind w:left="20"/>
              <w:jc w:val="both"/>
            </w:pPr>
            <w:r>
              <w:rPr>
                <w:rFonts w:ascii="Times New Roman"/>
                <w:b w:val="false"/>
                <w:i w:val="false"/>
                <w:color w:val="000000"/>
                <w:sz w:val="20"/>
              </w:rPr>
              <w:t>
2029 год – 18,6 ц/га;</w:t>
            </w:r>
          </w:p>
          <w:p>
            <w:pPr>
              <w:spacing w:after="20"/>
              <w:ind w:left="20"/>
              <w:jc w:val="both"/>
            </w:pPr>
            <w:r>
              <w:rPr>
                <w:rFonts w:ascii="Times New Roman"/>
                <w:b w:val="false"/>
                <w:i w:val="false"/>
                <w:color w:val="000000"/>
                <w:sz w:val="20"/>
              </w:rPr>
              <w:t>
2030 год – 20,0 ц/га.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МВРИ, МФ, МЦРИАП, акиматы областей, городов Астаны, Алматы и Шымкента, АО "НУХ "Байтерек" (по согласованию),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Уровень обновления сельскохозяйственной техники, %:</w:t>
            </w:r>
          </w:p>
          <w:p>
            <w:pPr>
              <w:spacing w:after="20"/>
              <w:ind w:left="20"/>
              <w:jc w:val="both"/>
            </w:pPr>
            <w:r>
              <w:rPr>
                <w:rFonts w:ascii="Times New Roman"/>
                <w:b w:val="false"/>
                <w:i w:val="false"/>
                <w:color w:val="000000"/>
                <w:sz w:val="20"/>
              </w:rPr>
              <w:t>
2023 год – 4,5 %;</w:t>
            </w:r>
          </w:p>
          <w:p>
            <w:pPr>
              <w:spacing w:after="20"/>
              <w:ind w:left="20"/>
              <w:jc w:val="both"/>
            </w:pPr>
            <w:r>
              <w:rPr>
                <w:rFonts w:ascii="Times New Roman"/>
                <w:b w:val="false"/>
                <w:i w:val="false"/>
                <w:color w:val="000000"/>
                <w:sz w:val="20"/>
              </w:rPr>
              <w:t>
2024 год – 5,2 %;</w:t>
            </w:r>
          </w:p>
          <w:p>
            <w:pPr>
              <w:spacing w:after="20"/>
              <w:ind w:left="20"/>
              <w:jc w:val="both"/>
            </w:pPr>
            <w:r>
              <w:rPr>
                <w:rFonts w:ascii="Times New Roman"/>
                <w:b w:val="false"/>
                <w:i w:val="false"/>
                <w:color w:val="000000"/>
                <w:sz w:val="20"/>
              </w:rPr>
              <w:t>
2025 год – 6,5 %;</w:t>
            </w:r>
          </w:p>
          <w:p>
            <w:pPr>
              <w:spacing w:after="20"/>
              <w:ind w:left="20"/>
              <w:jc w:val="both"/>
            </w:pPr>
            <w:r>
              <w:rPr>
                <w:rFonts w:ascii="Times New Roman"/>
                <w:b w:val="false"/>
                <w:i w:val="false"/>
                <w:color w:val="000000"/>
                <w:sz w:val="20"/>
              </w:rPr>
              <w:t>
2026 год – 8 %;</w:t>
            </w:r>
          </w:p>
          <w:p>
            <w:pPr>
              <w:spacing w:after="20"/>
              <w:ind w:left="20"/>
              <w:jc w:val="both"/>
            </w:pPr>
            <w:r>
              <w:rPr>
                <w:rFonts w:ascii="Times New Roman"/>
                <w:b w:val="false"/>
                <w:i w:val="false"/>
                <w:color w:val="000000"/>
                <w:sz w:val="20"/>
              </w:rPr>
              <w:t>
2027 год – 8,5 %;</w:t>
            </w:r>
          </w:p>
          <w:p>
            <w:pPr>
              <w:spacing w:after="20"/>
              <w:ind w:left="20"/>
              <w:jc w:val="both"/>
            </w:pPr>
            <w:r>
              <w:rPr>
                <w:rFonts w:ascii="Times New Roman"/>
                <w:b w:val="false"/>
                <w:i w:val="false"/>
                <w:color w:val="000000"/>
                <w:sz w:val="20"/>
              </w:rPr>
              <w:t>
2028 год – 9 %;</w:t>
            </w:r>
          </w:p>
          <w:p>
            <w:pPr>
              <w:spacing w:after="20"/>
              <w:ind w:left="20"/>
              <w:jc w:val="both"/>
            </w:pPr>
            <w:r>
              <w:rPr>
                <w:rFonts w:ascii="Times New Roman"/>
                <w:b w:val="false"/>
                <w:i w:val="false"/>
                <w:color w:val="000000"/>
                <w:sz w:val="20"/>
              </w:rPr>
              <w:t>
2029 год – 9,5 %;</w:t>
            </w:r>
          </w:p>
          <w:p>
            <w:pPr>
              <w:spacing w:after="20"/>
              <w:ind w:left="20"/>
              <w:jc w:val="both"/>
            </w:pPr>
            <w:r>
              <w:rPr>
                <w:rFonts w:ascii="Times New Roman"/>
                <w:b w:val="false"/>
                <w:i w:val="false"/>
                <w:color w:val="000000"/>
                <w:sz w:val="20"/>
              </w:rPr>
              <w:t>
2030 год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акиматы областей, городов Астаны, Алматы и Шымкента, АО "НУХ "Байтерек" (по согласованию), АО "КазАгроФинанс"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Уровень обеспеченности отечественными семенами до 80 %:</w:t>
            </w:r>
          </w:p>
          <w:p>
            <w:pPr>
              <w:spacing w:after="20"/>
              <w:ind w:left="20"/>
              <w:jc w:val="both"/>
            </w:pPr>
            <w:r>
              <w:rPr>
                <w:rFonts w:ascii="Times New Roman"/>
                <w:b w:val="false"/>
                <w:i w:val="false"/>
                <w:color w:val="000000"/>
                <w:sz w:val="20"/>
              </w:rPr>
              <w:t>2023 год – 51,3 %;</w:t>
            </w:r>
          </w:p>
          <w:p>
            <w:pPr>
              <w:spacing w:after="20"/>
              <w:ind w:left="20"/>
              <w:jc w:val="both"/>
            </w:pPr>
            <w:r>
              <w:rPr>
                <w:rFonts w:ascii="Times New Roman"/>
                <w:b w:val="false"/>
                <w:i w:val="false"/>
                <w:color w:val="000000"/>
                <w:sz w:val="20"/>
              </w:rPr>
              <w:t>2024 год – 55,6 %;</w:t>
            </w:r>
          </w:p>
          <w:p>
            <w:pPr>
              <w:spacing w:after="20"/>
              <w:ind w:left="20"/>
              <w:jc w:val="both"/>
            </w:pPr>
            <w:r>
              <w:rPr>
                <w:rFonts w:ascii="Times New Roman"/>
                <w:b w:val="false"/>
                <w:i w:val="false"/>
                <w:color w:val="000000"/>
                <w:sz w:val="20"/>
              </w:rPr>
              <w:t>2025 год – 62,2 %;</w:t>
            </w:r>
          </w:p>
          <w:p>
            <w:pPr>
              <w:spacing w:after="20"/>
              <w:ind w:left="20"/>
              <w:jc w:val="both"/>
            </w:pPr>
            <w:r>
              <w:rPr>
                <w:rFonts w:ascii="Times New Roman"/>
                <w:b w:val="false"/>
                <w:i w:val="false"/>
                <w:color w:val="000000"/>
                <w:sz w:val="20"/>
              </w:rPr>
              <w:t>2026 год – 69,8 %;</w:t>
            </w:r>
          </w:p>
          <w:p>
            <w:pPr>
              <w:spacing w:after="20"/>
              <w:ind w:left="20"/>
              <w:jc w:val="both"/>
            </w:pPr>
            <w:r>
              <w:rPr>
                <w:rFonts w:ascii="Times New Roman"/>
                <w:b w:val="false"/>
                <w:i w:val="false"/>
                <w:color w:val="000000"/>
                <w:sz w:val="20"/>
              </w:rPr>
              <w:t>2027 год – 77,3 %</w:t>
            </w:r>
          </w:p>
          <w:p>
            <w:pPr>
              <w:spacing w:after="20"/>
              <w:ind w:left="20"/>
              <w:jc w:val="both"/>
            </w:pPr>
            <w:r>
              <w:rPr>
                <w:rFonts w:ascii="Times New Roman"/>
                <w:b w:val="false"/>
                <w:i w:val="false"/>
                <w:color w:val="000000"/>
                <w:sz w:val="20"/>
              </w:rPr>
              <w:t>2028 год – 78,2 %;</w:t>
            </w:r>
          </w:p>
          <w:p>
            <w:pPr>
              <w:spacing w:after="20"/>
              <w:ind w:left="20"/>
              <w:jc w:val="both"/>
            </w:pPr>
            <w:r>
              <w:rPr>
                <w:rFonts w:ascii="Times New Roman"/>
                <w:b w:val="false"/>
                <w:i w:val="false"/>
                <w:color w:val="000000"/>
                <w:sz w:val="20"/>
              </w:rPr>
              <w:t>2029 год – 79,1 %;</w:t>
            </w:r>
          </w:p>
          <w:p>
            <w:pPr>
              <w:spacing w:after="20"/>
              <w:ind w:left="20"/>
              <w:jc w:val="both"/>
            </w:pPr>
            <w:r>
              <w:rPr>
                <w:rFonts w:ascii="Times New Roman"/>
                <w:b w:val="false"/>
                <w:i w:val="false"/>
                <w:color w:val="000000"/>
                <w:sz w:val="20"/>
              </w:rPr>
              <w:t>2030 год – 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w:t>
            </w:r>
          </w:p>
          <w:p>
            <w:pPr>
              <w:spacing w:after="20"/>
              <w:ind w:left="20"/>
              <w:jc w:val="both"/>
            </w:pPr>
            <w:r>
              <w:rPr>
                <w:rFonts w:ascii="Times New Roman"/>
                <w:b w:val="false"/>
                <w:i w:val="false"/>
                <w:color w:val="000000"/>
                <w:sz w:val="20"/>
              </w:rPr>
              <w:t>Астаны, Алматы и Шымкента, НАО "НАНОЦ"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 Уровень внесения минеральных удобрений до 50 % от научной потребности:</w:t>
            </w:r>
          </w:p>
          <w:p>
            <w:pPr>
              <w:spacing w:after="20"/>
              <w:ind w:left="20"/>
              <w:jc w:val="both"/>
            </w:pPr>
            <w:r>
              <w:rPr>
                <w:rFonts w:ascii="Times New Roman"/>
                <w:b w:val="false"/>
                <w:i w:val="false"/>
                <w:color w:val="000000"/>
                <w:sz w:val="20"/>
              </w:rPr>
              <w:t>
2022 год – 25 %;</w:t>
            </w:r>
          </w:p>
          <w:p>
            <w:pPr>
              <w:spacing w:after="20"/>
              <w:ind w:left="20"/>
              <w:jc w:val="both"/>
            </w:pPr>
            <w:r>
              <w:rPr>
                <w:rFonts w:ascii="Times New Roman"/>
                <w:b w:val="false"/>
                <w:i w:val="false"/>
                <w:color w:val="000000"/>
                <w:sz w:val="20"/>
              </w:rPr>
              <w:t>
2023 год – 26 %;</w:t>
            </w:r>
          </w:p>
          <w:p>
            <w:pPr>
              <w:spacing w:after="20"/>
              <w:ind w:left="20"/>
              <w:jc w:val="both"/>
            </w:pPr>
            <w:r>
              <w:rPr>
                <w:rFonts w:ascii="Times New Roman"/>
                <w:b w:val="false"/>
                <w:i w:val="false"/>
                <w:color w:val="000000"/>
                <w:sz w:val="20"/>
              </w:rPr>
              <w:t>
2024 год – 27 %;</w:t>
            </w:r>
          </w:p>
          <w:p>
            <w:pPr>
              <w:spacing w:after="20"/>
              <w:ind w:left="20"/>
              <w:jc w:val="both"/>
            </w:pPr>
            <w:r>
              <w:rPr>
                <w:rFonts w:ascii="Times New Roman"/>
                <w:b w:val="false"/>
                <w:i w:val="false"/>
                <w:color w:val="000000"/>
                <w:sz w:val="20"/>
              </w:rPr>
              <w:t>
2025 год – 29 %;</w:t>
            </w:r>
          </w:p>
          <w:p>
            <w:pPr>
              <w:spacing w:after="20"/>
              <w:ind w:left="20"/>
              <w:jc w:val="both"/>
            </w:pPr>
            <w:r>
              <w:rPr>
                <w:rFonts w:ascii="Times New Roman"/>
                <w:b w:val="false"/>
                <w:i w:val="false"/>
                <w:color w:val="000000"/>
                <w:sz w:val="20"/>
              </w:rPr>
              <w:t>
2026 год – 30 %;</w:t>
            </w:r>
          </w:p>
          <w:p>
            <w:pPr>
              <w:spacing w:after="20"/>
              <w:ind w:left="20"/>
              <w:jc w:val="both"/>
            </w:pPr>
            <w:r>
              <w:rPr>
                <w:rFonts w:ascii="Times New Roman"/>
                <w:b w:val="false"/>
                <w:i w:val="false"/>
                <w:color w:val="000000"/>
                <w:sz w:val="20"/>
              </w:rPr>
              <w:t>
2027 год – 32 %;</w:t>
            </w:r>
          </w:p>
          <w:p>
            <w:pPr>
              <w:spacing w:after="20"/>
              <w:ind w:left="20"/>
              <w:jc w:val="both"/>
            </w:pPr>
            <w:r>
              <w:rPr>
                <w:rFonts w:ascii="Times New Roman"/>
                <w:b w:val="false"/>
                <w:i w:val="false"/>
                <w:color w:val="000000"/>
                <w:sz w:val="20"/>
              </w:rPr>
              <w:t>
2028 год – 35 %;</w:t>
            </w:r>
          </w:p>
          <w:p>
            <w:pPr>
              <w:spacing w:after="20"/>
              <w:ind w:left="20"/>
              <w:jc w:val="both"/>
            </w:pPr>
            <w:r>
              <w:rPr>
                <w:rFonts w:ascii="Times New Roman"/>
                <w:b w:val="false"/>
                <w:i w:val="false"/>
                <w:color w:val="000000"/>
                <w:sz w:val="20"/>
              </w:rPr>
              <w:t>
2029 год – 38 %;</w:t>
            </w:r>
          </w:p>
          <w:p>
            <w:pPr>
              <w:spacing w:after="20"/>
              <w:ind w:left="20"/>
              <w:jc w:val="both"/>
            </w:pPr>
            <w:r>
              <w:rPr>
                <w:rFonts w:ascii="Times New Roman"/>
                <w:b w:val="false"/>
                <w:i w:val="false"/>
                <w:color w:val="000000"/>
                <w:sz w:val="20"/>
              </w:rPr>
              <w:t>
2030 год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центральные</w:t>
            </w:r>
          </w:p>
          <w:p>
            <w:pPr>
              <w:spacing w:after="20"/>
              <w:ind w:left="20"/>
              <w:jc w:val="both"/>
            </w:pPr>
            <w:r>
              <w:rPr>
                <w:rFonts w:ascii="Times New Roman"/>
                <w:b w:val="false"/>
                <w:i w:val="false"/>
                <w:color w:val="000000"/>
                <w:sz w:val="20"/>
              </w:rPr>
              <w:t xml:space="preserve">
государственные органы,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увеличению производства валовой продукции сельского хозяйства в два раза за 5 лет, в том числе путем проработки вопросов по:</w:t>
            </w:r>
          </w:p>
          <w:p>
            <w:pPr>
              <w:spacing w:after="20"/>
              <w:ind w:left="20"/>
              <w:jc w:val="both"/>
            </w:pPr>
            <w:r>
              <w:rPr>
                <w:rFonts w:ascii="Times New Roman"/>
                <w:b w:val="false"/>
                <w:i w:val="false"/>
                <w:color w:val="000000"/>
                <w:sz w:val="20"/>
              </w:rPr>
              <w:t>
доведению объемов субсидирования до допустимого уровня в рамках вступления в ВТО как минимум в 2 раза;</w:t>
            </w:r>
          </w:p>
          <w:p>
            <w:pPr>
              <w:spacing w:after="20"/>
              <w:ind w:left="20"/>
              <w:jc w:val="both"/>
            </w:pPr>
            <w:r>
              <w:rPr>
                <w:rFonts w:ascii="Times New Roman"/>
                <w:b w:val="false"/>
                <w:i w:val="false"/>
                <w:color w:val="000000"/>
                <w:sz w:val="20"/>
              </w:rPr>
              <w:t>
обеспечению льготным кредитованием весенне-полевых и уборочных работ в объеме не менее 1,5 трлн тенге (на приобретение семян, удобрений, пестицидов, ГСМ);</w:t>
            </w:r>
          </w:p>
          <w:p>
            <w:pPr>
              <w:spacing w:after="20"/>
              <w:ind w:left="20"/>
              <w:jc w:val="both"/>
            </w:pPr>
            <w:r>
              <w:rPr>
                <w:rFonts w:ascii="Times New Roman"/>
                <w:b w:val="false"/>
                <w:i w:val="false"/>
                <w:color w:val="000000"/>
                <w:sz w:val="20"/>
              </w:rPr>
              <w:t>
доведению объемов льготного лизинга до 450 млрд тенге для финансирования приобретения отечественной сельскохозяйственной техники, оборудования в целях обновления сельхозтехники на уровне 8-10 % в год (предметом лизинга является отечественные сельскохозяйственные техника и оборудование, имеющие соглашение о промышленной сборке);</w:t>
            </w:r>
          </w:p>
          <w:p>
            <w:pPr>
              <w:spacing w:after="20"/>
              <w:ind w:left="20"/>
              <w:jc w:val="both"/>
            </w:pPr>
            <w:r>
              <w:rPr>
                <w:rFonts w:ascii="Times New Roman"/>
                <w:b w:val="false"/>
                <w:i w:val="false"/>
                <w:color w:val="000000"/>
                <w:sz w:val="20"/>
              </w:rPr>
              <w:t>
финансированию реализации инвестиционных проектов на сумму 800 млрд тенге, в том числе по опыту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акиматы областей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государственной поддержки субъектов АПК в виде субсидирования:</w:t>
            </w:r>
          </w:p>
          <w:p>
            <w:pPr>
              <w:spacing w:after="20"/>
              <w:ind w:left="20"/>
              <w:jc w:val="both"/>
            </w:pPr>
            <w:r>
              <w:rPr>
                <w:rFonts w:ascii="Times New Roman"/>
                <w:b w:val="false"/>
                <w:i w:val="false"/>
                <w:color w:val="000000"/>
                <w:sz w:val="20"/>
              </w:rPr>
              <w:t>
растениеводства;</w:t>
            </w:r>
          </w:p>
          <w:p>
            <w:pPr>
              <w:spacing w:after="20"/>
              <w:ind w:left="20"/>
              <w:jc w:val="both"/>
            </w:pPr>
            <w:r>
              <w:rPr>
                <w:rFonts w:ascii="Times New Roman"/>
                <w:b w:val="false"/>
                <w:i w:val="false"/>
                <w:color w:val="000000"/>
                <w:sz w:val="20"/>
              </w:rPr>
              <w:t>
животноводства;</w:t>
            </w:r>
          </w:p>
          <w:p>
            <w:pPr>
              <w:spacing w:after="20"/>
              <w:ind w:left="20"/>
              <w:jc w:val="both"/>
            </w:pPr>
            <w:r>
              <w:rPr>
                <w:rFonts w:ascii="Times New Roman"/>
                <w:b w:val="false"/>
                <w:i w:val="false"/>
                <w:color w:val="000000"/>
                <w:sz w:val="20"/>
              </w:rPr>
              <w:t>
переработки сельхозпродукции;</w:t>
            </w:r>
          </w:p>
          <w:p>
            <w:pPr>
              <w:spacing w:after="20"/>
              <w:ind w:left="20"/>
              <w:jc w:val="both"/>
            </w:pPr>
            <w:r>
              <w:rPr>
                <w:rFonts w:ascii="Times New Roman"/>
                <w:b w:val="false"/>
                <w:i w:val="false"/>
                <w:color w:val="000000"/>
                <w:sz w:val="20"/>
              </w:rPr>
              <w:t>
финансовых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объеме выделенных субсидий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w:t>
            </w:r>
          </w:p>
          <w:p>
            <w:pPr>
              <w:spacing w:after="20"/>
              <w:ind w:left="20"/>
              <w:jc w:val="both"/>
            </w:pPr>
            <w:r>
              <w:rPr>
                <w:rFonts w:ascii="Times New Roman"/>
                <w:b w:val="false"/>
                <w:i w:val="false"/>
                <w:color w:val="000000"/>
                <w:sz w:val="20"/>
              </w:rPr>
              <w:t xml:space="preserve">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диверсификации в растениеводстве, предусматривающей увеличение площадей высокорентабельных (масличных, овощных, бахчевых, кормовых культур) и сокращение водоемких (риса, хлопка) сельскохозяйственных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площадей масличных, овощных, бахчевых, кормовых культур и уменьшение площадей риса и хлопка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"КазАгроФинанс" через увеличение уставного капитала АО "Аграрная кредитная корпорация" в 2023 году до 20 млрд тенге, 2024 – 2025 годы до 30 млрд тенге ежегодно для финансирования приобретения сельскохозяйственной, кормозаготовительной техники и мобильных систем орошения для последующей передачи в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"КазАгроФинанс"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долгосрочного бюджетного кредита АО "КазАгроФинанс" до 30 млрд тенге ежегодно в 2023 – 2025 годах для финансирования приобретения </w:t>
            </w:r>
          </w:p>
          <w:p>
            <w:pPr>
              <w:spacing w:after="20"/>
              <w:ind w:left="20"/>
              <w:jc w:val="both"/>
            </w:pPr>
            <w:r>
              <w:rPr>
                <w:rFonts w:ascii="Times New Roman"/>
                <w:b w:val="false"/>
                <w:i w:val="false"/>
                <w:color w:val="000000"/>
                <w:sz w:val="20"/>
              </w:rPr>
              <w:t>сельскохозяйственной техники казахстанского производства и (или) сборки для последующей передачи в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"КазАгроФинанс"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лимитов предельной стоимости сельскохозяйственной техники в рамках инвестиционного субсидирования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и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МПС, АСПиР (по согласованию),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единого электронного паспорта регистрируемой сельскохозяйственной техники (финансирование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информационной системы ЕАСУ ГРСТ с информационными системами заинтересованных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МПС,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парка самоходной сельскохозяйственной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парка сельскохозяйственной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МНЭ, МФ,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сортоиспытательной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законодательных мер, регламентирующих присоединение Казахстана к Международному союзу по охране новых сортов растений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целесообразности регламентации возврата к разрешительному (ограничительному) характеру ведения Государственного реестра селекционных достижений, рекомендуемых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отечественного семеноводства и аграрной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план по развитию селекции и семеноводства сельскохозяйственных культур Республики Казахстан на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МНВО, МИО, НПП "Атамекен" (по согласованию),</w:t>
            </w:r>
          </w:p>
          <w:p>
            <w:pPr>
              <w:spacing w:after="20"/>
              <w:ind w:left="20"/>
              <w:jc w:val="both"/>
            </w:pPr>
            <w:r>
              <w:rPr>
                <w:rFonts w:ascii="Times New Roman"/>
                <w:b w:val="false"/>
                <w:i w:val="false"/>
                <w:color w:val="000000"/>
                <w:sz w:val="20"/>
              </w:rPr>
              <w:t>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 Республики Казахстан "О государственном регулировании развития агропромышленного комплекса и сельских территорий" в части:</w:t>
            </w:r>
          </w:p>
          <w:p>
            <w:pPr>
              <w:spacing w:after="20"/>
              <w:ind w:left="20"/>
              <w:jc w:val="both"/>
            </w:pPr>
            <w:r>
              <w:rPr>
                <w:rFonts w:ascii="Times New Roman"/>
                <w:b w:val="false"/>
                <w:i w:val="false"/>
                <w:color w:val="000000"/>
                <w:sz w:val="20"/>
              </w:rPr>
              <w:t>
закрепления компетенции уполномоченного органа в области развития агропромышленного комплекса по установлению тарифов на оказываемые платные виды услуг государственным учреждением в сфере агрохимического обслуживания сельскохозяйственного производства;</w:t>
            </w:r>
          </w:p>
          <w:p>
            <w:pPr>
              <w:spacing w:after="20"/>
              <w:ind w:left="20"/>
              <w:jc w:val="both"/>
            </w:pPr>
            <w:r>
              <w:rPr>
                <w:rFonts w:ascii="Times New Roman"/>
                <w:b w:val="false"/>
                <w:i w:val="false"/>
                <w:color w:val="000000"/>
                <w:sz w:val="20"/>
              </w:rPr>
              <w:t>
закрепления государственной поддержки субсидирования приобретения органических удобрений промышленного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p>
            <w:pPr>
              <w:spacing w:after="20"/>
              <w:ind w:left="20"/>
              <w:jc w:val="both"/>
            </w:pPr>
            <w:r>
              <w:rPr>
                <w:rFonts w:ascii="Times New Roman"/>
                <w:b w:val="false"/>
                <w:i w:val="false"/>
                <w:color w:val="000000"/>
                <w:sz w:val="20"/>
              </w:rPr>
              <w:t>
декабрь 2027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p>
            <w:pPr>
              <w:spacing w:after="20"/>
              <w:ind w:left="20"/>
              <w:jc w:val="both"/>
            </w:pPr>
            <w:r>
              <w:rPr>
                <w:rFonts w:ascii="Times New Roman"/>
                <w:b w:val="false"/>
                <w:i w:val="false"/>
                <w:color w:val="000000"/>
                <w:sz w:val="20"/>
              </w:rPr>
              <w:t>
МСХ, МНЭ, МФ, МПС, акиматы областей и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производства отечественных минеральных удобрений и расширение их ассортимента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 января, следующего за отчетным</w:t>
            </w:r>
          </w:p>
          <w:p>
            <w:pPr>
              <w:spacing w:after="20"/>
              <w:ind w:left="20"/>
              <w:jc w:val="both"/>
            </w:pPr>
            <w:r>
              <w:rPr>
                <w:rFonts w:ascii="Times New Roman"/>
                <w:b w:val="false"/>
                <w:i w:val="false"/>
                <w:color w:val="000000"/>
                <w:sz w:val="20"/>
              </w:rPr>
              <w:t>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авансового субсидирования отечественных производителей минеральных удобрений и сельскохозяйственной техники (в рамках средств, предусмотренных в бюджете)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МПС,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деятельности республиканского научно-методического центра агрохимической службы,</w:t>
            </w:r>
          </w:p>
          <w:p>
            <w:pPr>
              <w:spacing w:after="20"/>
              <w:ind w:left="20"/>
              <w:jc w:val="both"/>
            </w:pPr>
            <w:r>
              <w:rPr>
                <w:rFonts w:ascii="Times New Roman"/>
                <w:b w:val="false"/>
                <w:i w:val="false"/>
                <w:color w:val="000000"/>
                <w:sz w:val="20"/>
              </w:rPr>
              <w:t>
усовершенствование его материально-технической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 "О внесении изменения в приказ Министра сельского хозяйства Республики Казахстан от 31 марта 2015 года № 4-6/295 "Об утверждении натуральных норм агрохимического обслуживания сельскохозяйственного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 Уровень обеспеченности продовольственными товарами (в том числе социально значимыми) не менее 90 %:</w:t>
            </w:r>
          </w:p>
          <w:p>
            <w:pPr>
              <w:spacing w:after="20"/>
              <w:ind w:left="20"/>
              <w:jc w:val="both"/>
            </w:pPr>
            <w:r>
              <w:rPr>
                <w:rFonts w:ascii="Times New Roman"/>
                <w:b w:val="false"/>
                <w:i w:val="false"/>
                <w:color w:val="000000"/>
                <w:sz w:val="20"/>
              </w:rPr>
              <w:t>
2021 год – не менее 80 %;</w:t>
            </w:r>
          </w:p>
          <w:p>
            <w:pPr>
              <w:spacing w:after="20"/>
              <w:ind w:left="20"/>
              <w:jc w:val="both"/>
            </w:pPr>
            <w:r>
              <w:rPr>
                <w:rFonts w:ascii="Times New Roman"/>
                <w:b w:val="false"/>
                <w:i w:val="false"/>
                <w:color w:val="000000"/>
                <w:sz w:val="20"/>
              </w:rPr>
              <w:t>
2022 год – не менее 80 %;</w:t>
            </w:r>
          </w:p>
          <w:p>
            <w:pPr>
              <w:spacing w:after="20"/>
              <w:ind w:left="20"/>
              <w:jc w:val="both"/>
            </w:pPr>
            <w:r>
              <w:rPr>
                <w:rFonts w:ascii="Times New Roman"/>
                <w:b w:val="false"/>
                <w:i w:val="false"/>
                <w:color w:val="000000"/>
                <w:sz w:val="20"/>
              </w:rPr>
              <w:t>
2023 год – не менее 80 %;</w:t>
            </w:r>
          </w:p>
          <w:p>
            <w:pPr>
              <w:spacing w:after="20"/>
              <w:ind w:left="20"/>
              <w:jc w:val="both"/>
            </w:pPr>
            <w:r>
              <w:rPr>
                <w:rFonts w:ascii="Times New Roman"/>
                <w:b w:val="false"/>
                <w:i w:val="false"/>
                <w:color w:val="000000"/>
                <w:sz w:val="20"/>
              </w:rPr>
              <w:t>
2024 год – не менее 80 %;</w:t>
            </w:r>
          </w:p>
          <w:p>
            <w:pPr>
              <w:spacing w:after="20"/>
              <w:ind w:left="20"/>
              <w:jc w:val="both"/>
            </w:pPr>
            <w:r>
              <w:rPr>
                <w:rFonts w:ascii="Times New Roman"/>
                <w:b w:val="false"/>
                <w:i w:val="false"/>
                <w:color w:val="000000"/>
                <w:sz w:val="20"/>
              </w:rPr>
              <w:t>
2025 год – не менее 80 %;</w:t>
            </w:r>
          </w:p>
          <w:p>
            <w:pPr>
              <w:spacing w:after="20"/>
              <w:ind w:left="20"/>
              <w:jc w:val="both"/>
            </w:pPr>
            <w:r>
              <w:rPr>
                <w:rFonts w:ascii="Times New Roman"/>
                <w:b w:val="false"/>
                <w:i w:val="false"/>
                <w:color w:val="000000"/>
                <w:sz w:val="20"/>
              </w:rPr>
              <w:t>
2026 год – не менее 82 %;</w:t>
            </w:r>
          </w:p>
          <w:p>
            <w:pPr>
              <w:spacing w:after="20"/>
              <w:ind w:left="20"/>
              <w:jc w:val="both"/>
            </w:pPr>
            <w:r>
              <w:rPr>
                <w:rFonts w:ascii="Times New Roman"/>
                <w:b w:val="false"/>
                <w:i w:val="false"/>
                <w:color w:val="000000"/>
                <w:sz w:val="20"/>
              </w:rPr>
              <w:t>
2027 год – не менее 84 %;</w:t>
            </w:r>
          </w:p>
          <w:p>
            <w:pPr>
              <w:spacing w:after="20"/>
              <w:ind w:left="20"/>
              <w:jc w:val="both"/>
            </w:pPr>
            <w:r>
              <w:rPr>
                <w:rFonts w:ascii="Times New Roman"/>
                <w:b w:val="false"/>
                <w:i w:val="false"/>
                <w:color w:val="000000"/>
                <w:sz w:val="20"/>
              </w:rPr>
              <w:t>
2028 год – не менее 86 %;</w:t>
            </w:r>
          </w:p>
          <w:p>
            <w:pPr>
              <w:spacing w:after="20"/>
              <w:ind w:left="20"/>
              <w:jc w:val="both"/>
            </w:pPr>
            <w:r>
              <w:rPr>
                <w:rFonts w:ascii="Times New Roman"/>
                <w:b w:val="false"/>
                <w:i w:val="false"/>
                <w:color w:val="000000"/>
                <w:sz w:val="20"/>
              </w:rPr>
              <w:t>
2029 год – не менее 88 %;</w:t>
            </w:r>
          </w:p>
          <w:p>
            <w:pPr>
              <w:spacing w:after="20"/>
              <w:ind w:left="20"/>
              <w:jc w:val="both"/>
            </w:pPr>
            <w:r>
              <w:rPr>
                <w:rFonts w:ascii="Times New Roman"/>
                <w:b w:val="false"/>
                <w:i w:val="false"/>
                <w:color w:val="000000"/>
                <w:sz w:val="20"/>
              </w:rPr>
              <w:t>
2030 год – не менее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АО "НУХ "Байтерек"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 Самообеспечение основными продовольственными товарами собственного производства:</w:t>
            </w:r>
          </w:p>
          <w:p>
            <w:pPr>
              <w:spacing w:after="20"/>
              <w:ind w:left="20"/>
              <w:jc w:val="both"/>
            </w:pPr>
            <w:r>
              <w:rPr>
                <w:rFonts w:ascii="Times New Roman"/>
                <w:b w:val="false"/>
                <w:i w:val="false"/>
                <w:color w:val="000000"/>
                <w:sz w:val="20"/>
              </w:rPr>
              <w:t xml:space="preserve">
 2023 год – яблоки – 85 %, колбасные изделия – 63 %, сыры и творог – 59 %, сахар – 55 %, мясо птицы – 75 %; </w:t>
            </w:r>
          </w:p>
          <w:p>
            <w:pPr>
              <w:spacing w:after="20"/>
              <w:ind w:left="20"/>
              <w:jc w:val="both"/>
            </w:pPr>
            <w:r>
              <w:rPr>
                <w:rFonts w:ascii="Times New Roman"/>
                <w:b w:val="false"/>
                <w:i w:val="false"/>
                <w:color w:val="000000"/>
                <w:sz w:val="20"/>
              </w:rPr>
              <w:t>
2024 год – яблоки – 90 %, колбасные изделия – 66 %, сыры и творог – 65 %, сахар – 65 %, мясо птицы – 85 %;</w:t>
            </w:r>
          </w:p>
          <w:p>
            <w:pPr>
              <w:spacing w:after="20"/>
              <w:ind w:left="20"/>
              <w:jc w:val="both"/>
            </w:pPr>
            <w:r>
              <w:rPr>
                <w:rFonts w:ascii="Times New Roman"/>
                <w:b w:val="false"/>
                <w:i w:val="false"/>
                <w:color w:val="000000"/>
                <w:sz w:val="20"/>
              </w:rPr>
              <w:t>
2025 год – яблоки – 95 %, колбасные изделия – 69 %, сыры и творог – 68 %, сахар – 68 %, мясо птицы – 87 %;</w:t>
            </w:r>
          </w:p>
          <w:p>
            <w:pPr>
              <w:spacing w:after="20"/>
              <w:ind w:left="20"/>
              <w:jc w:val="both"/>
            </w:pPr>
            <w:r>
              <w:rPr>
                <w:rFonts w:ascii="Times New Roman"/>
                <w:b w:val="false"/>
                <w:i w:val="false"/>
                <w:color w:val="000000"/>
                <w:sz w:val="20"/>
              </w:rPr>
              <w:t>
2026 год – яблоки – 100 %, колбасные изделия – 74 %, сыры и творог – 72 %, сахар – 70 %, мясо птицы – 90 %;</w:t>
            </w:r>
          </w:p>
          <w:p>
            <w:pPr>
              <w:spacing w:after="20"/>
              <w:ind w:left="20"/>
              <w:jc w:val="both"/>
            </w:pPr>
            <w:r>
              <w:rPr>
                <w:rFonts w:ascii="Times New Roman"/>
                <w:b w:val="false"/>
                <w:i w:val="false"/>
                <w:color w:val="000000"/>
                <w:sz w:val="20"/>
              </w:rPr>
              <w:t>
2027 год – яблоки – 100 %, колбасные изделия – 80 %, сыры и творог – 80 %, сахар – 80 %, мясо птицы –100 %;</w:t>
            </w:r>
          </w:p>
          <w:p>
            <w:pPr>
              <w:spacing w:after="20"/>
              <w:ind w:left="20"/>
              <w:jc w:val="both"/>
            </w:pPr>
            <w:r>
              <w:rPr>
                <w:rFonts w:ascii="Times New Roman"/>
                <w:b w:val="false"/>
                <w:i w:val="false"/>
                <w:color w:val="000000"/>
                <w:sz w:val="20"/>
              </w:rPr>
              <w:t>
2028 год – яблоки – 100 %, колбасные изделия – 82 %, сыры и творог – 82 %, сахар – 83 %, мясо птицы –100 %;</w:t>
            </w:r>
          </w:p>
          <w:p>
            <w:pPr>
              <w:spacing w:after="20"/>
              <w:ind w:left="20"/>
              <w:jc w:val="both"/>
            </w:pPr>
            <w:r>
              <w:rPr>
                <w:rFonts w:ascii="Times New Roman"/>
                <w:b w:val="false"/>
                <w:i w:val="false"/>
                <w:color w:val="000000"/>
                <w:sz w:val="20"/>
              </w:rPr>
              <w:t>
2029 год – яблоки – 100 %, колбасные изделия – 85 %, сыры и творог – 85 %, сахар – 83 %, мясо птицы –100 %;</w:t>
            </w:r>
          </w:p>
          <w:p>
            <w:pPr>
              <w:spacing w:after="20"/>
              <w:ind w:left="20"/>
              <w:jc w:val="both"/>
            </w:pPr>
            <w:r>
              <w:rPr>
                <w:rFonts w:ascii="Times New Roman"/>
                <w:b w:val="false"/>
                <w:i w:val="false"/>
                <w:color w:val="000000"/>
                <w:sz w:val="20"/>
              </w:rPr>
              <w:t>
2030 год – яблоки – 100 %, колбасные изделия – 100 %, сыры и творог – 100 %, сахар – 83 %, мясо птицы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долгосрочного бюджетного кредита до 40 млрд тенге в 2023 – 2024 годах АО "Аграрная кредитная корпорация" для финансирования субъектов агропромышленного комплекса на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p>
            <w:pPr>
              <w:spacing w:after="20"/>
              <w:ind w:left="20"/>
              <w:jc w:val="both"/>
            </w:pPr>
            <w:r>
              <w:rPr>
                <w:rFonts w:ascii="Times New Roman"/>
                <w:b w:val="false"/>
                <w:i w:val="false"/>
                <w:color w:val="000000"/>
                <w:sz w:val="20"/>
              </w:rPr>
              <w:t>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"Байтерек" с последующим увеличением уставного капитала АО "Аграрная кредитная корпорация" ежегодно до 30 млрд тенге на 2024 – 2025 годы для финансирования субъектов АПК на реализацию инвестиционных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p>
            <w:pPr>
              <w:spacing w:after="20"/>
              <w:ind w:left="20"/>
              <w:jc w:val="both"/>
            </w:pPr>
            <w:r>
              <w:rPr>
                <w:rFonts w:ascii="Times New Roman"/>
                <w:b w:val="false"/>
                <w:i w:val="false"/>
                <w:color w:val="000000"/>
                <w:sz w:val="20"/>
              </w:rPr>
              <w:t>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ежегодно до 140 млрд тенге для проведения мероприятий по весенне-полевым и уборочным работам по поддержке субъектов агропромышленного комплекса на среднесрочной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p>
            <w:pPr>
              <w:spacing w:after="20"/>
              <w:ind w:left="20"/>
              <w:jc w:val="both"/>
            </w:pPr>
            <w:r>
              <w:rPr>
                <w:rFonts w:ascii="Times New Roman"/>
                <w:b w:val="false"/>
                <w:i w:val="false"/>
                <w:color w:val="000000"/>
                <w:sz w:val="20"/>
              </w:rPr>
              <w:t>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АО "Аграрная кредитная 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по стимулированию получателей субсидий на получение конечного результата с внедрением встречных обязательств по достижению установленных индикаторов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МТИ, МФ, АСПиР (по согласованию), МПС, МЦРИАП,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"НК "Продкорпорация" на сумму до 100 млрд тенге для обеспечения гарантированного закупа зерна у субъектов АПК по программе форвардного закупа в объеме 800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трехстороннего форвардного закупа сырья (семена подсолнечника, рис, зерно и гречиха) между АО "НК "Продкорпорация", сельхозтоваропроизводителем и перерабатывающим предприятием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реализации программы трехстороннего форвардного закупа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2024 года,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АО "НК "Продкорпорация" </w:t>
            </w:r>
          </w:p>
          <w:p>
            <w:pPr>
              <w:spacing w:after="20"/>
              <w:ind w:left="20"/>
              <w:jc w:val="both"/>
            </w:pPr>
            <w:r>
              <w:rPr>
                <w:rFonts w:ascii="Times New Roman"/>
                <w:b w:val="false"/>
                <w:i w:val="false"/>
                <w:color w:val="000000"/>
                <w:sz w:val="20"/>
              </w:rPr>
              <w:t>(по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деятельности АО "НК "Продкорпорация" по продвижению казахстанского зерна 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реализации казахстанского зерна на экспортные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2024 года,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товарных интервенций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проведенным товарным интервенциям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2024 года,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бюджетного кредита АО "НК "Продкорпорация" в сумме до 100 млрд тенге для ежегодного проведения мероприятий по поддержке субъектов агропромышленного комплекса в объеме 800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АО "НК "Продкорпорация"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8. Доля переработанной продукции в агропромышленном комплексе (молоко, мясо, семена масличных, рис, кукуруза, гречиха) до 70 % в 2026 году:</w:t>
            </w:r>
          </w:p>
          <w:p>
            <w:pPr>
              <w:spacing w:after="20"/>
              <w:ind w:left="20"/>
              <w:jc w:val="both"/>
            </w:pPr>
            <w:r>
              <w:rPr>
                <w:rFonts w:ascii="Times New Roman"/>
                <w:b w:val="false"/>
                <w:i w:val="false"/>
                <w:color w:val="000000"/>
                <w:sz w:val="20"/>
              </w:rPr>
              <w:t>
2024 год – 40 %;</w:t>
            </w:r>
          </w:p>
          <w:p>
            <w:pPr>
              <w:spacing w:after="20"/>
              <w:ind w:left="20"/>
              <w:jc w:val="both"/>
            </w:pPr>
            <w:r>
              <w:rPr>
                <w:rFonts w:ascii="Times New Roman"/>
                <w:b w:val="false"/>
                <w:i w:val="false"/>
                <w:color w:val="000000"/>
                <w:sz w:val="20"/>
              </w:rPr>
              <w:t>
2025 год – 50 %;</w:t>
            </w:r>
          </w:p>
          <w:p>
            <w:pPr>
              <w:spacing w:after="20"/>
              <w:ind w:left="20"/>
              <w:jc w:val="both"/>
            </w:pPr>
            <w:r>
              <w:rPr>
                <w:rFonts w:ascii="Times New Roman"/>
                <w:b w:val="false"/>
                <w:i w:val="false"/>
                <w:color w:val="000000"/>
                <w:sz w:val="20"/>
              </w:rPr>
              <w:t>
2026 год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Доля переработанной продукции в общем объеме экспорта АПК:</w:t>
            </w:r>
          </w:p>
          <w:p>
            <w:pPr>
              <w:spacing w:after="20"/>
              <w:ind w:left="20"/>
              <w:jc w:val="both"/>
            </w:pPr>
            <w:r>
              <w:rPr>
                <w:rFonts w:ascii="Times New Roman"/>
                <w:b w:val="false"/>
                <w:i w:val="false"/>
                <w:color w:val="000000"/>
                <w:sz w:val="20"/>
              </w:rPr>
              <w:t>
2023 год – 44 %;</w:t>
            </w:r>
          </w:p>
          <w:p>
            <w:pPr>
              <w:spacing w:after="20"/>
              <w:ind w:left="20"/>
              <w:jc w:val="both"/>
            </w:pPr>
            <w:r>
              <w:rPr>
                <w:rFonts w:ascii="Times New Roman"/>
                <w:b w:val="false"/>
                <w:i w:val="false"/>
                <w:color w:val="000000"/>
                <w:sz w:val="20"/>
              </w:rPr>
              <w:t>
2024 год – 45 %;</w:t>
            </w:r>
          </w:p>
          <w:p>
            <w:pPr>
              <w:spacing w:after="20"/>
              <w:ind w:left="20"/>
              <w:jc w:val="both"/>
            </w:pPr>
            <w:r>
              <w:rPr>
                <w:rFonts w:ascii="Times New Roman"/>
                <w:b w:val="false"/>
                <w:i w:val="false"/>
                <w:color w:val="000000"/>
                <w:sz w:val="20"/>
              </w:rPr>
              <w:t>
2025 год – 50 %;</w:t>
            </w:r>
          </w:p>
          <w:p>
            <w:pPr>
              <w:spacing w:after="20"/>
              <w:ind w:left="20"/>
              <w:jc w:val="both"/>
            </w:pPr>
            <w:r>
              <w:rPr>
                <w:rFonts w:ascii="Times New Roman"/>
                <w:b w:val="false"/>
                <w:i w:val="false"/>
                <w:color w:val="000000"/>
                <w:sz w:val="20"/>
              </w:rPr>
              <w:t>
2026 год – 53 %;</w:t>
            </w:r>
          </w:p>
          <w:p>
            <w:pPr>
              <w:spacing w:after="20"/>
              <w:ind w:left="20"/>
              <w:jc w:val="both"/>
            </w:pPr>
            <w:r>
              <w:rPr>
                <w:rFonts w:ascii="Times New Roman"/>
                <w:b w:val="false"/>
                <w:i w:val="false"/>
                <w:color w:val="000000"/>
                <w:sz w:val="20"/>
              </w:rPr>
              <w:t>
2027 год – 55 %;</w:t>
            </w:r>
          </w:p>
          <w:p>
            <w:pPr>
              <w:spacing w:after="20"/>
              <w:ind w:left="20"/>
              <w:jc w:val="both"/>
            </w:pPr>
            <w:r>
              <w:rPr>
                <w:rFonts w:ascii="Times New Roman"/>
                <w:b w:val="false"/>
                <w:i w:val="false"/>
                <w:color w:val="000000"/>
                <w:sz w:val="20"/>
              </w:rPr>
              <w:t>
2028 год – 60 %;</w:t>
            </w:r>
          </w:p>
          <w:p>
            <w:pPr>
              <w:spacing w:after="20"/>
              <w:ind w:left="20"/>
              <w:jc w:val="both"/>
            </w:pPr>
            <w:r>
              <w:rPr>
                <w:rFonts w:ascii="Times New Roman"/>
                <w:b w:val="false"/>
                <w:i w:val="false"/>
                <w:color w:val="000000"/>
                <w:sz w:val="20"/>
              </w:rPr>
              <w:t>
2029 год – 65 %;</w:t>
            </w:r>
          </w:p>
          <w:p>
            <w:pPr>
              <w:spacing w:after="20"/>
              <w:ind w:left="20"/>
              <w:jc w:val="both"/>
            </w:pPr>
            <w:r>
              <w:rPr>
                <w:rFonts w:ascii="Times New Roman"/>
                <w:b w:val="false"/>
                <w:i w:val="false"/>
                <w:color w:val="000000"/>
                <w:sz w:val="20"/>
              </w:rPr>
              <w:t>
2030 год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центральные государственные органы, акиматы областей, городов Астаны, Алматы и Шымкента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10. Увеличение экспорта продукции агропромышленного комплекса в 3,5 раза по сравнению с 2020 годом:</w:t>
            </w:r>
          </w:p>
          <w:p>
            <w:pPr>
              <w:spacing w:after="20"/>
              <w:ind w:left="20"/>
              <w:jc w:val="both"/>
            </w:pPr>
            <w:r>
              <w:rPr>
                <w:rFonts w:ascii="Times New Roman"/>
                <w:b w:val="false"/>
                <w:i w:val="false"/>
                <w:color w:val="000000"/>
                <w:sz w:val="20"/>
              </w:rPr>
              <w:t>
2021 год – 3,5 млрд долларов США;</w:t>
            </w:r>
          </w:p>
          <w:p>
            <w:pPr>
              <w:spacing w:after="20"/>
              <w:ind w:left="20"/>
              <w:jc w:val="both"/>
            </w:pPr>
            <w:r>
              <w:rPr>
                <w:rFonts w:ascii="Times New Roman"/>
                <w:b w:val="false"/>
                <w:i w:val="false"/>
                <w:color w:val="000000"/>
                <w:sz w:val="20"/>
              </w:rPr>
              <w:t>
2022 год – 4,2 млрд долларов США;</w:t>
            </w:r>
          </w:p>
          <w:p>
            <w:pPr>
              <w:spacing w:after="20"/>
              <w:ind w:left="20"/>
              <w:jc w:val="both"/>
            </w:pPr>
            <w:r>
              <w:rPr>
                <w:rFonts w:ascii="Times New Roman"/>
                <w:b w:val="false"/>
                <w:i w:val="false"/>
                <w:color w:val="000000"/>
                <w:sz w:val="20"/>
              </w:rPr>
              <w:t>
2023 год – 4,8 млрд долларов США;</w:t>
            </w:r>
          </w:p>
          <w:p>
            <w:pPr>
              <w:spacing w:after="20"/>
              <w:ind w:left="20"/>
              <w:jc w:val="both"/>
            </w:pPr>
            <w:r>
              <w:rPr>
                <w:rFonts w:ascii="Times New Roman"/>
                <w:b w:val="false"/>
                <w:i w:val="false"/>
                <w:color w:val="000000"/>
                <w:sz w:val="20"/>
              </w:rPr>
              <w:t>
2024 год – 5,5 млрд долларов США;</w:t>
            </w:r>
          </w:p>
          <w:p>
            <w:pPr>
              <w:spacing w:after="20"/>
              <w:ind w:left="20"/>
              <w:jc w:val="both"/>
            </w:pPr>
            <w:r>
              <w:rPr>
                <w:rFonts w:ascii="Times New Roman"/>
                <w:b w:val="false"/>
                <w:i w:val="false"/>
                <w:color w:val="000000"/>
                <w:sz w:val="20"/>
              </w:rPr>
              <w:t>
2025 год – 6,6 млрд долларов США;</w:t>
            </w:r>
          </w:p>
          <w:p>
            <w:pPr>
              <w:spacing w:after="20"/>
              <w:ind w:left="20"/>
              <w:jc w:val="both"/>
            </w:pPr>
            <w:r>
              <w:rPr>
                <w:rFonts w:ascii="Times New Roman"/>
                <w:b w:val="false"/>
                <w:i w:val="false"/>
                <w:color w:val="000000"/>
                <w:sz w:val="20"/>
              </w:rPr>
              <w:t>
2026 год – 7,4 млрд долларов США;</w:t>
            </w:r>
          </w:p>
          <w:p>
            <w:pPr>
              <w:spacing w:after="20"/>
              <w:ind w:left="20"/>
              <w:jc w:val="both"/>
            </w:pPr>
            <w:r>
              <w:rPr>
                <w:rFonts w:ascii="Times New Roman"/>
                <w:b w:val="false"/>
                <w:i w:val="false"/>
                <w:color w:val="000000"/>
                <w:sz w:val="20"/>
              </w:rPr>
              <w:t>
2027 год – 8,1 млрд долларов США;</w:t>
            </w:r>
          </w:p>
          <w:p>
            <w:pPr>
              <w:spacing w:after="20"/>
              <w:ind w:left="20"/>
              <w:jc w:val="both"/>
            </w:pPr>
            <w:r>
              <w:rPr>
                <w:rFonts w:ascii="Times New Roman"/>
                <w:b w:val="false"/>
                <w:i w:val="false"/>
                <w:color w:val="000000"/>
                <w:sz w:val="20"/>
              </w:rPr>
              <w:t>
2028 год – 8,6 млрд долларов США;</w:t>
            </w:r>
          </w:p>
          <w:p>
            <w:pPr>
              <w:spacing w:after="20"/>
              <w:ind w:left="20"/>
              <w:jc w:val="both"/>
            </w:pPr>
            <w:r>
              <w:rPr>
                <w:rFonts w:ascii="Times New Roman"/>
                <w:b w:val="false"/>
                <w:i w:val="false"/>
                <w:color w:val="000000"/>
                <w:sz w:val="20"/>
              </w:rPr>
              <w:t>
2029 год – 10,0 млрд долларов США;</w:t>
            </w:r>
          </w:p>
          <w:p>
            <w:pPr>
              <w:spacing w:after="20"/>
              <w:ind w:left="20"/>
              <w:jc w:val="both"/>
            </w:pPr>
            <w:r>
              <w:rPr>
                <w:rFonts w:ascii="Times New Roman"/>
                <w:b w:val="false"/>
                <w:i w:val="false"/>
                <w:color w:val="000000"/>
                <w:sz w:val="20"/>
              </w:rPr>
              <w:t>
2030 год – 11,8 млрд долларов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МФ,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не менее 7 крупных экосистем по производству и переработке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мая,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всех территориальных инспекций и фитосанитарных контрольных постов выходом в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охват Интернетом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объединению подведомственных организаций КГИ АПК с учетом возложенных функций для исключения дублирования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АДГС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реформированию системы ветеринарии в части:</w:t>
            </w:r>
          </w:p>
          <w:p>
            <w:pPr>
              <w:spacing w:after="20"/>
              <w:ind w:left="20"/>
              <w:jc w:val="both"/>
            </w:pPr>
            <w:r>
              <w:rPr>
                <w:rFonts w:ascii="Times New Roman"/>
                <w:b w:val="false"/>
                <w:i w:val="false"/>
                <w:color w:val="000000"/>
                <w:sz w:val="20"/>
              </w:rPr>
              <w:t>
четкого разграничения функций и полномочий между центром и регионами;</w:t>
            </w:r>
          </w:p>
          <w:p>
            <w:pPr>
              <w:spacing w:after="20"/>
              <w:ind w:left="20"/>
              <w:jc w:val="both"/>
            </w:pPr>
            <w:r>
              <w:rPr>
                <w:rFonts w:ascii="Times New Roman"/>
                <w:b w:val="false"/>
                <w:i w:val="false"/>
                <w:color w:val="000000"/>
                <w:sz w:val="20"/>
              </w:rPr>
              <w:t>
цифровизации процессов, автоматизации сбора и передачи данных в сфере ветеринарии;</w:t>
            </w:r>
          </w:p>
          <w:p>
            <w:pPr>
              <w:spacing w:after="20"/>
              <w:ind w:left="20"/>
              <w:jc w:val="both"/>
            </w:pPr>
            <w:r>
              <w:rPr>
                <w:rFonts w:ascii="Times New Roman"/>
                <w:b w:val="false"/>
                <w:i w:val="false"/>
                <w:color w:val="000000"/>
                <w:sz w:val="20"/>
              </w:rPr>
              <w:t>
поэтапного повышения заработных плат ветеринаров.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МНЭ, МФ, МТСЗН,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экспортных рынков для продукции АПК путем:</w:t>
            </w:r>
          </w:p>
          <w:p>
            <w:pPr>
              <w:spacing w:after="20"/>
              <w:ind w:left="20"/>
              <w:jc w:val="both"/>
            </w:pPr>
            <w:r>
              <w:rPr>
                <w:rFonts w:ascii="Times New Roman"/>
                <w:b w:val="false"/>
                <w:i w:val="false"/>
                <w:color w:val="000000"/>
                <w:sz w:val="20"/>
              </w:rPr>
              <w:t>
проведения аудита международными экспертами ветеринарной службы Республики Казахстан;</w:t>
            </w:r>
          </w:p>
          <w:p>
            <w:pPr>
              <w:spacing w:after="20"/>
              <w:ind w:left="20"/>
              <w:jc w:val="both"/>
            </w:pPr>
            <w:r>
              <w:rPr>
                <w:rFonts w:ascii="Times New Roman"/>
                <w:b w:val="false"/>
                <w:i w:val="false"/>
                <w:color w:val="000000"/>
                <w:sz w:val="20"/>
              </w:rPr>
              <w:t>
инспекций предприятий зарубежных стран для включения в реестр ЕАЭС;</w:t>
            </w:r>
          </w:p>
          <w:p>
            <w:pPr>
              <w:spacing w:after="20"/>
              <w:ind w:left="20"/>
              <w:jc w:val="both"/>
            </w:pPr>
            <w:r>
              <w:rPr>
                <w:rFonts w:ascii="Times New Roman"/>
                <w:b w:val="false"/>
                <w:i w:val="false"/>
                <w:color w:val="000000"/>
                <w:sz w:val="20"/>
              </w:rPr>
              <w:t>
переговоров с ветеринарными службами зарубежных стран;</w:t>
            </w:r>
          </w:p>
          <w:p>
            <w:pPr>
              <w:spacing w:after="20"/>
              <w:ind w:left="20"/>
              <w:jc w:val="both"/>
            </w:pPr>
            <w:r>
              <w:rPr>
                <w:rFonts w:ascii="Times New Roman"/>
                <w:b w:val="false"/>
                <w:i w:val="false"/>
                <w:color w:val="000000"/>
                <w:sz w:val="20"/>
              </w:rPr>
              <w:t>
ветеринарных и фитосанитарных сертификатов.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марта,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МИД,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ветеринарной, </w:t>
            </w:r>
          </w:p>
          <w:p>
            <w:pPr>
              <w:spacing w:after="20"/>
              <w:ind w:left="20"/>
              <w:jc w:val="both"/>
            </w:pPr>
            <w:r>
              <w:rPr>
                <w:rFonts w:ascii="Times New Roman"/>
                <w:b w:val="false"/>
                <w:i w:val="false"/>
                <w:color w:val="000000"/>
                <w:sz w:val="20"/>
              </w:rPr>
              <w:t>
фитосанитарной и карантинной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материально-технического обеспечения ветеринарной и фитосанитарной служб,</w:t>
            </w:r>
          </w:p>
          <w:p>
            <w:pPr>
              <w:spacing w:after="20"/>
              <w:ind w:left="20"/>
              <w:jc w:val="both"/>
            </w:pPr>
            <w:r>
              <w:rPr>
                <w:rFonts w:ascii="Times New Roman"/>
                <w:b w:val="false"/>
                <w:i w:val="false"/>
                <w:color w:val="000000"/>
                <w:sz w:val="20"/>
              </w:rPr>
              <w:t>
расширение области аккредитации ветеринарных лабораторий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акиматы областей, городов</w:t>
            </w:r>
          </w:p>
          <w:p>
            <w:pPr>
              <w:spacing w:after="20"/>
              <w:ind w:left="20"/>
              <w:jc w:val="both"/>
            </w:pPr>
            <w:r>
              <w:rPr>
                <w:rFonts w:ascii="Times New Roman"/>
                <w:b w:val="false"/>
                <w:i w:val="false"/>
                <w:color w:val="000000"/>
                <w:sz w:val="20"/>
              </w:rPr>
              <w:t xml:space="preserve">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совершенствование, содержание, сопровождение, BI аналитика, интеграция информационных систем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заинтересованные центральные государственные органы,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профессиональной компетенции ветеринарных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ветеринарных санитарных инспекторов, специалистов в области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улучшения материально-технической базы путем закупа:</w:t>
            </w:r>
          </w:p>
          <w:p>
            <w:pPr>
              <w:spacing w:after="20"/>
              <w:ind w:left="20"/>
              <w:jc w:val="both"/>
            </w:pPr>
            <w:r>
              <w:rPr>
                <w:rFonts w:ascii="Times New Roman"/>
                <w:b w:val="false"/>
                <w:i w:val="false"/>
                <w:color w:val="000000"/>
                <w:sz w:val="20"/>
              </w:rPr>
              <w:t>
современного лабораторного оборудования для ветеринарных лабораторий с целью обеспечения пищевой безопасности, сохранения экспорта казахстанских производителей животноводческой продукции;</w:t>
            </w:r>
          </w:p>
          <w:p>
            <w:pPr>
              <w:spacing w:after="20"/>
              <w:ind w:left="20"/>
              <w:jc w:val="both"/>
            </w:pPr>
            <w:r>
              <w:rPr>
                <w:rFonts w:ascii="Times New Roman"/>
                <w:b w:val="false"/>
                <w:i w:val="false"/>
                <w:color w:val="000000"/>
                <w:sz w:val="20"/>
              </w:rPr>
              <w:t>
инструментариев для отбора проб по пищевой безопасности, термочемоданов, средств индивидуальной защиты, видеорегистраторов, планшетов с целью обеспечения государственных ветеринарно-санитарных инспекторов;</w:t>
            </w:r>
          </w:p>
          <w:p>
            <w:pPr>
              <w:spacing w:after="20"/>
              <w:ind w:left="20"/>
              <w:jc w:val="both"/>
            </w:pPr>
            <w:r>
              <w:rPr>
                <w:rFonts w:ascii="Times New Roman"/>
                <w:b w:val="false"/>
                <w:i w:val="false"/>
                <w:color w:val="000000"/>
                <w:sz w:val="20"/>
              </w:rPr>
              <w:t>
специальной техники в количестве 695 единиц (инсинераторы, специальная автомашина с дезинфекционной установкой Комарова (ДУК), специальная автомашина с повышенной проходимостью, специальная автомашина с прицепом для перевозки сельскохозяйственных животных и др.) для государственных ветеринарных организаций, созданных МИО (районные ветеринарные станции с ветеринарными пунктами);</w:t>
            </w:r>
          </w:p>
          <w:p>
            <w:pPr>
              <w:spacing w:after="20"/>
              <w:ind w:left="20"/>
              <w:jc w:val="both"/>
            </w:pPr>
            <w:r>
              <w:rPr>
                <w:rFonts w:ascii="Times New Roman"/>
                <w:b w:val="false"/>
                <w:i w:val="false"/>
                <w:color w:val="000000"/>
                <w:sz w:val="20"/>
              </w:rPr>
              <w:t>
мобильных (передвижных) расколов для фиксации сельскохозяйственных животных при проведении ветеринарных мероприятий (проведение идентификации, отбора проб крови, вакцинации и т.д.) для государственных ветеринарных организаций, созданных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МНЭ</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типовых скотомогильников (биотермических ям) (за счет средств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ветеринарных пунктов для ветеринарных врачей МИО (за счет средств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Сохранение эпизоотического благополучия и открытие новых рынков путем строительства ветеринарных лабораторий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2024 - 2027 </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заноса особо опасных болезней животных, а также сохранение экспортных рынков путем строительства 32 стационарных ветеринарно-контрольных постов на пунктах пропуска для государственных ветеринарно-санитарных инспекторов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2024 - 2026 </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переработки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плана по развитию переработки сельскохозяйственной продукции, предусматривающего:</w:t>
            </w:r>
          </w:p>
          <w:p>
            <w:pPr>
              <w:spacing w:after="20"/>
              <w:ind w:left="20"/>
              <w:jc w:val="both"/>
            </w:pPr>
            <w:r>
              <w:rPr>
                <w:rFonts w:ascii="Times New Roman"/>
                <w:b w:val="false"/>
                <w:i w:val="false"/>
                <w:color w:val="000000"/>
                <w:sz w:val="20"/>
              </w:rPr>
              <w:t>
кредитование на реализацию проектов по переработке сельхозпродукции;</w:t>
            </w:r>
          </w:p>
          <w:p>
            <w:pPr>
              <w:spacing w:after="20"/>
              <w:ind w:left="20"/>
              <w:jc w:val="both"/>
            </w:pPr>
            <w:r>
              <w:rPr>
                <w:rFonts w:ascii="Times New Roman"/>
                <w:b w:val="false"/>
                <w:i w:val="false"/>
                <w:color w:val="000000"/>
                <w:sz w:val="20"/>
              </w:rPr>
              <w:t>
кредитование пополнения оборотных средств перерабатывающим предприятиям;</w:t>
            </w:r>
          </w:p>
          <w:p>
            <w:pPr>
              <w:spacing w:after="20"/>
              <w:ind w:left="20"/>
              <w:jc w:val="both"/>
            </w:pPr>
            <w:r>
              <w:rPr>
                <w:rFonts w:ascii="Times New Roman"/>
                <w:b w:val="false"/>
                <w:i w:val="false"/>
                <w:color w:val="000000"/>
                <w:sz w:val="20"/>
              </w:rPr>
              <w:t>
увеличение объемов субсидирования на сданную на переработку сельскохозяйственную продукцию (шерсть, шкура, плоды и овощи).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МЗ, МПС, МТИ, МП, МИД, акиматы областей, городов Астаны, Алматы и Шымкента, НПП "Атамекен" (по согласованию), АО "НУХ "Байтерек" (по согласованию), АО "Kazakh Invest​"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11. Рост объема привлеченных инвестиций в основной капитал в сельское хозяйство в 4,2 раза:</w:t>
            </w:r>
          </w:p>
          <w:p>
            <w:pPr>
              <w:spacing w:after="20"/>
              <w:ind w:left="20"/>
              <w:jc w:val="both"/>
            </w:pPr>
            <w:r>
              <w:rPr>
                <w:rFonts w:ascii="Times New Roman"/>
                <w:b w:val="false"/>
                <w:i w:val="false"/>
                <w:color w:val="000000"/>
                <w:sz w:val="20"/>
              </w:rPr>
              <w:t>
2021 год – 100,0 %;</w:t>
            </w:r>
          </w:p>
          <w:p>
            <w:pPr>
              <w:spacing w:after="20"/>
              <w:ind w:left="20"/>
              <w:jc w:val="both"/>
            </w:pPr>
            <w:r>
              <w:rPr>
                <w:rFonts w:ascii="Times New Roman"/>
                <w:b w:val="false"/>
                <w:i w:val="false"/>
                <w:color w:val="000000"/>
                <w:sz w:val="20"/>
              </w:rPr>
              <w:t>
2022 год – 118,0 %;</w:t>
            </w:r>
          </w:p>
          <w:p>
            <w:pPr>
              <w:spacing w:after="20"/>
              <w:ind w:left="20"/>
              <w:jc w:val="both"/>
            </w:pPr>
            <w:r>
              <w:rPr>
                <w:rFonts w:ascii="Times New Roman"/>
                <w:b w:val="false"/>
                <w:i w:val="false"/>
                <w:color w:val="000000"/>
                <w:sz w:val="20"/>
              </w:rPr>
              <w:t>
2023 год – 145,5 %;</w:t>
            </w:r>
          </w:p>
          <w:p>
            <w:pPr>
              <w:spacing w:after="20"/>
              <w:ind w:left="20"/>
              <w:jc w:val="both"/>
            </w:pPr>
            <w:r>
              <w:rPr>
                <w:rFonts w:ascii="Times New Roman"/>
                <w:b w:val="false"/>
                <w:i w:val="false"/>
                <w:color w:val="000000"/>
                <w:sz w:val="20"/>
              </w:rPr>
              <w:t>
2024 год – 176,2 %;</w:t>
            </w:r>
          </w:p>
          <w:p>
            <w:pPr>
              <w:spacing w:after="20"/>
              <w:ind w:left="20"/>
              <w:jc w:val="both"/>
            </w:pPr>
            <w:r>
              <w:rPr>
                <w:rFonts w:ascii="Times New Roman"/>
                <w:b w:val="false"/>
                <w:i w:val="false"/>
                <w:color w:val="000000"/>
                <w:sz w:val="20"/>
              </w:rPr>
              <w:t>
2025 год – 223,6 %;</w:t>
            </w:r>
          </w:p>
          <w:p>
            <w:pPr>
              <w:spacing w:after="20"/>
              <w:ind w:left="20"/>
              <w:jc w:val="both"/>
            </w:pPr>
            <w:r>
              <w:rPr>
                <w:rFonts w:ascii="Times New Roman"/>
                <w:b w:val="false"/>
                <w:i w:val="false"/>
                <w:color w:val="000000"/>
                <w:sz w:val="20"/>
              </w:rPr>
              <w:t>
2026 год – 285,7 %;</w:t>
            </w:r>
          </w:p>
          <w:p>
            <w:pPr>
              <w:spacing w:after="20"/>
              <w:ind w:left="20"/>
              <w:jc w:val="both"/>
            </w:pPr>
            <w:r>
              <w:rPr>
                <w:rFonts w:ascii="Times New Roman"/>
                <w:b w:val="false"/>
                <w:i w:val="false"/>
                <w:color w:val="000000"/>
                <w:sz w:val="20"/>
              </w:rPr>
              <w:t>
2027 год – 314,3 %;</w:t>
            </w:r>
          </w:p>
          <w:p>
            <w:pPr>
              <w:spacing w:after="20"/>
              <w:ind w:left="20"/>
              <w:jc w:val="both"/>
            </w:pPr>
            <w:r>
              <w:rPr>
                <w:rFonts w:ascii="Times New Roman"/>
                <w:b w:val="false"/>
                <w:i w:val="false"/>
                <w:color w:val="000000"/>
                <w:sz w:val="20"/>
              </w:rPr>
              <w:t>
2028 год – 345,7 %;</w:t>
            </w:r>
          </w:p>
          <w:p>
            <w:pPr>
              <w:spacing w:after="20"/>
              <w:ind w:left="20"/>
              <w:jc w:val="both"/>
            </w:pPr>
            <w:r>
              <w:rPr>
                <w:rFonts w:ascii="Times New Roman"/>
                <w:b w:val="false"/>
                <w:i w:val="false"/>
                <w:color w:val="000000"/>
                <w:sz w:val="20"/>
              </w:rPr>
              <w:t>
2029 год – 380,3 %;</w:t>
            </w:r>
          </w:p>
          <w:p>
            <w:pPr>
              <w:spacing w:after="20"/>
              <w:ind w:left="20"/>
              <w:jc w:val="both"/>
            </w:pPr>
            <w:r>
              <w:rPr>
                <w:rFonts w:ascii="Times New Roman"/>
                <w:b w:val="false"/>
                <w:i w:val="false"/>
                <w:color w:val="000000"/>
                <w:sz w:val="20"/>
              </w:rPr>
              <w:t>
2030 год – 418,3 %.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Институциональное развитие системы кредитных товариществ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АО "НУХ "Байтерек"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12. Рост объема привлеченных инвестиций в основной капитал в производство продуктов питания в 3,4 раза:</w:t>
            </w:r>
          </w:p>
          <w:p>
            <w:pPr>
              <w:spacing w:after="20"/>
              <w:ind w:left="20"/>
              <w:jc w:val="both"/>
            </w:pPr>
            <w:r>
              <w:rPr>
                <w:rFonts w:ascii="Times New Roman"/>
                <w:b w:val="false"/>
                <w:i w:val="false"/>
                <w:color w:val="000000"/>
                <w:sz w:val="20"/>
              </w:rPr>
              <w:t>
2021 год – 100,0 %;</w:t>
            </w:r>
          </w:p>
          <w:p>
            <w:pPr>
              <w:spacing w:after="20"/>
              <w:ind w:left="20"/>
              <w:jc w:val="both"/>
            </w:pPr>
            <w:r>
              <w:rPr>
                <w:rFonts w:ascii="Times New Roman"/>
                <w:b w:val="false"/>
                <w:i w:val="false"/>
                <w:color w:val="000000"/>
                <w:sz w:val="20"/>
              </w:rPr>
              <w:t>
2022 год – 130,2 %;</w:t>
            </w:r>
          </w:p>
          <w:p>
            <w:pPr>
              <w:spacing w:after="20"/>
              <w:ind w:left="20"/>
              <w:jc w:val="both"/>
            </w:pPr>
            <w:r>
              <w:rPr>
                <w:rFonts w:ascii="Times New Roman"/>
                <w:b w:val="false"/>
                <w:i w:val="false"/>
                <w:color w:val="000000"/>
                <w:sz w:val="20"/>
              </w:rPr>
              <w:t>
2023 год – 154,0 %;</w:t>
            </w:r>
          </w:p>
          <w:p>
            <w:pPr>
              <w:spacing w:after="20"/>
              <w:ind w:left="20"/>
              <w:jc w:val="both"/>
            </w:pPr>
            <w:r>
              <w:rPr>
                <w:rFonts w:ascii="Times New Roman"/>
                <w:b w:val="false"/>
                <w:i w:val="false"/>
                <w:color w:val="000000"/>
                <w:sz w:val="20"/>
              </w:rPr>
              <w:t>
2024 год – 182,3 %;</w:t>
            </w:r>
          </w:p>
          <w:p>
            <w:pPr>
              <w:spacing w:after="20"/>
              <w:ind w:left="20"/>
              <w:jc w:val="both"/>
            </w:pPr>
            <w:r>
              <w:rPr>
                <w:rFonts w:ascii="Times New Roman"/>
                <w:b w:val="false"/>
                <w:i w:val="false"/>
                <w:color w:val="000000"/>
                <w:sz w:val="20"/>
              </w:rPr>
              <w:t>
2025 год – 217,7 %;</w:t>
            </w:r>
          </w:p>
          <w:p>
            <w:pPr>
              <w:spacing w:after="20"/>
              <w:ind w:left="20"/>
              <w:jc w:val="both"/>
            </w:pPr>
            <w:r>
              <w:rPr>
                <w:rFonts w:ascii="Times New Roman"/>
                <w:b w:val="false"/>
                <w:i w:val="false"/>
                <w:color w:val="000000"/>
                <w:sz w:val="20"/>
              </w:rPr>
              <w:t>
2026 год – 232,3 %;</w:t>
            </w:r>
          </w:p>
          <w:p>
            <w:pPr>
              <w:spacing w:after="20"/>
              <w:ind w:left="20"/>
              <w:jc w:val="both"/>
            </w:pPr>
            <w:r>
              <w:rPr>
                <w:rFonts w:ascii="Times New Roman"/>
                <w:b w:val="false"/>
                <w:i w:val="false"/>
                <w:color w:val="000000"/>
                <w:sz w:val="20"/>
              </w:rPr>
              <w:t>
2027 год – 255,5 %;</w:t>
            </w:r>
          </w:p>
          <w:p>
            <w:pPr>
              <w:spacing w:after="20"/>
              <w:ind w:left="20"/>
              <w:jc w:val="both"/>
            </w:pPr>
            <w:r>
              <w:rPr>
                <w:rFonts w:ascii="Times New Roman"/>
                <w:b w:val="false"/>
                <w:i w:val="false"/>
                <w:color w:val="000000"/>
                <w:sz w:val="20"/>
              </w:rPr>
              <w:t>
2028 год – 281,0 %;</w:t>
            </w:r>
          </w:p>
          <w:p>
            <w:pPr>
              <w:spacing w:after="20"/>
              <w:ind w:left="20"/>
              <w:jc w:val="both"/>
            </w:pPr>
            <w:r>
              <w:rPr>
                <w:rFonts w:ascii="Times New Roman"/>
                <w:b w:val="false"/>
                <w:i w:val="false"/>
                <w:color w:val="000000"/>
                <w:sz w:val="20"/>
              </w:rPr>
              <w:t>
2029 год – 309,1 %;</w:t>
            </w:r>
          </w:p>
          <w:p>
            <w:pPr>
              <w:spacing w:after="20"/>
              <w:ind w:left="20"/>
              <w:jc w:val="both"/>
            </w:pPr>
            <w:r>
              <w:rPr>
                <w:rFonts w:ascii="Times New Roman"/>
                <w:b w:val="false"/>
                <w:i w:val="false"/>
                <w:color w:val="000000"/>
                <w:sz w:val="20"/>
              </w:rPr>
              <w:t>
2030 год – 340,1 %.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МНЭ, МФ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Соглашения об инвестициях между Правительством Республики Казахстан и транснациональной компанией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заинтересованные государственные органы, акиматы областей, городов Астаны, Алматы и Шымкента,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13. Доля ненаблюдаемой (теневой) экономики в сельском, лесном и рыбном хозяйстве – 0,5 % в ВВП:</w:t>
            </w:r>
          </w:p>
          <w:p>
            <w:pPr>
              <w:spacing w:after="20"/>
              <w:ind w:left="20"/>
              <w:jc w:val="both"/>
            </w:pPr>
            <w:r>
              <w:rPr>
                <w:rFonts w:ascii="Times New Roman"/>
                <w:b w:val="false"/>
                <w:i w:val="false"/>
                <w:color w:val="000000"/>
                <w:sz w:val="20"/>
              </w:rPr>
              <w:t>
2021 год – 2,0 %;</w:t>
            </w:r>
          </w:p>
          <w:p>
            <w:pPr>
              <w:spacing w:after="20"/>
              <w:ind w:left="20"/>
              <w:jc w:val="both"/>
            </w:pPr>
            <w:r>
              <w:rPr>
                <w:rFonts w:ascii="Times New Roman"/>
                <w:b w:val="false"/>
                <w:i w:val="false"/>
                <w:color w:val="000000"/>
                <w:sz w:val="20"/>
              </w:rPr>
              <w:t>
2022 год – 1,9 %;</w:t>
            </w:r>
          </w:p>
          <w:p>
            <w:pPr>
              <w:spacing w:after="20"/>
              <w:ind w:left="20"/>
              <w:jc w:val="both"/>
            </w:pPr>
            <w:r>
              <w:rPr>
                <w:rFonts w:ascii="Times New Roman"/>
                <w:b w:val="false"/>
                <w:i w:val="false"/>
                <w:color w:val="000000"/>
                <w:sz w:val="20"/>
              </w:rPr>
              <w:t>
2023 год – 1,7 %;</w:t>
            </w:r>
          </w:p>
          <w:p>
            <w:pPr>
              <w:spacing w:after="20"/>
              <w:ind w:left="20"/>
              <w:jc w:val="both"/>
            </w:pPr>
            <w:r>
              <w:rPr>
                <w:rFonts w:ascii="Times New Roman"/>
                <w:b w:val="false"/>
                <w:i w:val="false"/>
                <w:color w:val="000000"/>
                <w:sz w:val="20"/>
              </w:rPr>
              <w:t>
2024 год – 1,6 %;</w:t>
            </w:r>
          </w:p>
          <w:p>
            <w:pPr>
              <w:spacing w:after="20"/>
              <w:ind w:left="20"/>
              <w:jc w:val="both"/>
            </w:pPr>
            <w:r>
              <w:rPr>
                <w:rFonts w:ascii="Times New Roman"/>
                <w:b w:val="false"/>
                <w:i w:val="false"/>
                <w:color w:val="000000"/>
                <w:sz w:val="20"/>
              </w:rPr>
              <w:t>
2025 год – 1,4 %</w:t>
            </w:r>
          </w:p>
          <w:p>
            <w:pPr>
              <w:spacing w:after="20"/>
              <w:ind w:left="20"/>
              <w:jc w:val="both"/>
            </w:pPr>
            <w:r>
              <w:rPr>
                <w:rFonts w:ascii="Times New Roman"/>
                <w:b w:val="false"/>
                <w:i w:val="false"/>
                <w:color w:val="000000"/>
                <w:sz w:val="20"/>
              </w:rPr>
              <w:t>
2026 год – 1,2 %;</w:t>
            </w:r>
          </w:p>
          <w:p>
            <w:pPr>
              <w:spacing w:after="20"/>
              <w:ind w:left="20"/>
              <w:jc w:val="both"/>
            </w:pPr>
            <w:r>
              <w:rPr>
                <w:rFonts w:ascii="Times New Roman"/>
                <w:b w:val="false"/>
                <w:i w:val="false"/>
                <w:color w:val="000000"/>
                <w:sz w:val="20"/>
              </w:rPr>
              <w:t>
2027 год – 1 %;</w:t>
            </w:r>
          </w:p>
          <w:p>
            <w:pPr>
              <w:spacing w:after="20"/>
              <w:ind w:left="20"/>
              <w:jc w:val="both"/>
            </w:pPr>
            <w:r>
              <w:rPr>
                <w:rFonts w:ascii="Times New Roman"/>
                <w:b w:val="false"/>
                <w:i w:val="false"/>
                <w:color w:val="000000"/>
                <w:sz w:val="20"/>
              </w:rPr>
              <w:t>
2028 год – 0,8 %</w:t>
            </w:r>
          </w:p>
          <w:p>
            <w:pPr>
              <w:spacing w:after="20"/>
              <w:ind w:left="20"/>
              <w:jc w:val="both"/>
            </w:pPr>
            <w:r>
              <w:rPr>
                <w:rFonts w:ascii="Times New Roman"/>
                <w:b w:val="false"/>
                <w:i w:val="false"/>
                <w:color w:val="000000"/>
                <w:sz w:val="20"/>
              </w:rPr>
              <w:t>
2029 год – 0,6 %;</w:t>
            </w:r>
          </w:p>
          <w:p>
            <w:pPr>
              <w:spacing w:after="20"/>
              <w:ind w:left="20"/>
              <w:jc w:val="both"/>
            </w:pPr>
            <w:r>
              <w:rPr>
                <w:rFonts w:ascii="Times New Roman"/>
                <w:b w:val="false"/>
                <w:i w:val="false"/>
                <w:color w:val="000000"/>
                <w:sz w:val="20"/>
              </w:rPr>
              <w:t>
2030 год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МФ, МНЭ, акиматы областей, городов Астаны, Алматы и Шымкента, НАО "НАНОЦ"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государственной системы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по новым цифровым агроспециальностям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 аграрные вузы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информационной системы прослеживаемости в растениеводстве (ИСР)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платформы агропромышленного комплекса (Е-АПК)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ТОО "АЦЭП"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мер государственной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АО "НУХ "Байтерек"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14. Площадь эродированных земель в составе сельскохозяйственных угодий к общей площади земель:</w:t>
            </w:r>
          </w:p>
          <w:p>
            <w:pPr>
              <w:spacing w:after="20"/>
              <w:ind w:left="20"/>
              <w:jc w:val="both"/>
            </w:pPr>
            <w:r>
              <w:rPr>
                <w:rFonts w:ascii="Times New Roman"/>
                <w:b w:val="false"/>
                <w:i w:val="false"/>
                <w:color w:val="000000"/>
                <w:sz w:val="20"/>
              </w:rPr>
              <w:t>
2021 год – 29,3 млн га;</w:t>
            </w:r>
          </w:p>
          <w:p>
            <w:pPr>
              <w:spacing w:after="20"/>
              <w:ind w:left="20"/>
              <w:jc w:val="both"/>
            </w:pPr>
            <w:r>
              <w:rPr>
                <w:rFonts w:ascii="Times New Roman"/>
                <w:b w:val="false"/>
                <w:i w:val="false"/>
                <w:color w:val="000000"/>
                <w:sz w:val="20"/>
              </w:rPr>
              <w:t>
2022 год – 29,2 млн га;</w:t>
            </w:r>
          </w:p>
          <w:p>
            <w:pPr>
              <w:spacing w:after="20"/>
              <w:ind w:left="20"/>
              <w:jc w:val="both"/>
            </w:pPr>
            <w:r>
              <w:rPr>
                <w:rFonts w:ascii="Times New Roman"/>
                <w:b w:val="false"/>
                <w:i w:val="false"/>
                <w:color w:val="000000"/>
                <w:sz w:val="20"/>
              </w:rPr>
              <w:t>
2023 год – 29,1 млн га;</w:t>
            </w:r>
          </w:p>
          <w:p>
            <w:pPr>
              <w:spacing w:after="20"/>
              <w:ind w:left="20"/>
              <w:jc w:val="both"/>
            </w:pPr>
            <w:r>
              <w:rPr>
                <w:rFonts w:ascii="Times New Roman"/>
                <w:b w:val="false"/>
                <w:i w:val="false"/>
                <w:color w:val="000000"/>
                <w:sz w:val="20"/>
              </w:rPr>
              <w:t>
2024 год – 29,0 млн га;</w:t>
            </w:r>
          </w:p>
          <w:p>
            <w:pPr>
              <w:spacing w:after="20"/>
              <w:ind w:left="20"/>
              <w:jc w:val="both"/>
            </w:pPr>
            <w:r>
              <w:rPr>
                <w:rFonts w:ascii="Times New Roman"/>
                <w:b w:val="false"/>
                <w:i w:val="false"/>
                <w:color w:val="000000"/>
                <w:sz w:val="20"/>
              </w:rPr>
              <w:t>
2025 год – 28,9 млн га;</w:t>
            </w:r>
          </w:p>
          <w:p>
            <w:pPr>
              <w:spacing w:after="20"/>
              <w:ind w:left="20"/>
              <w:jc w:val="both"/>
            </w:pPr>
            <w:r>
              <w:rPr>
                <w:rFonts w:ascii="Times New Roman"/>
                <w:b w:val="false"/>
                <w:i w:val="false"/>
                <w:color w:val="000000"/>
                <w:sz w:val="20"/>
              </w:rPr>
              <w:t>
2026 год – 28,8 млн га;</w:t>
            </w:r>
          </w:p>
          <w:p>
            <w:pPr>
              <w:spacing w:after="20"/>
              <w:ind w:left="20"/>
              <w:jc w:val="both"/>
            </w:pPr>
            <w:r>
              <w:rPr>
                <w:rFonts w:ascii="Times New Roman"/>
                <w:b w:val="false"/>
                <w:i w:val="false"/>
                <w:color w:val="000000"/>
                <w:sz w:val="20"/>
              </w:rPr>
              <w:t>
2027 год – 28,7 млн га;</w:t>
            </w:r>
          </w:p>
          <w:p>
            <w:pPr>
              <w:spacing w:after="20"/>
              <w:ind w:left="20"/>
              <w:jc w:val="both"/>
            </w:pPr>
            <w:r>
              <w:rPr>
                <w:rFonts w:ascii="Times New Roman"/>
                <w:b w:val="false"/>
                <w:i w:val="false"/>
                <w:color w:val="000000"/>
                <w:sz w:val="20"/>
              </w:rPr>
              <w:t>
2028 год – 28,6 млн га;</w:t>
            </w:r>
          </w:p>
          <w:p>
            <w:pPr>
              <w:spacing w:after="20"/>
              <w:ind w:left="20"/>
              <w:jc w:val="both"/>
            </w:pPr>
            <w:r>
              <w:rPr>
                <w:rFonts w:ascii="Times New Roman"/>
                <w:b w:val="false"/>
                <w:i w:val="false"/>
                <w:color w:val="000000"/>
                <w:sz w:val="20"/>
              </w:rPr>
              <w:t>
2029 год – 28,5 млн га;</w:t>
            </w:r>
          </w:p>
          <w:p>
            <w:pPr>
              <w:spacing w:after="20"/>
              <w:ind w:left="20"/>
              <w:jc w:val="both"/>
            </w:pPr>
            <w:r>
              <w:rPr>
                <w:rFonts w:ascii="Times New Roman"/>
                <w:b w:val="false"/>
                <w:i w:val="false"/>
                <w:color w:val="000000"/>
                <w:sz w:val="20"/>
              </w:rPr>
              <w:t>
2030 год – 28,4 млн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МЦРИАП, акиматы областей, городов Астаны, Алматы и Шымкента, НАО "Правительство для граждан"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 администрированием Комитета по управлению земельными ресурсами МСХ вертикальной устойчивой системы управления земельными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НАО "Правительство для граждан" (по согласованию), акиматы областей, городов Астаны, Алматы и Шымкента,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15. Количество реализованных инвестиционных проектов:</w:t>
            </w:r>
          </w:p>
          <w:p>
            <w:pPr>
              <w:spacing w:after="20"/>
              <w:ind w:left="20"/>
              <w:jc w:val="both"/>
            </w:pPr>
            <w:r>
              <w:rPr>
                <w:rFonts w:ascii="Times New Roman"/>
                <w:b w:val="false"/>
                <w:i w:val="false"/>
                <w:color w:val="000000"/>
                <w:sz w:val="20"/>
              </w:rPr>
              <w:t>
2023 год – 180;</w:t>
            </w:r>
          </w:p>
          <w:p>
            <w:pPr>
              <w:spacing w:after="20"/>
              <w:ind w:left="20"/>
              <w:jc w:val="both"/>
            </w:pPr>
            <w:r>
              <w:rPr>
                <w:rFonts w:ascii="Times New Roman"/>
                <w:b w:val="false"/>
                <w:i w:val="false"/>
                <w:color w:val="000000"/>
                <w:sz w:val="20"/>
              </w:rPr>
              <w:t>
2024 год – 183;</w:t>
            </w:r>
          </w:p>
          <w:p>
            <w:pPr>
              <w:spacing w:after="20"/>
              <w:ind w:left="20"/>
              <w:jc w:val="both"/>
            </w:pPr>
            <w:r>
              <w:rPr>
                <w:rFonts w:ascii="Times New Roman"/>
                <w:b w:val="false"/>
                <w:i w:val="false"/>
                <w:color w:val="000000"/>
                <w:sz w:val="20"/>
              </w:rPr>
              <w:t>
2025 год – 187;</w:t>
            </w:r>
          </w:p>
          <w:p>
            <w:pPr>
              <w:spacing w:after="20"/>
              <w:ind w:left="20"/>
              <w:jc w:val="both"/>
            </w:pPr>
            <w:r>
              <w:rPr>
                <w:rFonts w:ascii="Times New Roman"/>
                <w:b w:val="false"/>
                <w:i w:val="false"/>
                <w:color w:val="000000"/>
                <w:sz w:val="20"/>
              </w:rPr>
              <w:t>
2026 год – 190;</w:t>
            </w:r>
          </w:p>
          <w:p>
            <w:pPr>
              <w:spacing w:after="20"/>
              <w:ind w:left="20"/>
              <w:jc w:val="both"/>
            </w:pPr>
            <w:r>
              <w:rPr>
                <w:rFonts w:ascii="Times New Roman"/>
                <w:b w:val="false"/>
                <w:i w:val="false"/>
                <w:color w:val="000000"/>
                <w:sz w:val="20"/>
              </w:rPr>
              <w:t>
2027 год – 192;</w:t>
            </w:r>
          </w:p>
          <w:p>
            <w:pPr>
              <w:spacing w:after="20"/>
              <w:ind w:left="20"/>
              <w:jc w:val="both"/>
            </w:pPr>
            <w:r>
              <w:rPr>
                <w:rFonts w:ascii="Times New Roman"/>
                <w:b w:val="false"/>
                <w:i w:val="false"/>
                <w:color w:val="000000"/>
                <w:sz w:val="20"/>
              </w:rPr>
              <w:t>
2028 год – 195;</w:t>
            </w:r>
          </w:p>
          <w:p>
            <w:pPr>
              <w:spacing w:after="20"/>
              <w:ind w:left="20"/>
              <w:jc w:val="both"/>
            </w:pPr>
            <w:r>
              <w:rPr>
                <w:rFonts w:ascii="Times New Roman"/>
                <w:b w:val="false"/>
                <w:i w:val="false"/>
                <w:color w:val="000000"/>
                <w:sz w:val="20"/>
              </w:rPr>
              <w:t>
2029 год – 198;</w:t>
            </w:r>
          </w:p>
          <w:p>
            <w:pPr>
              <w:spacing w:after="20"/>
              <w:ind w:left="20"/>
              <w:jc w:val="both"/>
            </w:pPr>
            <w:r>
              <w:rPr>
                <w:rFonts w:ascii="Times New Roman"/>
                <w:b w:val="false"/>
                <w:i w:val="false"/>
                <w:color w:val="000000"/>
                <w:sz w:val="20"/>
              </w:rPr>
              <w:t>
2030 год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МИД, акиматы областей, городов Астаны, Алматы и Шымкента, АО "НУХ "Байтерек" (по согласованию), НПП "Атамекен" (по согласованию)</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16. Создание рабочих мест в рамках инвестиционных проектов в АПК:</w:t>
            </w:r>
          </w:p>
          <w:p>
            <w:pPr>
              <w:spacing w:after="20"/>
              <w:ind w:left="20"/>
              <w:jc w:val="both"/>
            </w:pPr>
            <w:r>
              <w:rPr>
                <w:rFonts w:ascii="Times New Roman"/>
                <w:b w:val="false"/>
                <w:i w:val="false"/>
                <w:color w:val="000000"/>
                <w:sz w:val="20"/>
              </w:rPr>
              <w:t>
2023 год – 5217 рабочих мест (3130 постоянных и 2087 временных);</w:t>
            </w:r>
          </w:p>
          <w:p>
            <w:pPr>
              <w:spacing w:after="20"/>
              <w:ind w:left="20"/>
              <w:jc w:val="both"/>
            </w:pPr>
            <w:r>
              <w:rPr>
                <w:rFonts w:ascii="Times New Roman"/>
                <w:b w:val="false"/>
                <w:i w:val="false"/>
                <w:color w:val="000000"/>
                <w:sz w:val="20"/>
              </w:rPr>
              <w:t>
2024 год – 5304 рабочих места (3182 постоянных и 2122 временных);</w:t>
            </w:r>
          </w:p>
          <w:p>
            <w:pPr>
              <w:spacing w:after="20"/>
              <w:ind w:left="20"/>
              <w:jc w:val="both"/>
            </w:pPr>
            <w:r>
              <w:rPr>
                <w:rFonts w:ascii="Times New Roman"/>
                <w:b w:val="false"/>
                <w:i w:val="false"/>
                <w:color w:val="000000"/>
                <w:sz w:val="20"/>
              </w:rPr>
              <w:t>
2025 год – 5420 рабочих мест (3252 постоянных и 2168 временных);</w:t>
            </w:r>
          </w:p>
          <w:p>
            <w:pPr>
              <w:spacing w:after="20"/>
              <w:ind w:left="20"/>
              <w:jc w:val="both"/>
            </w:pPr>
            <w:r>
              <w:rPr>
                <w:rFonts w:ascii="Times New Roman"/>
                <w:b w:val="false"/>
                <w:i w:val="false"/>
                <w:color w:val="000000"/>
                <w:sz w:val="20"/>
              </w:rPr>
              <w:t>
2026 год – 5507 рабочих мест (3304 постоянных и 2203 временных);</w:t>
            </w:r>
          </w:p>
          <w:p>
            <w:pPr>
              <w:spacing w:after="20"/>
              <w:ind w:left="20"/>
              <w:jc w:val="both"/>
            </w:pPr>
            <w:r>
              <w:rPr>
                <w:rFonts w:ascii="Times New Roman"/>
                <w:b w:val="false"/>
                <w:i w:val="false"/>
                <w:color w:val="000000"/>
                <w:sz w:val="20"/>
              </w:rPr>
              <w:t>
2027 год – 5565 рабочих мест (3339 постоянных и 2226 временных);</w:t>
            </w:r>
          </w:p>
          <w:p>
            <w:pPr>
              <w:spacing w:after="20"/>
              <w:ind w:left="20"/>
              <w:jc w:val="both"/>
            </w:pPr>
            <w:r>
              <w:rPr>
                <w:rFonts w:ascii="Times New Roman"/>
                <w:b w:val="false"/>
                <w:i w:val="false"/>
                <w:color w:val="000000"/>
                <w:sz w:val="20"/>
              </w:rPr>
              <w:t>
2028 год – 5652 рабочих места (3391 постоянных и 2261 временных);</w:t>
            </w:r>
          </w:p>
          <w:p>
            <w:pPr>
              <w:spacing w:after="20"/>
              <w:ind w:left="20"/>
              <w:jc w:val="both"/>
            </w:pPr>
            <w:r>
              <w:rPr>
                <w:rFonts w:ascii="Times New Roman"/>
                <w:b w:val="false"/>
                <w:i w:val="false"/>
                <w:color w:val="000000"/>
                <w:sz w:val="20"/>
              </w:rPr>
              <w:t>
2029 год – 5739 рабочих мест (3443 постоянных и 2296 временных);</w:t>
            </w:r>
          </w:p>
          <w:p>
            <w:pPr>
              <w:spacing w:after="20"/>
              <w:ind w:left="20"/>
              <w:jc w:val="both"/>
            </w:pPr>
            <w:r>
              <w:rPr>
                <w:rFonts w:ascii="Times New Roman"/>
                <w:b w:val="false"/>
                <w:i w:val="false"/>
                <w:color w:val="000000"/>
                <w:sz w:val="20"/>
              </w:rPr>
              <w:t>
2030 год – 5797 рабочих мест (3478 постоянных и 2319 временных).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МТСЗН, МФ, МНЭ, акиматы областей, городов Астаны, Алматы и Шымкента,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инвестиционных проектов в АПК, в том числе в рамках масштабирования опыта Северо-Казахстанской области по реализации инвестиционных проектов по производству молока, мяса птицы и рыбы, строительству оросительных систем, промышленных теплиц, овощехранилищ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АО "НУХ "Байтерек"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бюджетного кредита АО "Банк Развития Казахстана" для реализации инвестиционных проектов в АПК по ставке вознаграждения не более 7 % годовых для конечных заемщиков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МФ о достижении прямых и конечных результатов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"Банк Развития Казахстана" (по согласованию), МСХ, МНЭ, МФ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17. Создание рабочих мест в рамках масштабирования опыта по повышению дохода сельского населения:</w:t>
            </w:r>
          </w:p>
          <w:p>
            <w:pPr>
              <w:spacing w:after="20"/>
              <w:ind w:left="20"/>
              <w:jc w:val="both"/>
            </w:pPr>
            <w:r>
              <w:rPr>
                <w:rFonts w:ascii="Times New Roman"/>
                <w:b w:val="false"/>
                <w:i w:val="false"/>
                <w:color w:val="000000"/>
                <w:sz w:val="20"/>
              </w:rPr>
              <w:t>
2023 год – 50 тысяч рабочих мест;</w:t>
            </w:r>
          </w:p>
          <w:p>
            <w:pPr>
              <w:spacing w:after="20"/>
              <w:ind w:left="20"/>
              <w:jc w:val="both"/>
            </w:pPr>
            <w:r>
              <w:rPr>
                <w:rFonts w:ascii="Times New Roman"/>
                <w:b w:val="false"/>
                <w:i w:val="false"/>
                <w:color w:val="000000"/>
                <w:sz w:val="20"/>
              </w:rPr>
              <w:t>
2024 год – 50 тысяч рабочих мест;</w:t>
            </w:r>
          </w:p>
          <w:p>
            <w:pPr>
              <w:spacing w:after="20"/>
              <w:ind w:left="20"/>
              <w:jc w:val="both"/>
            </w:pPr>
            <w:r>
              <w:rPr>
                <w:rFonts w:ascii="Times New Roman"/>
                <w:b w:val="false"/>
                <w:i w:val="false"/>
                <w:color w:val="000000"/>
                <w:sz w:val="20"/>
              </w:rPr>
              <w:t>
2025 год – 50 тысяч рабочих мест;</w:t>
            </w:r>
          </w:p>
          <w:p>
            <w:pPr>
              <w:spacing w:after="20"/>
              <w:ind w:left="20"/>
              <w:jc w:val="both"/>
            </w:pPr>
            <w:r>
              <w:rPr>
                <w:rFonts w:ascii="Times New Roman"/>
                <w:b w:val="false"/>
                <w:i w:val="false"/>
                <w:color w:val="000000"/>
                <w:sz w:val="20"/>
              </w:rPr>
              <w:t>
2026 год – 50 тысяч рабочих мест;</w:t>
            </w:r>
          </w:p>
          <w:p>
            <w:pPr>
              <w:spacing w:after="20"/>
              <w:ind w:left="20"/>
              <w:jc w:val="both"/>
            </w:pPr>
            <w:r>
              <w:rPr>
                <w:rFonts w:ascii="Times New Roman"/>
                <w:b w:val="false"/>
                <w:i w:val="false"/>
                <w:color w:val="000000"/>
                <w:sz w:val="20"/>
              </w:rPr>
              <w:t>
2027 год – 50 тысяч рабочих мест;</w:t>
            </w:r>
          </w:p>
          <w:p>
            <w:pPr>
              <w:spacing w:after="20"/>
              <w:ind w:left="20"/>
              <w:jc w:val="both"/>
            </w:pPr>
            <w:r>
              <w:rPr>
                <w:rFonts w:ascii="Times New Roman"/>
                <w:b w:val="false"/>
                <w:i w:val="false"/>
                <w:color w:val="000000"/>
                <w:sz w:val="20"/>
              </w:rPr>
              <w:t>
2028 год – 50 тысяч рабочих мест;</w:t>
            </w:r>
          </w:p>
          <w:p>
            <w:pPr>
              <w:spacing w:after="20"/>
              <w:ind w:left="20"/>
              <w:jc w:val="both"/>
            </w:pPr>
            <w:r>
              <w:rPr>
                <w:rFonts w:ascii="Times New Roman"/>
                <w:b w:val="false"/>
                <w:i w:val="false"/>
                <w:color w:val="000000"/>
                <w:sz w:val="20"/>
              </w:rPr>
              <w:t>
2029 год – 50 тысяч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МТСЗН,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трлн тенге на развитие сельскохозяйственной кооперации с охватом более 1 млн сельчан, вовлечение в кооперативное предпринимательство половины всех личных подсобных хозяйств и создание более 350 тысяч рабочих мест за счет микрокредитования и обеспечения доступа к рынкам сбыта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МТСЗН, МФ, МНЭ, акиматы областей, городов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НПП научно-технологического и практического центра по поддержке органического производства (проектный офис "ORGANIC") с целью реализации комплексного подхода в решении системных и оперативных проблем органического производства в Казахстане:</w:t>
            </w:r>
          </w:p>
          <w:p>
            <w:pPr>
              <w:spacing w:after="20"/>
              <w:ind w:left="20"/>
              <w:jc w:val="both"/>
            </w:pPr>
            <w:r>
              <w:rPr>
                <w:rFonts w:ascii="Times New Roman"/>
                <w:b w:val="false"/>
                <w:i w:val="false"/>
                <w:color w:val="000000"/>
                <w:sz w:val="20"/>
              </w:rPr>
              <w:t>
разработка и утверждение Положения о проектном офисе "ORGANIC";</w:t>
            </w:r>
          </w:p>
          <w:p>
            <w:pPr>
              <w:spacing w:after="20"/>
              <w:ind w:left="20"/>
              <w:jc w:val="both"/>
            </w:pPr>
            <w:r>
              <w:rPr>
                <w:rFonts w:ascii="Times New Roman"/>
                <w:b w:val="false"/>
                <w:i w:val="false"/>
                <w:color w:val="000000"/>
                <w:sz w:val="20"/>
              </w:rPr>
              <w:t>
составление и утверждение плана работ проектного офиса "ORGANIC" на 2022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офис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редакции Закона Республики Казахстан "О производстве и обороте органической продукции", гармонизированной с положениями и нормами международных и региональных документов и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МЗ, МНЭ, МФ,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органического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МТИ, МЗ, МЭПР, МВРИ, МИД, МКИ, акиматы областей, городов Астаны, Алматы и Шымкента,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18. Доля внедренных завершенных научных разработок в АПК, в %:</w:t>
            </w:r>
          </w:p>
          <w:p>
            <w:pPr>
              <w:spacing w:after="20"/>
              <w:ind w:left="20"/>
              <w:jc w:val="both"/>
            </w:pPr>
            <w:r>
              <w:rPr>
                <w:rFonts w:ascii="Times New Roman"/>
                <w:b w:val="false"/>
                <w:i w:val="false"/>
                <w:color w:val="000000"/>
                <w:sz w:val="20"/>
              </w:rPr>
              <w:t>
2021 год – 14,5 %;</w:t>
            </w:r>
          </w:p>
          <w:p>
            <w:pPr>
              <w:spacing w:after="20"/>
              <w:ind w:left="20"/>
              <w:jc w:val="both"/>
            </w:pPr>
            <w:r>
              <w:rPr>
                <w:rFonts w:ascii="Times New Roman"/>
                <w:b w:val="false"/>
                <w:i w:val="false"/>
                <w:color w:val="000000"/>
                <w:sz w:val="20"/>
              </w:rPr>
              <w:t>
2022 год – 16 %;</w:t>
            </w:r>
          </w:p>
          <w:p>
            <w:pPr>
              <w:spacing w:after="20"/>
              <w:ind w:left="20"/>
              <w:jc w:val="both"/>
            </w:pPr>
            <w:r>
              <w:rPr>
                <w:rFonts w:ascii="Times New Roman"/>
                <w:b w:val="false"/>
                <w:i w:val="false"/>
                <w:color w:val="000000"/>
                <w:sz w:val="20"/>
              </w:rPr>
              <w:t>
2023 год – 17 %;</w:t>
            </w:r>
          </w:p>
          <w:p>
            <w:pPr>
              <w:spacing w:after="20"/>
              <w:ind w:left="20"/>
              <w:jc w:val="both"/>
            </w:pPr>
            <w:r>
              <w:rPr>
                <w:rFonts w:ascii="Times New Roman"/>
                <w:b w:val="false"/>
                <w:i w:val="false"/>
                <w:color w:val="000000"/>
                <w:sz w:val="20"/>
              </w:rPr>
              <w:t>
2024 год – 19 %;</w:t>
            </w:r>
          </w:p>
          <w:p>
            <w:pPr>
              <w:spacing w:after="20"/>
              <w:ind w:left="20"/>
              <w:jc w:val="both"/>
            </w:pPr>
            <w:r>
              <w:rPr>
                <w:rFonts w:ascii="Times New Roman"/>
                <w:b w:val="false"/>
                <w:i w:val="false"/>
                <w:color w:val="000000"/>
                <w:sz w:val="20"/>
              </w:rPr>
              <w:t>
2025 год – 22 %;</w:t>
            </w:r>
          </w:p>
          <w:p>
            <w:pPr>
              <w:spacing w:after="20"/>
              <w:ind w:left="20"/>
              <w:jc w:val="both"/>
            </w:pPr>
            <w:r>
              <w:rPr>
                <w:rFonts w:ascii="Times New Roman"/>
                <w:b w:val="false"/>
                <w:i w:val="false"/>
                <w:color w:val="000000"/>
                <w:sz w:val="20"/>
              </w:rPr>
              <w:t>
2026 год – 26 %;</w:t>
            </w:r>
          </w:p>
          <w:p>
            <w:pPr>
              <w:spacing w:after="20"/>
              <w:ind w:left="20"/>
              <w:jc w:val="both"/>
            </w:pPr>
            <w:r>
              <w:rPr>
                <w:rFonts w:ascii="Times New Roman"/>
                <w:b w:val="false"/>
                <w:i w:val="false"/>
                <w:color w:val="000000"/>
                <w:sz w:val="20"/>
              </w:rPr>
              <w:t>
2027 год – 26 %;</w:t>
            </w:r>
          </w:p>
          <w:p>
            <w:pPr>
              <w:spacing w:after="20"/>
              <w:ind w:left="20"/>
              <w:jc w:val="both"/>
            </w:pPr>
            <w:r>
              <w:rPr>
                <w:rFonts w:ascii="Times New Roman"/>
                <w:b w:val="false"/>
                <w:i w:val="false"/>
                <w:color w:val="000000"/>
                <w:sz w:val="20"/>
              </w:rPr>
              <w:t>
2028 год – 31 %;</w:t>
            </w:r>
          </w:p>
          <w:p>
            <w:pPr>
              <w:spacing w:after="20"/>
              <w:ind w:left="20"/>
              <w:jc w:val="both"/>
            </w:pPr>
            <w:r>
              <w:rPr>
                <w:rFonts w:ascii="Times New Roman"/>
                <w:b w:val="false"/>
                <w:i w:val="false"/>
                <w:color w:val="000000"/>
                <w:sz w:val="20"/>
              </w:rPr>
              <w:t>
2029 год – 37 %;</w:t>
            </w:r>
          </w:p>
          <w:p>
            <w:pPr>
              <w:spacing w:after="20"/>
              <w:ind w:left="20"/>
              <w:jc w:val="both"/>
            </w:pPr>
            <w:r>
              <w:rPr>
                <w:rFonts w:ascii="Times New Roman"/>
                <w:b w:val="false"/>
                <w:i w:val="false"/>
                <w:color w:val="000000"/>
                <w:sz w:val="20"/>
              </w:rPr>
              <w:t>
2030 год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действующих центров распространения знаний на базе вузов, НИИ, опытных хозяйств, колледжей и агроформирований, а также практики проведения обучающих семинаров зарубежными консультантами по вопросам развития агропромышленного комплекса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обучении СХТП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 июня,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МНВО, НАО "НАНОЦ" (по согласованию), НПП "Атамекен" (по согласованию), МИО,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обеспечение АПК посредством программно-целевого и грантового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МФ, МНЭ,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отраслевых грантов на коммерциализацию результатов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по коммерциализации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МФ, МНЭ, НАО "НАНОЦ"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обновление содержания образовательных программ в аграрных высших учебных заведениях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МНВО,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образовательных и информационно-разъяснительных мероприятий для субъектов АПК на базе центров распространения знаний, вузов, НИИ, опытных хозяйств, колледжей и агроформирований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обучении СХТП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МНВО, НАО "НАНОЦ" (по согласованию), НПП "Атамекен" (по согласованию), МИО,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цифровизации трансферта и коммерциализации агротехнологий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"НАНОЦ"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работ по внедрению информационных технологий и цифровизации в отрасли сельского хозяйства (технологическая платформа "AgriTech")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платформа "AgriTech"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НАО "НАНОЦ" (по согласованию), НПП "Атамекен"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19. Площадь земель с применением водосберегающих технологий (капельное орошение, дождевание), тысяч га:</w:t>
            </w:r>
          </w:p>
          <w:p>
            <w:pPr>
              <w:spacing w:after="20"/>
              <w:ind w:left="20"/>
              <w:jc w:val="both"/>
            </w:pPr>
            <w:r>
              <w:rPr>
                <w:rFonts w:ascii="Times New Roman"/>
                <w:b w:val="false"/>
                <w:i w:val="false"/>
                <w:color w:val="000000"/>
                <w:sz w:val="20"/>
              </w:rPr>
              <w:t>
2022 год – 279 тыс. га;</w:t>
            </w:r>
          </w:p>
          <w:p>
            <w:pPr>
              <w:spacing w:after="20"/>
              <w:ind w:left="20"/>
              <w:jc w:val="both"/>
            </w:pPr>
            <w:r>
              <w:rPr>
                <w:rFonts w:ascii="Times New Roman"/>
                <w:b w:val="false"/>
                <w:i w:val="false"/>
                <w:color w:val="000000"/>
                <w:sz w:val="20"/>
              </w:rPr>
              <w:t>
2023 год – 312,2 тыс. га;</w:t>
            </w:r>
          </w:p>
          <w:p>
            <w:pPr>
              <w:spacing w:after="20"/>
              <w:ind w:left="20"/>
              <w:jc w:val="both"/>
            </w:pPr>
            <w:r>
              <w:rPr>
                <w:rFonts w:ascii="Times New Roman"/>
                <w:b w:val="false"/>
                <w:i w:val="false"/>
                <w:color w:val="000000"/>
                <w:sz w:val="20"/>
              </w:rPr>
              <w:t>
2024 год – 462,2 тыс. га;</w:t>
            </w:r>
          </w:p>
          <w:p>
            <w:pPr>
              <w:spacing w:after="20"/>
              <w:ind w:left="20"/>
              <w:jc w:val="both"/>
            </w:pPr>
            <w:r>
              <w:rPr>
                <w:rFonts w:ascii="Times New Roman"/>
                <w:b w:val="false"/>
                <w:i w:val="false"/>
                <w:color w:val="000000"/>
                <w:sz w:val="20"/>
              </w:rPr>
              <w:t>
2025 год – 612,2 тыс. га;</w:t>
            </w:r>
          </w:p>
          <w:p>
            <w:pPr>
              <w:spacing w:after="20"/>
              <w:ind w:left="20"/>
              <w:jc w:val="both"/>
            </w:pPr>
            <w:r>
              <w:rPr>
                <w:rFonts w:ascii="Times New Roman"/>
                <w:b w:val="false"/>
                <w:i w:val="false"/>
                <w:color w:val="000000"/>
                <w:sz w:val="20"/>
              </w:rPr>
              <w:t>
2026 год – 762,2 тыс. га;</w:t>
            </w:r>
          </w:p>
          <w:p>
            <w:pPr>
              <w:spacing w:after="20"/>
              <w:ind w:left="20"/>
              <w:jc w:val="both"/>
            </w:pPr>
            <w:r>
              <w:rPr>
                <w:rFonts w:ascii="Times New Roman"/>
                <w:b w:val="false"/>
                <w:i w:val="false"/>
                <w:color w:val="000000"/>
                <w:sz w:val="20"/>
              </w:rPr>
              <w:t>
2027 год – 912,2 тыс. га;</w:t>
            </w:r>
          </w:p>
          <w:p>
            <w:pPr>
              <w:spacing w:after="20"/>
              <w:ind w:left="20"/>
              <w:jc w:val="both"/>
            </w:pPr>
            <w:r>
              <w:rPr>
                <w:rFonts w:ascii="Times New Roman"/>
                <w:b w:val="false"/>
                <w:i w:val="false"/>
                <w:color w:val="000000"/>
                <w:sz w:val="20"/>
              </w:rPr>
              <w:t>
2028 год – 1 062,2 тыс. га;</w:t>
            </w:r>
          </w:p>
          <w:p>
            <w:pPr>
              <w:spacing w:after="20"/>
              <w:ind w:left="20"/>
              <w:jc w:val="both"/>
            </w:pPr>
            <w:r>
              <w:rPr>
                <w:rFonts w:ascii="Times New Roman"/>
                <w:b w:val="false"/>
                <w:i w:val="false"/>
                <w:color w:val="000000"/>
                <w:sz w:val="20"/>
              </w:rPr>
              <w:t>
2029 год – 1 212,2 тыс. га;</w:t>
            </w:r>
          </w:p>
          <w:p>
            <w:pPr>
              <w:spacing w:after="20"/>
              <w:ind w:left="20"/>
              <w:jc w:val="both"/>
            </w:pPr>
            <w:r>
              <w:rPr>
                <w:rFonts w:ascii="Times New Roman"/>
                <w:b w:val="false"/>
                <w:i w:val="false"/>
                <w:color w:val="000000"/>
                <w:sz w:val="20"/>
              </w:rPr>
              <w:t>
2030 год – 1 362,2 тыс.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МВРИ, акиматы областей, городов Астаны, Алматы и Шымкента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гидрогеолого-мелиоративной службы в связи с расширением их зоны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улучшению мелиоративного состояния орошаемых земель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20. Доля маточного поголовья, охваченная породным преобразованием:</w:t>
            </w:r>
          </w:p>
          <w:p>
            <w:pPr>
              <w:spacing w:after="20"/>
              <w:ind w:left="20"/>
              <w:jc w:val="both"/>
            </w:pPr>
            <w:r>
              <w:rPr>
                <w:rFonts w:ascii="Times New Roman"/>
                <w:b w:val="false"/>
                <w:i w:val="false"/>
                <w:color w:val="000000"/>
                <w:sz w:val="20"/>
              </w:rPr>
              <w:t>
2022 год – 29 %;</w:t>
            </w:r>
          </w:p>
          <w:p>
            <w:pPr>
              <w:spacing w:after="20"/>
              <w:ind w:left="20"/>
              <w:jc w:val="both"/>
            </w:pPr>
            <w:r>
              <w:rPr>
                <w:rFonts w:ascii="Times New Roman"/>
                <w:b w:val="false"/>
                <w:i w:val="false"/>
                <w:color w:val="000000"/>
                <w:sz w:val="20"/>
              </w:rPr>
              <w:t>
2023 год – 31 %;</w:t>
            </w:r>
          </w:p>
          <w:p>
            <w:pPr>
              <w:spacing w:after="20"/>
              <w:ind w:left="20"/>
              <w:jc w:val="both"/>
            </w:pPr>
            <w:r>
              <w:rPr>
                <w:rFonts w:ascii="Times New Roman"/>
                <w:b w:val="false"/>
                <w:i w:val="false"/>
                <w:color w:val="000000"/>
                <w:sz w:val="20"/>
              </w:rPr>
              <w:t>
2024 год – 32 %;</w:t>
            </w:r>
          </w:p>
          <w:p>
            <w:pPr>
              <w:spacing w:after="20"/>
              <w:ind w:left="20"/>
              <w:jc w:val="both"/>
            </w:pPr>
            <w:r>
              <w:rPr>
                <w:rFonts w:ascii="Times New Roman"/>
                <w:b w:val="false"/>
                <w:i w:val="false"/>
                <w:color w:val="000000"/>
                <w:sz w:val="20"/>
              </w:rPr>
              <w:t>
2025 год – 34 %;</w:t>
            </w:r>
          </w:p>
          <w:p>
            <w:pPr>
              <w:spacing w:after="20"/>
              <w:ind w:left="20"/>
              <w:jc w:val="both"/>
            </w:pPr>
            <w:r>
              <w:rPr>
                <w:rFonts w:ascii="Times New Roman"/>
                <w:b w:val="false"/>
                <w:i w:val="false"/>
                <w:color w:val="000000"/>
                <w:sz w:val="20"/>
              </w:rPr>
              <w:t>
2026 год – 35 %;</w:t>
            </w:r>
          </w:p>
          <w:p>
            <w:pPr>
              <w:spacing w:after="20"/>
              <w:ind w:left="20"/>
              <w:jc w:val="both"/>
            </w:pPr>
            <w:r>
              <w:rPr>
                <w:rFonts w:ascii="Times New Roman"/>
                <w:b w:val="false"/>
                <w:i w:val="false"/>
                <w:color w:val="000000"/>
                <w:sz w:val="20"/>
              </w:rPr>
              <w:t>
2027 год – 37 %;</w:t>
            </w:r>
          </w:p>
          <w:p>
            <w:pPr>
              <w:spacing w:after="20"/>
              <w:ind w:left="20"/>
              <w:jc w:val="both"/>
            </w:pPr>
            <w:r>
              <w:rPr>
                <w:rFonts w:ascii="Times New Roman"/>
                <w:b w:val="false"/>
                <w:i w:val="false"/>
                <w:color w:val="000000"/>
                <w:sz w:val="20"/>
              </w:rPr>
              <w:t>
2028 год – 39 %;</w:t>
            </w:r>
          </w:p>
          <w:p>
            <w:pPr>
              <w:spacing w:after="20"/>
              <w:ind w:left="20"/>
              <w:jc w:val="both"/>
            </w:pPr>
            <w:r>
              <w:rPr>
                <w:rFonts w:ascii="Times New Roman"/>
                <w:b w:val="false"/>
                <w:i w:val="false"/>
                <w:color w:val="000000"/>
                <w:sz w:val="20"/>
              </w:rPr>
              <w:t>
2029 год – 41 %;</w:t>
            </w:r>
          </w:p>
          <w:p>
            <w:pPr>
              <w:spacing w:after="20"/>
              <w:ind w:left="20"/>
              <w:jc w:val="both"/>
            </w:pPr>
            <w:r>
              <w:rPr>
                <w:rFonts w:ascii="Times New Roman"/>
                <w:b w:val="false"/>
                <w:i w:val="false"/>
                <w:color w:val="000000"/>
                <w:sz w:val="20"/>
              </w:rPr>
              <w:t>
2030 год –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w:t>
            </w:r>
          </w:p>
          <w:p>
            <w:pPr>
              <w:spacing w:after="20"/>
              <w:ind w:left="20"/>
              <w:jc w:val="both"/>
            </w:pPr>
            <w:r>
              <w:rPr>
                <w:rFonts w:ascii="Times New Roman"/>
                <w:b w:val="false"/>
                <w:i w:val="false"/>
                <w:color w:val="000000"/>
                <w:sz w:val="20"/>
              </w:rPr>
              <w:t xml:space="preserve">
Астаны, Алматы и Шымкента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фуражного фонда в объеме 200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областей, городов Астаны, Алматы и Шымкента, НПП "Атамекен" (по согласованию), АО "НК "Продкорпорация"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птицеводства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молочного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овцеводства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Дорожной карты по развитию мясного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МФ, МТИ,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с последующим увеличением уставного капитала НАО "Западно-Казахстанский аграрно-технический университет имени Жангир хана" с целью создания инновационной научно-производственной лаборатории при НАО "Западно-Казахстанский аграрно-технический университет имени Жангир 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 МНЭ,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увеличению уставного капитала НАО "Национальный аграрный научно-образовательный центр":</w:t>
            </w:r>
          </w:p>
          <w:p>
            <w:pPr>
              <w:spacing w:after="20"/>
              <w:ind w:left="20"/>
              <w:jc w:val="both"/>
            </w:pPr>
            <w:r>
              <w:rPr>
                <w:rFonts w:ascii="Times New Roman"/>
                <w:b w:val="false"/>
                <w:i w:val="false"/>
                <w:color w:val="000000"/>
                <w:sz w:val="20"/>
              </w:rPr>
              <w:t>
с целью создания единой сети селекционно-семеноводческих хозяйств по зерновым культурам (заявитель НАО "НАНОЦ");</w:t>
            </w:r>
          </w:p>
          <w:p>
            <w:pPr>
              <w:spacing w:after="20"/>
              <w:ind w:left="20"/>
              <w:jc w:val="both"/>
            </w:pPr>
            <w:r>
              <w:rPr>
                <w:rFonts w:ascii="Times New Roman"/>
                <w:b w:val="false"/>
                <w:i w:val="false"/>
                <w:color w:val="000000"/>
                <w:sz w:val="20"/>
              </w:rPr>
              <w:t>
с последующим увеличением уставного капитала ТОО "Опытное хозяйство "Меркенский" с целью улучшения материально-технического оснащения производства посадочного материала для плодовых и кормовых культур в Жамбылской области;</w:t>
            </w:r>
          </w:p>
          <w:p>
            <w:pPr>
              <w:spacing w:after="20"/>
              <w:ind w:left="20"/>
              <w:jc w:val="both"/>
            </w:pPr>
            <w:r>
              <w:rPr>
                <w:rFonts w:ascii="Times New Roman"/>
                <w:b w:val="false"/>
                <w:i w:val="false"/>
                <w:color w:val="000000"/>
                <w:sz w:val="20"/>
              </w:rPr>
              <w:t>
с последующим увеличением уставного капитала ТОО "Казахский научно-исследовательский институт животноводства и кормопроизводства" с целью улучшения материально-технического оснащения для обеспечения семенами засухоустойчивых пастбищных кормовых культур в условиях аридной зоны юго-востока Казахстана;</w:t>
            </w:r>
          </w:p>
          <w:p>
            <w:pPr>
              <w:spacing w:after="20"/>
              <w:ind w:left="20"/>
              <w:jc w:val="both"/>
            </w:pPr>
            <w:r>
              <w:rPr>
                <w:rFonts w:ascii="Times New Roman"/>
                <w:b w:val="false"/>
                <w:i w:val="false"/>
                <w:color w:val="000000"/>
                <w:sz w:val="20"/>
              </w:rPr>
              <w:t>
с последующим увеличением уставного капитала НАО "Казахский национальный аграрный исследовательский университет" с целью оснащения лабораторной базы геномной и клеточной селекции;</w:t>
            </w:r>
          </w:p>
          <w:p>
            <w:pPr>
              <w:spacing w:after="20"/>
              <w:ind w:left="20"/>
              <w:jc w:val="both"/>
            </w:pPr>
            <w:r>
              <w:rPr>
                <w:rFonts w:ascii="Times New Roman"/>
                <w:b w:val="false"/>
                <w:i w:val="false"/>
                <w:color w:val="000000"/>
                <w:sz w:val="20"/>
              </w:rPr>
              <w:t>
с последующим увеличением уставного капитала ТОО "Казахский научно-исследовательский институт земледелия и растениеводства" с целью улучшения материально-технического оснащения для развития селекции, первичного и элитного семеноводства зерновых, зернобобовых, масличных, технических и кормовых культур на юге и юго-востоке Казахстана;</w:t>
            </w:r>
          </w:p>
          <w:p>
            <w:pPr>
              <w:spacing w:after="20"/>
              <w:ind w:left="20"/>
              <w:jc w:val="both"/>
            </w:pPr>
            <w:r>
              <w:rPr>
                <w:rFonts w:ascii="Times New Roman"/>
                <w:b w:val="false"/>
                <w:i w:val="false"/>
                <w:color w:val="000000"/>
                <w:sz w:val="20"/>
              </w:rPr>
              <w:t>
с последующим увеличением уставного капитала ТОО "Казахский научно-исследовательский институт плодоовощеводства" с целью улучшения материально-технического оснащения производства оригинальных и элитных семян овощебахчевых культур и картофеля;</w:t>
            </w:r>
          </w:p>
          <w:p>
            <w:pPr>
              <w:spacing w:after="20"/>
              <w:ind w:left="20"/>
              <w:jc w:val="both"/>
            </w:pPr>
            <w:r>
              <w:rPr>
                <w:rFonts w:ascii="Times New Roman"/>
                <w:b w:val="false"/>
                <w:i w:val="false"/>
                <w:color w:val="000000"/>
                <w:sz w:val="20"/>
              </w:rPr>
              <w:t>
с последующим увеличением уставного капитала ТОО "Казахский научно-исследовательский институт плодоовощеводства" с целью улучшения материально-технического оснащения производства оригинальных и элитных семян, посадочного материала плодовых, ягодных культур и винограда;</w:t>
            </w:r>
          </w:p>
          <w:p>
            <w:pPr>
              <w:spacing w:after="20"/>
              <w:ind w:left="20"/>
              <w:jc w:val="both"/>
            </w:pPr>
            <w:r>
              <w:rPr>
                <w:rFonts w:ascii="Times New Roman"/>
                <w:b w:val="false"/>
                <w:i w:val="false"/>
                <w:color w:val="000000"/>
                <w:sz w:val="20"/>
              </w:rPr>
              <w:t>
с последующим увеличением уставного капитала ТОО "Казахский научно-исследовательский институт рисоводства им. И. Жахаева" с целью улучшения материально-технического оснащения для повышения продуктивности риса и диверсификационных культур рисового севооборота;</w:t>
            </w:r>
          </w:p>
          <w:p>
            <w:pPr>
              <w:spacing w:after="20"/>
              <w:ind w:left="20"/>
              <w:jc w:val="both"/>
            </w:pPr>
            <w:r>
              <w:rPr>
                <w:rFonts w:ascii="Times New Roman"/>
                <w:b w:val="false"/>
                <w:i w:val="false"/>
                <w:color w:val="000000"/>
                <w:sz w:val="20"/>
              </w:rPr>
              <w:t>
с последующим увеличением уставного капитала ТОО "Сельскохозяйственная опытная станция хлопководства и бахчеводства" с целью создания проекта "Семеноводство 2.0. Сортосмена и сортообновление элитных семян хлопчатника";</w:t>
            </w:r>
          </w:p>
          <w:p>
            <w:pPr>
              <w:spacing w:after="20"/>
              <w:ind w:left="20"/>
              <w:jc w:val="both"/>
            </w:pPr>
            <w:r>
              <w:rPr>
                <w:rFonts w:ascii="Times New Roman"/>
                <w:b w:val="false"/>
                <w:i w:val="false"/>
                <w:color w:val="000000"/>
                <w:sz w:val="20"/>
              </w:rPr>
              <w:t>
с последующим увеличением уставного капитала АО "Республиканский центр по племенному делу в животноводстве "Асыл Түлік" в целях: 1) создания комплексной лаборатории по сбору, криоконсервации и хранению генетического материала племенных сельскохозяйственных животных;</w:t>
            </w:r>
          </w:p>
          <w:p>
            <w:pPr>
              <w:spacing w:after="20"/>
              <w:ind w:left="20"/>
              <w:jc w:val="both"/>
            </w:pPr>
            <w:r>
              <w:rPr>
                <w:rFonts w:ascii="Times New Roman"/>
                <w:b w:val="false"/>
                <w:i w:val="false"/>
                <w:color w:val="000000"/>
                <w:sz w:val="20"/>
              </w:rPr>
              <w:t>
2) организации центра повышения квалификации по воспроизводству и исскуственному осеменению сельскохозяйственных животных;</w:t>
            </w:r>
          </w:p>
          <w:p>
            <w:pPr>
              <w:spacing w:after="20"/>
              <w:ind w:left="20"/>
              <w:jc w:val="both"/>
            </w:pPr>
            <w:r>
              <w:rPr>
                <w:rFonts w:ascii="Times New Roman"/>
                <w:b w:val="false"/>
                <w:i w:val="false"/>
                <w:color w:val="000000"/>
                <w:sz w:val="20"/>
              </w:rPr>
              <w:t xml:space="preserve">
с последующим увеличением уставного капитала ТОО "Казахский научно-исследовательский институт защиты и карантина растений им. Ж. Жиембаева" с целью улучшения материально-технического оснащения </w:t>
            </w:r>
          </w:p>
          <w:p>
            <w:pPr>
              <w:spacing w:after="20"/>
              <w:ind w:left="20"/>
              <w:jc w:val="both"/>
            </w:pPr>
            <w:r>
              <w:rPr>
                <w:rFonts w:ascii="Times New Roman"/>
                <w:b w:val="false"/>
                <w:i w:val="false"/>
                <w:color w:val="000000"/>
                <w:sz w:val="20"/>
              </w:rPr>
              <w:t>
ТОО "Казахский научно-исследовательский институт защиты и карантина растений им. Ж. Жиембаева" для развития первичного семеноводства и контроля вредных и карантинных организмов в семенах.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Трансформирование НАО "Национальный аграрный научно-образовательный центр" в вертикальный интегрированный агротехнологический хаб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план равития НАО "Национальный аграрный научно-образовательный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рыбного хозяйства, в том числе модернизация РГКП "Урало-Атырауский осетровый рыбоводный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инвестиционного предложения в МНЭ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 Атырауской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частных научно-технологических инициатив и адаптация образовательных программ к потребностям аграрного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и дополнения в план развития НАО "НАНОЦ"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НАО "НАНОЦ" (по согласованию)</w:t>
            </w:r>
          </w:p>
        </w:tc>
      </w:tr>
    </w:tbl>
    <w:bookmarkStart w:name="z810" w:id="542"/>
    <w:p>
      <w:pPr>
        <w:spacing w:after="0"/>
        <w:ind w:left="0"/>
        <w:jc w:val="both"/>
      </w:pPr>
      <w:r>
        <w:rPr>
          <w:rFonts w:ascii="Times New Roman"/>
          <w:b w:val="false"/>
          <w:i w:val="false"/>
          <w:color w:val="000000"/>
          <w:sz w:val="28"/>
        </w:rPr>
        <w:t>
      Примечание: расшифровка аббревиатур:</w:t>
      </w:r>
    </w:p>
    <w:bookmarkEnd w:id="5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"Аграрная кредитная корпорация"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"Аграрная кредитная корпорация"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"Правительство для граждан"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"Правительство для граждан"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"Продкорпорация"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"Продовольственная контрактная корпорация"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"АЦЭП"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"Аналитический центр экономической политики в агропромышленном комплексе"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ЕАСУ ГРСТ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"Единая автоматизированная система управления государственного регистра сельскохозяйственной техники"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КГИ АПК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сельхозтоваропроизводители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науки и высшего образования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"КазАгроФинанс"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"КазАгроФинанс"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"Банк Развития Казахстана"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дезинфекционная установка Комарова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"Урало-Атырауский осетровый рыбоводный завод"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"Урало-Атырауский осетровый рыбоводный завод"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прослеживаемости в растениеводстве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"НАНОЦ"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"Национальный аграрный научно-образовательный 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компания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"Kazakh Invest​"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"Kazakh Invest​"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