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a4d0" w14:textId="df4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Усть-Каменогорска Восточно-Казахстанской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2021 года № 810.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июля 2001 года "Об архитектурной, градостроительной и строительной деятельности в Республике Казахстан", в целях обеспечения комплексного развития города Усть-Каменогорска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Усть-Каменогорска Восточно-Казахстанской области (включая основные положения), одобренный Восточно-Казахстанским областным и Усть-Каменогорским городским маслихатами.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2009 года № 1749 "О Генеральном плане города Усть-Каменогорска Восточно-Казахстанской области".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810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(включая основные положения)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Усть-Каменогорска, областного центра Восточно-Казахстанской области (далее – Генеральный план) является основным градостроительным документом, определяющим направления перспективного комплексного развития, планировочной организации территории, системы социальной и инженерно-транспортной инфраструктуры города.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Генерального плана (основной чертеж) выполнена в границах перспективного территориального развития согласно приложению к настоящему Генеральному плану.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приняты следующие проектные периоды: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исходный год – на 1 января 2019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очередь строительства – 2025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расчетный срок – 2035 год.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основу разработки Генерального плана взяты </w:t>
      </w:r>
      <w:r>
        <w:rPr>
          <w:rFonts w:ascii="Times New Roman"/>
          <w:b w:val="false"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Республики Казахстан, утвержденная постановлением Правительства Республики Казахстан от 29 ноября 2017 года № 790, </w:t>
      </w:r>
      <w:r>
        <w:rPr>
          <w:rFonts w:ascii="Times New Roman"/>
          <w:b w:val="false"/>
          <w:i w:val="false"/>
          <w:color w:val="000000"/>
          <w:sz w:val="28"/>
        </w:rPr>
        <w:t>Основные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схемы организации территории Республики Казахстан, утвержденные постановлением Правительства Республики Казахстан от 30 декабря 2013 года № 1434,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 – 2025 годы, утвержденная постановлением Правительства Республики Казахстан от 31 декабря 2019 года № 1054 (далее – Программа "Нұрлы жер"), комплексные планы социально-экономического развития Восточно-Казахстанской области и города Усть-Каменогорска, другие государственные и региональные программы.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Генерального плана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города Усть-Каменогорска (далее – город),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города;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города.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перспективы территориального развития города, включая социальную, рекреационную, производственную, транспортную и инженерную инфраструктуры, формирование планировочной структуры, устанавливает функциональное зонирование и градостроительные регламенты использования территории, включает предложения по инженерной защите и подготовке территории, градостроительные мероприятия по улучшению экологической обстановки.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долгосрочных и краткосрочных программ социально-экономического развития города;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комплексных схем развития электроснабжения, водоснабжения и других инженерных систем;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проектов детальной планировки и застройки территории города;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комплексных планов застройки на краткосрочные периоды;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 реконструкции и развития жилых, производственных и коммунально-складских территорий;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 сохранения и реабилитации исторической застройки и объектов исторического и культурного наследия;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 развития территорий рекреационных зон и озеленения;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планов комплексного благоустройства и преобразования общественных пространств.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городе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расположен в бассейне верхнего течения реки Иртыш, при впадении в нее реки Ульба, почти в центре Рудного Алтая.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является крупным многофункциональным центром в системе расселения Казахстана, взаимосвязан с другими городами республики устойчивыми производственными, научными и социально-культурными связями, имеет удобные транспортные связи с Российской Федерацией.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как крупного промышленного центра определило его центральное расположение в системе расселения населения и обусловило формирование вокруг него пригородной зоны. Город тесно взаимодействует со всеми населенными пунктами пригородной зоны, развивая интенсивные трудовые и культурно-бытовые связи, а также являясь центром межселенного обслуживания населения.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отраслями специализации города являются цветная металлургия, а также машиностроение и металлообработка, деревообрабатывающая, легкая, пищевая промышленность, производство стройматериалов. Город является крупным железнодорожным узлом. Активно развиваются объекты малого и среднего бизнеса в сфере торговли, здравоохранения, предприятия по обслуживанию транзитных грузов и оптовой торговли.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Природно-климатические и инженерно-геологические аспекты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является одним из основных природных факторов, формирующих условия жизнедеятельности горожан, определяет конструктивные особенности жилища, систему инженерного обеспечения, организацию отдыха.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расположен в предгорьях Рудного Алтая при впадении реки Ульбы в Иртыш на равнинном правобережном участке, образованном долинами рек. С севера, востока, юга и юго-запада он окружен отрогами горных хребтов Алтайской горной системы с высотами до 800 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остается открытой только в северо-западном и в меньшей степени юго-восточном направлении.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рельеф междуречья Иртыша и Ульбы представляет собой высокую пойму, изрезанную мелкими протоками и осложненную старицами. Ширина пойменной террасы изменяется от 150 до 5000 м. Уклон поверхности 0,5-10 %. Абсолютные отметки варьируют в пределах 277,0 – 292,0 м. Средняя месячная температура воздуха самого жаркого месяца июля +21,2 0С абсолютным максимумом температур +41 0С. Средние месячные ночные температуры зимнего периода составляют от -21,9 0С, а абсолютный минимум -49,0 0С.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годовая скорость ветра – 2,5 м/с.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водотоками здесь являются реки Иртыш и Ульба. Река Иртыш разделяет территорию города на правобережную и левобережную части.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 образует широкую, хорошо выраженную долину. Ширина главного русла реки 170 – 380 м, общая ширина реки с протоками и островами достигает 3 – 3,5 км при глубине по фарватеру 3 м, местами до 5 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Река Ульба в пределах городской территории имеет протяженность 24 км.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Социально-экономическое развитие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направления социально-экономического развития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город рассматривается как центр Восточно-Казахстанской области, региональный центр восточного региона Казахстана.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приоритеты социально-экономического развития города на перспективу, такие как: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человеческого капитала и повышение качества жизни населения;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социальной, инженерно-транспортной инфраструктуры;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 и диверсификация экономики;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сбалансированное развитие города.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Демография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в пределах административно-территориального подчинения города составила на начало 2019 года 343,8 тыс. человек, в том числе в городе проживало 331,6 тыс. человек.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численности населения города на расчетный срок выполнен с учетом объективно происходящих изменений в естественном и миграционном движении населения.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численность населения определена методом статистической экстраполяции с учетом оптимального включения населения в трудоспособном возрасте в деятельность во всех сферах социально-экономической деятельности.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численность населения города составит: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первую очередь – 380,0 тыс. человек;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расчетный срок – 430,0 тыс. человек.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в трудоспособном возрасте к концу расчетного срока составит 68,0 % от численности населения города.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весь проектный период Генеральным планом предусматривается создать более 85 тысяч рабочих мест.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Жилищно-гражданское строительство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составил 8049,6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средней обеспеченности общей площадью 25,1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жителя.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комплексного формирования жилой среды предусматривают доведение обеспеченности жильем до 30,5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на одного человека на расчетный срок. При этом расчетная обеспеченность жильем дифференцирована между населением, тяготеющим к различным группам по уровню доходов.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вся территория города была поделена на 6 планировочных зон. Расчет строительства нового жилищного фонда выполнен в разрезе планировочных зон.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принято следующее строительное зонирование по этажности нового жилищного фонда: 41,5% – это дома усадебного типа с земельными участками до 1000 кв. метров; 41,3% – многоквартирные среднеэтажные дома (4-5 этажей), 17,2% – многоквартирные многоэтажные дома (6 этажей и выше).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нового жилищного строительства за период 2019 - 2035 годы составит 5121,3 тыс. м2 общей площади, в том числе в домах с приусадебными участками – 2127,0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многоквартирных среднеэтажных домах - 2114,7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многоквартирных многоэтажных домах – 879,6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площади, в том числе в период первого этапа строительства (2019 - 2025 годы) жилищный фонд в новых домах составит 2257,2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площади, из них в домах с приусадебными участками 673,3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многоквартирных среднеэтажных домах – 1214,1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многоквартирных многоэтажных домах – 369,8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Убыль существующего ветхого и малоценного жилищного фонда за рассматриваемый период может составить 89,8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площади, в том числе до 2025 года – 64,9 тыс. м2. Территории, высвобождаемые после сноса, составят – 71 га, из которых около 83% находятся в центральной планировочной зоне города. Генеральным планом предусматриваются строительство на этих территориях многоэтажных (5-14 этажей) жилых домов и объектов социально-культурного назначения районного и городского уровня, формирование улично-дорожной сети и системы зеленых насаждений общего пользования.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жилищного строительства будет соответствовать основным направлениям программы "Нұрлы жер".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Сфера обслуживания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приоритетами развития социальной сферы являются: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перспективное развитие, соответствующее статусу областного центра;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существующих учреждений культурно-просветительного назначения;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всех памятников истории, культуры и архитектуры, имеющихся в городе.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Образование и здравоохранение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число мест в дошкольных учреждениях составляет 14798, к расчетному сроку этот показатель может достигнуть 30558.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учреждениях число мест составляет 29949, к расчетному сроку может достигнуть 77348.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число больничных коек составило 1350. К расчетному сроку может достигнуть 3870 коек.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 поликлиниках на современном этапе составляет 4952 посещения в смену, к расчетному сроку может достигнуть 11171 посещения.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предусмотрено строительство небольших медицинских объектов: медицинские и диагностические центры, аптеки, специализированные медицинские центры, строительство которых возможно за счет частных инвесторов или по механизму государственно-частного партнерства.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развитию здравоохранения предусматривают социально-гарантированный минимум медицинского обслуживания населения.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воспитания детей дошкольного возраста, учащейся и студенческой молодежи, населения среднего и старшего возрастов, а также подготовки спортивного резерва и спортсменов международного класса Генеральным планом предусмотрено размещение в планировочных зонах города нескольких средних и крупных спортивно-оздоровительных объектов, строительство которых возможно за счет частных инвесторов или по механизму государственно-частного партнерства. Размещение минимально обязательного уровня и пешеходной доступности объектов населению будет осуществляться согласно системе региональных стандартов.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Экономическая деятельность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следующие приоритетные направления экономики города: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новых технологических и системообразующих производств с большим мультипликативным эффектом, в том числе реализация "прорывных" инвестиционных проектов;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деятельности и экономической отдачи добывающего сектора;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многоуровневой системы обслуживания населения;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современного образования, подготовки и переподготовки кадров, адекватных реальным экономическим условиям;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доступной и конкурентоспособной системы здравоохранения;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транспортно-коммуникационной инфраструктуры, способной удовлетворять потребность экономики и населения в транспортных услугах;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стимулирование перехода на энергосберегающие технологии и зеленую экономику.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дальнейшее эффективное сочетание и взаимодействие государственного и частного секторов экономики.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в городе представлено довольно широко, но наибольший уровень занятости наблюдается в учреждениях торговли и общественного питания.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Промышленность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потенциал города определяют крупные экспортоориентированные промышленные компании.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Базой для развития и формирования конкурентоспособных производств должны стать: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горнодобывающей промышленности;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керамзита;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приоритетное развитие урановой промышленности;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металлургической промышленности;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 и производство технологического оборудования для предприятий цветной металлургии, горнодобывающей и других отраслей промышленности;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автомобилестроения;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дальнейшее развитие индустриальных зон.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Потребности населения будут удовлетворены за счет развития: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производства растительных масел и жиров;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переработки молока;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кондитерских изделий;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производства мясных и рыбных консервов;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производства макарон и переработки рыбы;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швейного и трикотажного производства.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должного уровня жизнеобеспечения жителей города, развития производств по переработке сельскохозяйственной продукции предусматриваются: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заготовительных пунктов по приему молока, шерсти и кисломолочной продукции в селах города;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и развитие мощностей консервного и колбасного производств;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производства овощей в закрытом грунте и их переработка;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реконструкция и увеличение мельничного производства в мукомольно-комбикормовом комбинате;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мощностей по производству мяса птицы;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пуск линии по переработке овощей и картофельной продукции, образование кластера по переработке сельскохозяйственной продукции.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сервисного центра региона город может позиционировать себя как: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транзитно-логистический центр, что означает создание в городе удобных и выгодных условий для транзита грузов и пассажиров между Европой и Азией, формирование транспортно-логистических узлов, ориентированных на обслуживание клиентов всего Центрально-азиатского региона;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финансовый центр, ориентированный на оказание финансовых услуг международного класса с целью обслуживания близлежащих регионов;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туристический центр с богатой историей и культурой Алтайского региона;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центр, ориентированный на предоставление качественного образования молодежи региона в соответствии с западными стандартами при доступном уровне оплаты за обучение;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центр, способный оказывать высококвалифицированную специализированную медицинскую помощь гражданам региона и осуществлять обучение и повышение квалификации медицинских кадров.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концу проектного периода в социально-экономических отраслях предполагается иметь 192 тысячи рабочих мест.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Градостроительное развитие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Архитектурно-планировочная организация территории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архитектурно-планировочная организация территории города выполнена с учетом сложившейся функционально-планировочной структуры и разработана на основе комплексной оценки территории, сложившегося транспортно-планировочного каркаса. Проектные решения сохраняют основные принципы предыдущего генерального плана.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в проектных границах составит 43 733 га, в том числе застроенные территории – 13 927 га, незастроенные территории – 29 806 га.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основное развитие города на левом берегу реки Иртыш в южном и западном направлениях, а также в правобережной части в северном направлении;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 концу расчетного периода комплексного городского организма, имеющего единую планировочную структуру, тесно взаимоувязанную правобережную и левобережную части;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использование и учет сложившейся планировочной структуры города с сохранением ценного капитального жилищного фонда, общественных зданий, объектов культурно-бытового назначения и зеленых насаждений;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формирование и совершенствование транспортной и инженерной инфраструктуры города;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единой, взаимоувязанной системы зеленых насаждений общего пользования с санитарно-защитными, водоохранными и ветрозащитными полосами зеленых насаждений, способствующей улучшению экологической обстановки;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санитарно-защитного озеленения между жилыми зонами и промышленно-производственными предприятиями.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планировочном отношении принята радиально-кольцевая структура организации территории города. Генеральным планом предполагается создание трех колец магистральных улиц и дорог в пределах перспективной границы города, которые свяжут левобережную и правобережную части и будут иметь выходы на внешние автодороги. Это позволит разгрузить сложившуюся центральную часть города от транзитного автотранспорта и упорядочить транспортное движение. Исторический центр города в перспективе сохранит свое значение.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 Иртыш, Ульба и их притоки формируют природно-экологический каркас города, в состав которого входят пойменные леса, лесопарки. Основные парковые территории также получают развитие в этой зоне. В архитектурно-планировочном районировании они формируют единую ландшафтно-рекреационную зону города, не прерываемую застройкой.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промышленных и коммунальных зон рассматривается в сложившихся границах и в дальнейшем связано с интенсификацией их территорий, применением новых технологий. Создание и озеленение санитарно-защитных зон в границах зон санитарной вредности рассматриваются как одно из важнейших мероприятий.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промышленно-индустриальных районов традиционного направления с их санитарно-защитными зонами формируется вдоль селитебной территории города, подчиняясь структуре железнодорожных въездов.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предусмотрены поэтапное территориальное развитие города, максимальное использование свободных территорий, реконструкция существующей застройки со сносом ветхого жилья.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территориального развития города предлагается населенные пункты Прапорщиково, Меновное, Ново-Явленка, Герасимовка, Опытное поле, Солнечный, Ново-Ахмирово, Ахмирово и Самсоновка поэтапно включить в проектную границу города.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определены зоны преимущественного отчуждения и приобретения земель. Площадь города в проектных границах к концу расчетного срока увеличится на 23 034 га, из них земли Глубоковского района – 9320 га, Уланского района – 4080 га, земли Усть-Каменогорской городской администрации – 9634 га.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предусматривается, что территории перспективного развития не могут менять свое функциональное назначения до их отчуждения из земель прилегающих административных районов и включения в городскую черту.</w:t>
      </w:r>
    </w:p>
    <w:bookmarkEnd w:id="148"/>
    <w:bookmarkStart w:name="z1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Градостроительное зонирование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Земельному кодексу Республики Казахстан и Закону Генеральным планом проведено градостроительное зонирование территории с выделением функциональных зон с градостроительными регламентами по видам и параметрам разрешенного использования территории и недвижимости. Целями такого зонирования являются обеспечение градостроительными средствами благоприятных условий проживания населения, в том числе ограничение вредного воздействия хозяйственной и иной деятельности на окружающую природную среду, ее рациональное использование в интересах настоящего и будущего поколений.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планировочных ограничений, современного использования территорий и перспективной архитектурно-планировочной организации территории определены функциональное назначение и интенсивность использования каждой планировочной территориальной единицы.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выделены следующие функциональные зоны: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жилая зона;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общественная (общественно-деловая) зона;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рекреационная зона;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инженерной и транспортной инфраструктуры;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промышленная (производственная) зона;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зоны специального назначения;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режимных территорий;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санитарно-защитная зона;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резервные территории (градостроительные ресурсы).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функциональной зоны определены регламенты по их использованию (преобладающее функциональное назначение и ограничения).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Комплексная транспортная схема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Транспорт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 города включает традиционные виды транспорта, обеспечивающие внешние, пригородные, внутригородские пассажирские и грузовые перевозки.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и пассажирские перевозки в городе осуществляются железнодорожным, автомобильным и воздушным транспортом, которые в перспективе получат дальнейшее развитие.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Намечается дальнейшее развитие внешнего транспорта в период до 2035 года.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основные направления комплексной транспортной схемы, которая включает модернизацию схемы улично-дорожной сети, строительство новых магистралей, улиц и автодорог, совершенствование комплексной схемы организации дорожного движения.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Улично-дорожная сеть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существующих улиц и дорог в настоящее время составляет 852,85 км. Главными транспортными магистралями, обеспечивающими удобные транспортные связи города и пассажирские передвижения, на сегодняшний день являются существующие магистрали общегородского значения (пр. Назарбаева, Шакарима, Сатпаева, ул. Казахстан и др.).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схема улично-дорожной сети представлена системой магистральных улиц и городских дорог (МУГД) и является основой транспортной инфраструктуры, которая предусматривает: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внешней полукольцевой автодороги с северо-восточной, северной, западной и юго-западной стороны городской территории для пропуска транзитных по отношению к городу транспортных потоков в обход города;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средней полукольцевой дороги, проходящей в теле застройки города и связывающей практически все периферийные зоны правобережной и левобережной частей по кратчайшим направлениям;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внутреннего кольца вокруг центральной исторической зоны для пропуска транспортных потоков в обход существующего городского ядра транзитных по отношению к нему;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магистральных улиц непрерывного движения с выходом на автодороги в направления села Самарское, городов Алматы, Семей, Барнаул, Риддер, исходящих радиально из среднего полукольца.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новой улично-дорожной сети в городе увеличится за счет строительства новых улиц и дорог в районах перспективной застройки и составит 158,15 км.</w:t>
      </w:r>
    </w:p>
    <w:bookmarkEnd w:id="176"/>
    <w:bookmarkStart w:name="z1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Транспортные пересечения в разных уровнях и городские мосты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предусмотрены: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пересечения в двух уровнях на всех пересечениях внешнего и среднего полукольца с магистральными улицами общегородского значения;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автодорожные путепроводы на пересечениях магистральных дорог с железной дорогой;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городские мосты в местах прохождения магистральных дорог и главных магистралей общегородского значения через р. Ульба и р. Иртыш и их протоков;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пересечениях общегородских магистралей регулируемого движения с магистралями районного значения и пересечениях районных магистралей предусмотрено светофорное регулирование движения транспорта и пешеходов.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автомобильных мостов через реки к концу расчетного срока составит 11 ед., в том числе 7 существующих. Генеральным планом намечается строительство 27 путепроводов, кроме 3-х существующих.</w:t>
      </w:r>
    </w:p>
    <w:bookmarkEnd w:id="183"/>
    <w:bookmarkStart w:name="z18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Комплексная организация дорожного движения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внутригородские пассажирские перевозки осуществляются автобусом, трамваем и легковым транспортом. Автотранспортные перевозки осуществляются частными перевозчиками на 53 автобусных маршрутах и 14 маршрутах микроавтобусами. Общая протяжҰнность маршрутов составляет более 1 000 км.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автобусных маршрутов в городе функционирует 4 трамвайных маршрута. Протяженность трамвайных линий составляет 14,6 км. Намечается увеличить протяженность в западном и восточном направлениях до 29,7 км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намечается в перспективе приоритетное развитие общественного транспорта, включая формирование скоростных видов общественного транспорта, за счет: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выделенных полос на проезжей части улицы Казахстан, проспектов Сатпаева, Назарбаева;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трамвайных путей с обновлением парка трамваев;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развития автобусного движения в районах новой застройки. </w:t>
      </w:r>
    </w:p>
    <w:bookmarkEnd w:id="190"/>
    <w:bookmarkStart w:name="z1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Инженерная инфраструктура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Водоснабжение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и получает дальнейшее развитие принципиальная система централизованного хозяйственно-питьевого, производственно-противопожарного водопровода, обслуживающая население и предприятия города, а также технического водопровода для ряда промышленных предприятий: титано-магниевого комбината, Согринской и Усть-Каменогорской теплоэнергоцентралей, Ульбинского металлургического завода, свинцово-цинкового комбината, "Востокмашзавода" и конденсаторного завода.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водоснабжения города на перспективу являются подземные скважины Усть-Каменогорского и Ново-Усть-Каменогорского месторождения подземных вод, расположенных в долине рек Иртыш и Ульба.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Водопотребление по городу составит на первую очередь строительства 325,325 тыс. м3/сут., на расчетный срок – 340,329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Генеральным планом предусматривается на расчетный срок реконструкция существующих водозаборных и очистных сооружений водопровода с доведением их мощности на проектные объемы водопотребления (без учета оборотной воды).</w:t>
      </w:r>
    </w:p>
    <w:bookmarkEnd w:id="195"/>
    <w:bookmarkStart w:name="z20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Водоотведение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сохраняется существующая неполная раздельная схема канализации, при которой сточные воды от населения и предприятий по единой системе отводятся на очистные сооружения. При этом производственные сточные воды, подлежащие совместному отведению и очистке с бытовыми сточными водами, должны удовлетворять требованиям приема их в хозяйственно-бытовую канализацию.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намечаются дальнейшее расширение и строительство новых канализационных сетей правого и левого берегов в соответствии с архитектурно-планировочной структурой развития города на расчетный период.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стоков города на первую очередь строительства составит 133,425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/сут., и на расчетный период – 149,958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Для бесперебойной работы и повышения надежности системы водоотведения Генеральным планом предусматривается реконструкция существующего канализационного очистного сооружения с доведением до проектной мощности.</w:t>
      </w:r>
    </w:p>
    <w:bookmarkEnd w:id="199"/>
    <w:bookmarkStart w:name="z20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Теплоснабжение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теплоснабжения города представлена двумя основными направлениями: централизованное теплоснабжение и децентрализованное теплоснабжение.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тепловых нагрузок города на расчетный срок Генеральным планом предусматривается: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строительство новой теплоэнергоцентрали-2 в левобережной части города на площадке, удаленной от жилой застройки;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передачу тепла от Усть-Каменогорской теплоэнергоцентрали в зону центрального теплоснабжения котельной № 2; 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работы котельную № 2, расположенную в центре селитебной территории левобережной части. 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теплоэнергоцентрали-2 с современным высокотехнологичным оборудованием позволит ликвидировать дефицит тепловой мощности, обеспечить надежное теплоснабжение потребителей в зоне центрального теплоснабжения Усть-Каменогорских тепловых сетей и дополнительную выработку электроэнергии по наиболее эффективному комбинированному циклу для обеспечения электроэнергией города и прилегающих районов.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города в теплоэнергии составит на первую очередь строительства 2090 МВт., а на расчетный срок 2493 МВт.</w:t>
      </w:r>
    </w:p>
    <w:bookmarkEnd w:id="207"/>
    <w:bookmarkStart w:name="z21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Электроснабжение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потребителей города осуществляется от собственных источников электрической и тепловой энергии.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перспективных электрических нагрузок города планируется обеспечить за счет расширения существующих теплоэнергоцентралей и строительства левобережной теплоэнергоцентрали. Предусматривается реконструкция существующих сетей 35 кВ до постепенного перевода нагрузок на центры питания 110 кВ с демонтажем подстанции и воздушной линии 35 кВ.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электроснабжения потребителей рекомендуется сооружение кольца 110 кВ вокруг города.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Суммарные электрические нагрузки потребителей города на первую очередь строительства составят 481 тыс. кВт.час/год, а на расчетный срок – 570 тыс. кВт.час/год.</w:t>
      </w:r>
    </w:p>
    <w:bookmarkEnd w:id="212"/>
    <w:bookmarkStart w:name="z21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Газоснабжение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газоснабжение города производится за счет использования сжиженного углеводородного газа.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на первую очередь строительства, так и на расчетный срок сохраняется существующая система обеспечения потребителей сжиженным газом с доведением объемов потребляемого газа до нормативного уровня. 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потребность сжиженного газа на первую очередь строительства составит 41,14 млн м3/год, а на расчетный срок – 47,3 млн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bookmarkEnd w:id="216"/>
    <w:bookmarkStart w:name="z22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Инженерная подготовка и инженерная защита территорий города</w:t>
      </w:r>
    </w:p>
    <w:bookmarkEnd w:id="217"/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Инженерная подготовка территории города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подготовка территории города включает в себя следующие мероприятия: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вертикальная планировка территории;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поверхностного стока и понижение уровня грунтовых вод;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инженерная защита береговой полосы;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территории от подтопления грунтовыми водами.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всей территории города отвод ливневых вод предусматривается самотеком, за исключением участков застройки, на которых слабо выражены уклоны или вовсе с их отсутствием. В этих местах предусматриваются насосные станции перекачки, которые одновременно могут принимать и сток дренажных вод. С территорий промышленных предприятий, гаражей-манежей, транспортных сооружений, учреждений коммунального хозяйства, расположенных на селитебной территории, загрязненные стоки перед сбросом в ливневую канализацию должны предварительно очищаться на локальных очистных сооружениях.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поверхностных вод с территории одноэтажной застройки осуществляется по прибордюрным лоткам и кюветам.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предлагаются берегоукрепительные мероприятия вдоль рек Иртыш и Ульба, а также рекомендуется облицевать левый берег реки Иртыш на протяжении 4,6 км. 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автодороги вдоль рек Иртыш и Ульба являются одним из элементов берегоукрепительных работ.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населения города от затопления на расчетный срок Генеральным планом предлагается строительство дублирующей плотины решетчатого типа в районе существующей гидроэлектростанции с последующим сбросом воды на реку Аблакетка.</w:t>
      </w:r>
    </w:p>
    <w:bookmarkEnd w:id="229"/>
    <w:bookmarkStart w:name="z23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Санитарная очистка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с 1957 года эксплуатируется полигон по захоронению твердо-бытовых отходов, расположенный в районе Шмелев Лог. Общая площадь полигона составляет 22,5 га. Существующий полигон твердых бытовых отходов практически исчерпал свой ресурс, оказывает негативное влияние на окружающую среду и подлежит закрытию и рекультивации. 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строительство полигона твердых бытовых отходов и мусороперерабатывающего завода. Размещение нового полигона твердых бытовых отходов предлагается в районе юго-западнее поселка К.Кайсенова и северо-восточнее села Алмасай площадью 30 га в юго-восточной части города.</w:t>
      </w:r>
    </w:p>
    <w:bookmarkEnd w:id="232"/>
    <w:bookmarkStart w:name="z23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Пожарная безопасность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города имеется 9 пожарных частей на 45 пожарных автомобилей.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нормативными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утвержденного приказом Министра внутренних дел Республики Казахстан от 23 июня 2017 года № 439, к расчетному сроку городу необходимо еще 35 пожарных автомобилей и построить дополнительно 12 пожарных депо.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пожарные депо размещаются с радиусом обслуживания 3 километра.</w:t>
      </w:r>
    </w:p>
    <w:bookmarkEnd w:id="236"/>
    <w:bookmarkStart w:name="z2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Оценка воздействия на окружающую среду (ОВОС)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оценки воздействия на окружающую среду были сделаны выводы и предложения по намечаемой деятельности и развитию территории по Генеральному плану.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интенсивной урбанизации происходит непрерывный процесс преобразования природных комплексов, что отражается на изменении природных ландшафтов, почвенного покрова, растительного и животного мира, поверхностных, подземных и грунтовых вод. Изменение указанных элементов природы сверхдопустимых пределов приводит к их деградации и созданию неблагоприятных условий для жизни населения.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нормальных социальных и санитарно-гигиенических условий жизнедеятельности населения производственное и социально-экономическое развитие города должно быть связано с осуществлением мероприятий по защите и оздоровлению окружающей среды.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предложенных мероприятий по каждому компоненту окружающей среды возможны предотвращение ухудшения экологической обстановки в городе, улучшение условий проживания населения, оздоровление окружающей среды и человека в соответствии с нормативными требованиями.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в целях снижения техногенного воздействия и повышения качества окружающей среды рассматриваемой территории приняты следующие планировочные решения: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архитектурно-планировочной организации территории на основе четкого функционального зонирования с выделением промышленных и селитебных зон;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радиально-кольцевой структуры города, состоящей из трех колец, в пределах его перспективной границы;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разгрузка центрального ядра города от автотранспорта путем создания малого транспортного кольца; 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новой промышленной зоны в районе поселка К.Кайсенова (строительство левобережной теплоэнергоцентрали);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санитарно-защитных зон между промышленными и селитебными территориями;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рекреационной системы, включающей сады, парки, места отдыха и туризма, а также сооружения досугового и оздоровительного назначения;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благоустройство водоохранных зон и прибрежных полос рек Иртыш, Ульба и их притоков согласно разработанным проектам по их установлению.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Эффективному улучшению экологической ситуации в городе будут способствовать технические и технологические мероприятия, включающие: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модернизацию действующих и строительство новых промышленных предприятий с внедрением новейших технологий и оборудования;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объектов промышленности, энергетики и городского хозяйства современным газоочистным, пылеулавливающим и водоочистным оборудованием;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расширение централизованных систем водоснабжения и водоотведения;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на промпредприятиях оборотного водоснабжения;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реконструкция и расширение централизованной системы теплоснабжения;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складирование бытовых отходов на усовершенствованном полигоне твердо-бытовых отходов, переработка твердых бытовых отходов на мусороперерабатывающем комплексе, утилизация и использование вторичных ресурсов в производстве;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территорий (золоотвалов, хвостохранилищ, свалок и др.).</w:t>
      </w:r>
    </w:p>
    <w:bookmarkEnd w:id="257"/>
    <w:bookmarkStart w:name="z26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Отраслевая структура и динамика инвестиций на развитие города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нижепредставленной таблице в разрезе отраслей отражен объем инвестиций в строительство на территории города до 2035 года.</w:t>
      </w:r>
    </w:p>
    <w:bookmarkEnd w:id="259"/>
    <w:bookmarkStart w:name="z26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структура инвестиций в строительство до 2035 года</w:t>
      </w:r>
      <w:r>
        <w:br/>
      </w:r>
      <w:r>
        <w:rPr>
          <w:rFonts w:ascii="Times New Roman"/>
          <w:b/>
          <w:i w:val="false"/>
          <w:color w:val="000000"/>
        </w:rPr>
        <w:t>(в ценах на 1 января 2021 года)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проектный период, 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итогу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инвестиций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Культурно-бытовое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–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инфраструктура – 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Телекоммуникации и связь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системы зеленых насаждений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неучтенные затраты (10% ко всем инвестициям)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по инвестициям носят ориентировочный и рекомендательный характер и рассчитаны по аналогам и укрупненным показателям.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строительства объектов образования, здравоохранения, культуры и спорта, транспорта и коммуникаций потребует финансовых затрат. В дальнейшем при составлении конкретных программ развития города на проектные этапы количество и вместимость объектов строительства, источники финансирования будут уточняться при формировании бюджетов на соответствующие годы.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 на строительство новой теплоэнергоцентрали с современным высокотехнологичным оборудованием, полигона твердых бытовых отходов и мусороперерабатывающего завода, других объектов жилищно-коммунального хозяйства предусматриваются за счет внебюджетных средств, займов финансовых институтов, собственных средств субъектов естественных монополий и других источников согласно программе "Нұрлы жер".</w:t>
      </w:r>
    </w:p>
    <w:bookmarkEnd w:id="264"/>
    <w:bookmarkStart w:name="z27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Генерального плана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 черты,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усадебной застройки с земельным участком при доме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малоэтажными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и огороды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инженерных коммуникаций, из них: внешнего транспорта (железнодорожного, автомобильного, речного, воздушного)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санитарно-ветрозащитные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территории (крутой рельеф)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золоотвалы, отстойники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8049,6/100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10281,9/100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13116/100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6452/80,1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8010,9/77,9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9446,3/72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1597,6/19,9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2271/22,1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3669,7/28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70%,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усадебной (коттеджного типа) с земельным участком при доме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2257,2/100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2864,1/100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673,3/29,8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1453,7/50,8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усадебной (коттеджного типа) с земельным участком при доме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673,3/29,8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1453,7/50,8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1214,1/53,8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900,6/31,4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369,8/16,4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509,8/17,8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2070/5,5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3870/9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посещен.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4952/14,85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6412/16,9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11171/26,0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163300/490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164870/434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172370/400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11574/34,7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12900/34,0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17200/40,0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2100/6,3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4870/9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улиц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новых магистральных улиц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 в пределах городской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государственной комиссии по запасам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 правобережная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в районе Согра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 –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обслуживание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и 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Ориентировочный объем инвестиций по I этапу реализации проектных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Генеральному плану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(включая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положения)</w:t>
            </w:r>
          </w:p>
        </w:tc>
      </w:tr>
    </w:tbl>
    <w:bookmarkStart w:name="z27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(основной чертеж)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71882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