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c27e" w14:textId="c05c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сентября 2013 года № 971 "Об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строительству, реконструкции, а также капитальному и среднему ремонту автомобильных дорог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2021 года № 761. Утратило силу постановлением Правительства Республики Казахстан от 15 декабря 2023 года № 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15.12.2023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2013 года № 971 "Об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строительству, реконструкции, а также капитальному и среднему ремонту автомобильных дорог областного и районного значения"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строительству, реконструкции, а также капитальному и среднему ремонту автомобильных дорог областного и районного значения,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Приоритетность проектов по строительству, реконструкции, а также капитальному и среднему ремонту автомобильных дорог областного и районного значения определяется в соответствии со следующими критериями по нисходящим уровням: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планировании проектов строительства и реконструкции: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определенные в поручениях Президента Республики Казахстан в рамках ежегодных устных или письменных посланий народу Казахстана о положении в стране и основных направлениях внутренней и внешней политики Республики, в стратегических и программных документах, утвержденных решениями Президента Республики Казахстан или Правительства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определенные в международных договорах, участниками которых является Республика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дороги, обеспечивающие сообщение районных центров с областными центрами Республики Казахстан, районных центров между собой и с объектами туристской деятельности, находящимися вне населенных пунктов, при условии несоответствия технической категории фактической интенсивности движения;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с прилегающими населенными пунктами, общей численностью населения не менее 15000 человек;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с наличием вдоль не менее двух производственных (промышленных, сельскохозяйственных) или хлебоприемных предприятий с рабочим персоналом более 100 человек;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планировании проектов капитального ремонта: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дороги, обеспечивающие сообщение районных центров с областными центрами Республики Казахстан, районных центров между собой и с объектами туристской деятельности, находящимися вне населенных пунктов;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с прилегающими населенными пунктами, общей численностью населения не менее 10000 человек;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с наличием вдоль производственных (промышленных, сельскохозяйственных) или хлебоприемных предприятий с рабочим персоналом более 50 человек;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дороги, превышающие межремонтные сроки службы дороги более 15 лет;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планировании проектов среднего ремонта: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дороги, обеспечивающие сообщение районных центров с областными центрами Республики Казахстан, районных центров между собой и с объектами туристской деятельности, находящимися вне населенных пунктов;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с прилегающими населенными пунктами, общей численностью населения не менее 5000 человек;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дороги, превышающие межремонтные сроки службы покрытия более 5 лет.".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