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a1df" w14:textId="0df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2021 года № 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Неиспользуемое имущество на основании решения уполномоченного органа передается организациям ОПК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для использования в производственной деятельности и/или производстве товаров (продукции) военного и двойного назначения, ремонта и/или модернизации с целью последующего экспорта, а также экспорта без ремонта и/или модернизации для реализации проектов, согласованных в установленном порядке с уполномоченными государственными органами в области экспортного контроля, государственного имущества и национальной экономики.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имущества для последующего экспорта осуществляется на закрытых торгах среди юридических лиц, входящих в перечень участников закрытых торгов, сформированный уполномоченной организацией.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балансодержателя передает инвестиции в уполномоченный орган.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ОПК после получения от уполномоченного органа проекта перечня неиспользуемого имущества проводят работу по отбору неиспользуемого имущества и подают в уполномоченный орган заявку о потребности в неиспользуемом имуществе с указанием наименования и количества.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передаче в качестве имущественного вклада в уставный капитал товарищества с ограниченной ответственностью либо в оплату акций акционерного общества с участием государства списанное неиспользуемое имущество.".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