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8be3" w14:textId="2908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1 года № 6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и центрального аппарата" дополнить подпунктами 93-1), 169-1), 169-2), 169-3), 169-4), 169-5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) разработка и утверждение правил передачи государственного имущества в имущественный наем (аренду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-1) утверждение реестра субъектов социального предприниматель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2) ведение реестра субъектов социального предприниматель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3) разработка правил ведения реестра субъектов социального предприниматель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4) разработка правил формирования специальной комиссии и положения о н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-5) разработка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