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a133" w14:textId="3d0a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2021 года № 543.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Акционерное общество "Национальный управляющий холдинг "Байтерек", сто процентов акций которого находятся в республиканской собственности, направляет на выплату дивидендов на государственный пакет акций 14,2 (четырнадцать целых и две десятых) процента от чистого дохода, отраженного в консолидированной годовой финансовой отчетности по итогам 2020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