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7d43" w14:textId="dc97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2021 года № 275. Утратило силу постановлением Правительства Республики Казахстан от 1 сентября 2023 года № 758.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дорожного движения,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Общие обязанности водителей":</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w:t>
      </w:r>
    </w:p>
    <w:bookmarkEnd w:id="4"/>
    <w:bookmarkStart w:name="z9" w:id="5"/>
    <w:p>
      <w:pPr>
        <w:spacing w:after="0"/>
        <w:ind w:left="0"/>
        <w:jc w:val="both"/>
      </w:pPr>
      <w:r>
        <w:rPr>
          <w:rFonts w:ascii="Times New Roman"/>
          <w:b w:val="false"/>
          <w:i w:val="false"/>
          <w:color w:val="000000"/>
          <w:sz w:val="28"/>
        </w:rPr>
        <w:t xml:space="preserve">
      абзацы второй и третий изложить в следующей редакции: </w:t>
      </w:r>
    </w:p>
    <w:bookmarkEnd w:id="5"/>
    <w:bookmarkStart w:name="z10" w:id="6"/>
    <w:p>
      <w:pPr>
        <w:spacing w:after="0"/>
        <w:ind w:left="0"/>
        <w:jc w:val="both"/>
      </w:pPr>
      <w:r>
        <w:rPr>
          <w:rFonts w:ascii="Times New Roman"/>
          <w:b w:val="false"/>
          <w:i w:val="false"/>
          <w:color w:val="000000"/>
          <w:sz w:val="28"/>
        </w:rPr>
        <w:t xml:space="preserve">
      "водительское удостоверение на право управления транспортным средством либо временное удостоверение, выданное взамен водительского удостоверения, за исключением выданных в Республике Казахстан, при наличии документа, удостоверяющего личность водителя; </w:t>
      </w:r>
    </w:p>
    <w:bookmarkEnd w:id="6"/>
    <w:bookmarkStart w:name="z11" w:id="7"/>
    <w:p>
      <w:pPr>
        <w:spacing w:after="0"/>
        <w:ind w:left="0"/>
        <w:jc w:val="both"/>
      </w:pPr>
      <w:r>
        <w:rPr>
          <w:rFonts w:ascii="Times New Roman"/>
          <w:b w:val="false"/>
          <w:i w:val="false"/>
          <w:color w:val="000000"/>
          <w:sz w:val="28"/>
        </w:rPr>
        <w:t xml:space="preserve">
      свидетельство о государственной регистрации транспортного средства, за исключением выданного в Республике Казахстан, либо документ, свидетельствующий о праве собственности на транспортное средство;"; </w:t>
      </w:r>
    </w:p>
    <w:bookmarkEnd w:id="7"/>
    <w:bookmarkStart w:name="z12" w:id="8"/>
    <w:p>
      <w:pPr>
        <w:spacing w:after="0"/>
        <w:ind w:left="0"/>
        <w:jc w:val="both"/>
      </w:pPr>
      <w:r>
        <w:rPr>
          <w:rFonts w:ascii="Times New Roman"/>
          <w:b w:val="false"/>
          <w:i w:val="false"/>
          <w:color w:val="000000"/>
          <w:sz w:val="28"/>
        </w:rPr>
        <w:t xml:space="preserve">
      в пункте 4: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xml:space="preserve">
      "1) управлять транспортным средством без водительского удостоверения на право управления транспортным средством либо временного удостоверения, выданного взамен водительского удостоверения, за исключением выданных в Республике Казахстан, в случае наличия при себе документа, удостоверяющего личность водителя;";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"7) передавать управление транспортным средством лицам, находящимся в состоянии опьянения, под воздействием лекарственных препаратов, ухудшающих реакцию и внимание, в болезненном или утомленном состоянии, а также лицам, кроме обучаемых вождению, не имеющим при себе водительского удостоверения либо временного удостоверения, выданного взамен водительского удостоверения, на право управления транспортным средством данной категории, за исключением выданных в Республике Казахстан, в случае наличия при себе документа, удостоверяющего личность водителя, или не указанного в путевом (маршрутном) листе, либо лицам, не имеющим права управления или лишенным права управления транспортным средством;";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раздела "6. Применение специальных сигналов" изложить в следующей редакции:</w:t>
      </w:r>
    </w:p>
    <w:bookmarkStart w:name="z18" w:id="11"/>
    <w:p>
      <w:pPr>
        <w:spacing w:after="0"/>
        <w:ind w:left="0"/>
        <w:jc w:val="both"/>
      </w:pPr>
      <w:r>
        <w:rPr>
          <w:rFonts w:ascii="Times New Roman"/>
          <w:b w:val="false"/>
          <w:i w:val="false"/>
          <w:color w:val="000000"/>
          <w:sz w:val="28"/>
        </w:rPr>
        <w:t xml:space="preserve">
      "4. Водители транспортных средств с включенным проблесковым маячком оранжевого или желтого цвета при выполнении строительных, ремонтных или уборочных работ, мобильных групп оперативного реагирования частных охранных организаций, передвижных контрольно-пропускных пунктов органов транспортного контроля на дороге, специализированных транспортных средств служб инкассации, сопровождающих организованные группы велосипедистов, осуществляющих деятельность по пресечению правонарушений в области охраны растительного и животного мира, могут отступать от требований дорожных знаков (кроме знаков 2.2, 2.4 – 2.6, 3.11 – 3.14, 3.17.2, 3.20) и разметки, а также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раздела 9 и </w:t>
      </w:r>
      <w:r>
        <w:rPr>
          <w:rFonts w:ascii="Times New Roman"/>
          <w:b w:val="false"/>
          <w:i w:val="false"/>
          <w:color w:val="000000"/>
          <w:sz w:val="28"/>
        </w:rPr>
        <w:t>пункта 1</w:t>
      </w:r>
      <w:r>
        <w:rPr>
          <w:rFonts w:ascii="Times New Roman"/>
          <w:b w:val="false"/>
          <w:i w:val="false"/>
          <w:color w:val="000000"/>
          <w:sz w:val="28"/>
        </w:rPr>
        <w:t xml:space="preserve"> раздела 16 Правил при условии обеспечения безопасности движения. Водители других транспортных средств не препятствуют их работе.";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раздела "19. Пользование внешними световыми приборами и звуковыми сигналами" изложить в следующей редакции:</w:t>
      </w:r>
    </w:p>
    <w:bookmarkStart w:name="z20" w:id="12"/>
    <w:p>
      <w:pPr>
        <w:spacing w:after="0"/>
        <w:ind w:left="0"/>
        <w:jc w:val="both"/>
      </w:pPr>
      <w:r>
        <w:rPr>
          <w:rFonts w:ascii="Times New Roman"/>
          <w:b w:val="false"/>
          <w:i w:val="false"/>
          <w:color w:val="000000"/>
          <w:sz w:val="28"/>
        </w:rPr>
        <w:t>
      "11. Проблесковый маячок оранжевого или желтого цвета включается на транспортных средствах при выполнении работ по строительству, ремонту или содержанию дорог, погрузке и транспортировке поврежденных, неисправных и иных транспортных средств; транспортных средствах при осуществлении перевозок тяжеловесных, крупногабаритных грузов; транспортных средствах, сопровождающих перевозку тяжеловесных, крупногабаритных и опасных грузов; автобусах, предназначенных для перевозки организованных групп детей; транспортных средствах мобильных групп оперативного реагирования частных охранных организаций при выезде на несанкционированные проникновения на охраняемые объекты; транспортных средствах передвижных контрольно-пропускных пунктов органов транспортного контроля при несении службы на дорогах; специализированных транспортных средствах служб инкассации при выезде на маршрут для инкассации ценностей; транспортных средствах, сопровождающих организованные группы велосипедистов; транспортных средствах, осуществляющих деятельность по пресечению правонарушений в области охраны растительного и животного мира.";</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утвержденном указанным постановлением:</w:t>
      </w:r>
    </w:p>
    <w:bookmarkEnd w:id="13"/>
    <w:bookmarkStart w:name="z22" w:id="14"/>
    <w:p>
      <w:pPr>
        <w:spacing w:after="0"/>
        <w:ind w:left="0"/>
        <w:jc w:val="both"/>
      </w:pPr>
      <w:r>
        <w:rPr>
          <w:rFonts w:ascii="Times New Roman"/>
          <w:b w:val="false"/>
          <w:i w:val="false"/>
          <w:color w:val="000000"/>
          <w:sz w:val="28"/>
        </w:rPr>
        <w:t xml:space="preserve">
      дополнить пунктом 16 следующего содержания: </w:t>
      </w:r>
    </w:p>
    <w:bookmarkEnd w:id="14"/>
    <w:bookmarkStart w:name="z23" w:id="15"/>
    <w:p>
      <w:pPr>
        <w:spacing w:after="0"/>
        <w:ind w:left="0"/>
        <w:jc w:val="both"/>
      </w:pPr>
      <w:r>
        <w:rPr>
          <w:rFonts w:ascii="Times New Roman"/>
          <w:b w:val="false"/>
          <w:i w:val="false"/>
          <w:color w:val="000000"/>
          <w:sz w:val="28"/>
        </w:rPr>
        <w:t>
      "16. Транспортные средства подразделений Комитета лесного хозяйства и животного мира Министерства экологии, геологии и природных ресурсов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примечания изложить в следующей редакции:</w:t>
      </w:r>
    </w:p>
    <w:bookmarkStart w:name="z25" w:id="16"/>
    <w:p>
      <w:pPr>
        <w:spacing w:after="0"/>
        <w:ind w:left="0"/>
        <w:jc w:val="both"/>
      </w:pPr>
      <w:r>
        <w:rPr>
          <w:rFonts w:ascii="Times New Roman"/>
          <w:b w:val="false"/>
          <w:i w:val="false"/>
          <w:color w:val="000000"/>
          <w:sz w:val="28"/>
        </w:rPr>
        <w:t>
      "2. Транспортные средства Службы государственной охраны, оперативных служб органов национальной безопасности, органов внутренних дел, службы экономических расследований, антикоррупционной службы, департамента специальных прокуроров Генеральной прокуратуры Республики Казахстан, Государственной фельдъегерской службы Республики Казахстан, подразделений Комитета лесного хозяйства и животного мира Министерства экологии, геологии и природных ресурсов Республики Казахстан могут не иметь специальной цветографической окраски, опознавательных знаков и надписей.".</w:t>
      </w:r>
    </w:p>
    <w:bookmarkEnd w:id="16"/>
    <w:bookmarkStart w:name="z26" w:id="1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