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22cf" w14:textId="8492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17 марта 2021 года № 140.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(САПП Республики Казахстан, 2012 г., № 29, ст. 388)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абзац тринадцатый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 МФЦА.";</w:t>
      </w:r>
    </w:p>
    <w:bookmarkEnd w:id="4"/>
    <w:bookmarkStart w:name="z9" w:id="5"/>
    <w:p>
      <w:pPr>
        <w:spacing w:after="0"/>
        <w:ind w:left="0"/>
        <w:jc w:val="both"/>
      </w:pPr>
      <w:r>
        <w:rPr>
          <w:rFonts w:ascii="Times New Roman"/>
          <w:b w:val="false"/>
          <w:i w:val="false"/>
          <w:color w:val="000000"/>
          <w:sz w:val="28"/>
        </w:rPr>
        <w:t>
      дополнить пунктом 19-1 следующего содержания:</w:t>
      </w:r>
    </w:p>
    <w:bookmarkEnd w:id="5"/>
    <w:bookmarkStart w:name="z10" w:id="6"/>
    <w:p>
      <w:pPr>
        <w:spacing w:after="0"/>
        <w:ind w:left="0"/>
        <w:jc w:val="both"/>
      </w:pPr>
      <w:r>
        <w:rPr>
          <w:rFonts w:ascii="Times New Roman"/>
          <w:b w:val="false"/>
          <w:i w:val="false"/>
          <w:color w:val="000000"/>
          <w:sz w:val="28"/>
        </w:rPr>
        <w:t xml:space="preserve">
      "19-1. Органы внутренних дел Республики Казахстан при наличии ходатайства администрации МФЦА, подтверждающего статус инвестиционного резидента МФЦА граждан государств,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осуществляют выдачу виз категории "инвесторская" сроком до пяти лет, а также продление сроков их действия.";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"29. При вынесении судом решения о выдворении иностранцев и лиц без гражданства допускаются их задержание и содержание в специальных учреждениях органов внутренних дел на срок, необходимый для организации выдворения, но не более чем на тридцать суток.".</w:t>
      </w:r>
    </w:p>
    <w:bookmarkEnd w:id="7"/>
    <w:bookmarkStart w:name="z13" w:id="8"/>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