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77631" w14:textId="8e77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установления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 и перечня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w:t>
      </w:r>
    </w:p>
    <w:p>
      <w:pPr>
        <w:spacing w:after="0"/>
        <w:ind w:left="0"/>
        <w:jc w:val="both"/>
      </w:pPr>
      <w:r>
        <w:rPr>
          <w:rFonts w:ascii="Times New Roman"/>
          <w:b w:val="false"/>
          <w:i w:val="false"/>
          <w:color w:val="000000"/>
          <w:sz w:val="28"/>
        </w:rPr>
        <w:t>Постановление Правительства Республики Казахстан от 15 января 2021 года № 9.</w:t>
      </w:r>
    </w:p>
    <w:p>
      <w:pPr>
        <w:spacing w:after="0"/>
        <w:ind w:left="0"/>
        <w:jc w:val="both"/>
      </w:pPr>
      <w:bookmarkStart w:name="z4" w:id="0"/>
      <w:r>
        <w:rPr>
          <w:rFonts w:ascii="Times New Roman"/>
          <w:b w:val="false"/>
          <w:i w:val="false"/>
          <w:color w:val="000000"/>
          <w:sz w:val="28"/>
        </w:rPr>
        <w:t xml:space="preserve">
      В соответствии с подпунктом 24-1) части первой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обороне и Вооруженных Силах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27.04.2023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установления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2) перечень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 w:id="4"/>
    <w:p>
      <w:pPr>
        <w:spacing w:after="0"/>
        <w:ind w:left="0"/>
        <w:jc w:val="both"/>
      </w:pPr>
      <w:r>
        <w:rPr>
          <w:rFonts w:ascii="Times New Roman"/>
          <w:b w:val="false"/>
          <w:i w:val="false"/>
          <w:color w:val="000000"/>
          <w:sz w:val="28"/>
        </w:rPr>
        <w:t>
      2. Министерству обороны Республики Казахстан, Министерству внутренних дел Республики Казахстан, Комитету национальной безопасности Республики Казахстан (по согласованию), Службе государственной охраны Республики Казахстан (по согласованию), Министерству по чрезвычайным ситуациям Республики Казахстан, акимам областей, городов республиканского значения и столицы принять меры, вытекающие из настоящего постановления.</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2021 года № 9</w:t>
            </w:r>
          </w:p>
        </w:tc>
      </w:tr>
    </w:tbl>
    <w:bookmarkStart w:name="z12" w:id="6"/>
    <w:p>
      <w:pPr>
        <w:spacing w:after="0"/>
        <w:ind w:left="0"/>
        <w:jc w:val="left"/>
      </w:pPr>
      <w:r>
        <w:rPr>
          <w:rFonts w:ascii="Times New Roman"/>
          <w:b/>
          <w:i w:val="false"/>
          <w:color w:val="000000"/>
        </w:rPr>
        <w:t xml:space="preserve"> Правила установления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1. Настоящие Правила установления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 (далее – Правила) определяют порядок установления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27.04.2023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9"/>
    <w:bookmarkStart w:name="z16" w:id="10"/>
    <w:p>
      <w:pPr>
        <w:spacing w:after="0"/>
        <w:ind w:left="0"/>
        <w:jc w:val="both"/>
      </w:pPr>
      <w:r>
        <w:rPr>
          <w:rFonts w:ascii="Times New Roman"/>
          <w:b w:val="false"/>
          <w:i w:val="false"/>
          <w:color w:val="000000"/>
          <w:sz w:val="28"/>
        </w:rPr>
        <w:t>
      1) арсеналы, базы и склады боеприпасов Вооруженных Сил, других войск и воинских формирований (далее – объекты хранения) – объекты на которых содержатся боеприпасы к ракетно-артиллерийскому вооружению, бронетанковой технике, инженерные боеприпасы, а также авиационные средства поражения и ракеты противовоздушной обороны.</w:t>
      </w:r>
    </w:p>
    <w:bookmarkEnd w:id="10"/>
    <w:bookmarkStart w:name="z17" w:id="11"/>
    <w:p>
      <w:pPr>
        <w:spacing w:after="0"/>
        <w:ind w:left="0"/>
        <w:jc w:val="both"/>
      </w:pPr>
      <w:r>
        <w:rPr>
          <w:rFonts w:ascii="Times New Roman"/>
          <w:b w:val="false"/>
          <w:i w:val="false"/>
          <w:color w:val="000000"/>
          <w:sz w:val="28"/>
        </w:rPr>
        <w:t>
      Объекты хранения подразделяются на следующие виды:</w:t>
      </w:r>
    </w:p>
    <w:bookmarkEnd w:id="11"/>
    <w:bookmarkStart w:name="z18" w:id="12"/>
    <w:p>
      <w:pPr>
        <w:spacing w:after="0"/>
        <w:ind w:left="0"/>
        <w:jc w:val="both"/>
      </w:pPr>
      <w:r>
        <w:rPr>
          <w:rFonts w:ascii="Times New Roman"/>
          <w:b w:val="false"/>
          <w:i w:val="false"/>
          <w:color w:val="000000"/>
          <w:sz w:val="28"/>
        </w:rPr>
        <w:t>
      арсенал – объект хранения, на котором содержатся более 2500 условных вагонов боеприпасов;</w:t>
      </w:r>
    </w:p>
    <w:bookmarkEnd w:id="12"/>
    <w:bookmarkStart w:name="z19" w:id="13"/>
    <w:p>
      <w:pPr>
        <w:spacing w:after="0"/>
        <w:ind w:left="0"/>
        <w:jc w:val="both"/>
      </w:pPr>
      <w:r>
        <w:rPr>
          <w:rFonts w:ascii="Times New Roman"/>
          <w:b w:val="false"/>
          <w:i w:val="false"/>
          <w:color w:val="000000"/>
          <w:sz w:val="28"/>
        </w:rPr>
        <w:t>
      база – объект хранения, на котором содержатся от 500 до 2499 условных вагонов боеприпасов;</w:t>
      </w:r>
    </w:p>
    <w:bookmarkEnd w:id="13"/>
    <w:bookmarkStart w:name="z20" w:id="14"/>
    <w:p>
      <w:pPr>
        <w:spacing w:after="0"/>
        <w:ind w:left="0"/>
        <w:jc w:val="both"/>
      </w:pPr>
      <w:r>
        <w:rPr>
          <w:rFonts w:ascii="Times New Roman"/>
          <w:b w:val="false"/>
          <w:i w:val="false"/>
          <w:color w:val="000000"/>
          <w:sz w:val="28"/>
        </w:rPr>
        <w:t>
      склад – объект хранения, на котором содержатся от 20 до 499 условных вагонов боеприпасов.</w:t>
      </w:r>
    </w:p>
    <w:bookmarkEnd w:id="14"/>
    <w:bookmarkStart w:name="z21" w:id="15"/>
    <w:p>
      <w:pPr>
        <w:spacing w:after="0"/>
        <w:ind w:left="0"/>
        <w:jc w:val="both"/>
      </w:pPr>
      <w:r>
        <w:rPr>
          <w:rFonts w:ascii="Times New Roman"/>
          <w:b w:val="false"/>
          <w:i w:val="false"/>
          <w:color w:val="000000"/>
          <w:sz w:val="28"/>
        </w:rPr>
        <w:t>
      Действие настоящих Правил не распространяется на объекты хранения, на которых содержатся менее 20 условных вагонов патронов к стрелковому оружию, ручных гранат, боеприпасов к гранатометам и зенитному вооружению, а также калибром до 57 миллиметров;</w:t>
      </w:r>
    </w:p>
    <w:bookmarkEnd w:id="15"/>
    <w:bookmarkStart w:name="z22" w:id="16"/>
    <w:p>
      <w:pPr>
        <w:spacing w:after="0"/>
        <w:ind w:left="0"/>
        <w:jc w:val="both"/>
      </w:pPr>
      <w:r>
        <w:rPr>
          <w:rFonts w:ascii="Times New Roman"/>
          <w:b w:val="false"/>
          <w:i w:val="false"/>
          <w:color w:val="000000"/>
          <w:sz w:val="28"/>
        </w:rPr>
        <w:t>
      2) условный вагон – единица учета поставки и хранения боеприпасов, подразумевающая объем боеприпасов, равный 20 тоннам;</w:t>
      </w:r>
    </w:p>
    <w:bookmarkEnd w:id="16"/>
    <w:bookmarkStart w:name="z23" w:id="17"/>
    <w:p>
      <w:pPr>
        <w:spacing w:after="0"/>
        <w:ind w:left="0"/>
        <w:jc w:val="both"/>
      </w:pPr>
      <w:r>
        <w:rPr>
          <w:rFonts w:ascii="Times New Roman"/>
          <w:b w:val="false"/>
          <w:i w:val="false"/>
          <w:color w:val="000000"/>
          <w:sz w:val="28"/>
        </w:rPr>
        <w:t>
      3) место хранения – строительная конструкция (хранилище) или специально оборудованная открытая площадка, предназначенная для хранения боеприпасов;</w:t>
      </w:r>
    </w:p>
    <w:bookmarkEnd w:id="17"/>
    <w:bookmarkStart w:name="z24" w:id="18"/>
    <w:p>
      <w:pPr>
        <w:spacing w:after="0"/>
        <w:ind w:left="0"/>
        <w:jc w:val="both"/>
      </w:pPr>
      <w:r>
        <w:rPr>
          <w:rFonts w:ascii="Times New Roman"/>
          <w:b w:val="false"/>
          <w:i w:val="false"/>
          <w:color w:val="000000"/>
          <w:sz w:val="28"/>
        </w:rPr>
        <w:t>
      4) защитный экран – оградительный земляной вал, искусственная насыпь, оборонительное сооружение, которое устанавливается внутри технической территории со стороны внутреннего ограждения, где отсутствует обваловка, и предназначено для уменьшения поражающей способности взрывчатых веществ в случае их детонации, а также обеспечения перекрытия от прострела пулей со стороны охранного периметра;</w:t>
      </w:r>
    </w:p>
    <w:bookmarkEnd w:id="18"/>
    <w:bookmarkStart w:name="z25" w:id="19"/>
    <w:p>
      <w:pPr>
        <w:spacing w:after="0"/>
        <w:ind w:left="0"/>
        <w:jc w:val="both"/>
      </w:pPr>
      <w:r>
        <w:rPr>
          <w:rFonts w:ascii="Times New Roman"/>
          <w:b w:val="false"/>
          <w:i w:val="false"/>
          <w:color w:val="000000"/>
          <w:sz w:val="28"/>
        </w:rPr>
        <w:t>
      5) границы запретной зоны при арсенале, базе и складе Вооруженных Сил, других войск и воинских формирований (далее – граница запретной зоны) и запретного района при арсенале, базе и складе Вооруженных Сил, других войск и воинских формирований (далее – граница запретного района) – линии и проходящие по ним вертикальные плоскости, определяющие пределы территорий запретной зоны и запретного района (суши, вод, недр, воздушного пространства);</w:t>
      </w:r>
    </w:p>
    <w:bookmarkEnd w:id="19"/>
    <w:bookmarkStart w:name="z26" w:id="20"/>
    <w:p>
      <w:pPr>
        <w:spacing w:after="0"/>
        <w:ind w:left="0"/>
        <w:jc w:val="both"/>
      </w:pPr>
      <w:r>
        <w:rPr>
          <w:rFonts w:ascii="Times New Roman"/>
          <w:b w:val="false"/>
          <w:i w:val="false"/>
          <w:color w:val="000000"/>
          <w:sz w:val="28"/>
        </w:rPr>
        <w:t>
      6) расчет – алгоритм расчета расстояния по действию ударной волны на человека, здание и сооружение, массы взрывчатого вещества и показателя разлета осколков, утвержденный Министром обороны Республики Казахстан по согласованию первыми руководителями заинтересованных государственных органов и местными исполнительными органами областей, городов республиканского значения и столицы.</w:t>
      </w:r>
    </w:p>
    <w:bookmarkEnd w:id="20"/>
    <w:bookmarkStart w:name="z27" w:id="21"/>
    <w:p>
      <w:pPr>
        <w:spacing w:after="0"/>
        <w:ind w:left="0"/>
        <w:jc w:val="left"/>
      </w:pPr>
      <w:r>
        <w:rPr>
          <w:rFonts w:ascii="Times New Roman"/>
          <w:b/>
          <w:i w:val="false"/>
          <w:color w:val="000000"/>
        </w:rPr>
        <w:t xml:space="preserve"> Глава 2. Порядок установления запретных зон и запретных районов</w:t>
      </w:r>
    </w:p>
    <w:bookmarkEnd w:id="21"/>
    <w:bookmarkStart w:name="z28" w:id="22"/>
    <w:p>
      <w:pPr>
        <w:spacing w:after="0"/>
        <w:ind w:left="0"/>
        <w:jc w:val="both"/>
      </w:pPr>
      <w:r>
        <w:rPr>
          <w:rFonts w:ascii="Times New Roman"/>
          <w:b w:val="false"/>
          <w:i w:val="false"/>
          <w:color w:val="000000"/>
          <w:sz w:val="28"/>
        </w:rPr>
        <w:t>
      3. Вокруг объектов хранения определяются границы запретной зоны и запретного района.</w:t>
      </w:r>
    </w:p>
    <w:bookmarkEnd w:id="22"/>
    <w:bookmarkStart w:name="z29" w:id="23"/>
    <w:p>
      <w:pPr>
        <w:spacing w:after="0"/>
        <w:ind w:left="0"/>
        <w:jc w:val="both"/>
      </w:pPr>
      <w:r>
        <w:rPr>
          <w:rFonts w:ascii="Times New Roman"/>
          <w:b w:val="false"/>
          <w:i w:val="false"/>
          <w:color w:val="000000"/>
          <w:sz w:val="28"/>
        </w:rPr>
        <w:t>
      4. Граница запретной зоны располагается на расстоянии 400 метров от внешнего ограждения объекта хранения. При наличии оборудованного защитного экрана граница запретной зоны уменьшается в два раза.</w:t>
      </w:r>
    </w:p>
    <w:bookmarkEnd w:id="23"/>
    <w:bookmarkStart w:name="z30" w:id="24"/>
    <w:p>
      <w:pPr>
        <w:spacing w:after="0"/>
        <w:ind w:left="0"/>
        <w:jc w:val="both"/>
      </w:pPr>
      <w:r>
        <w:rPr>
          <w:rFonts w:ascii="Times New Roman"/>
          <w:b w:val="false"/>
          <w:i w:val="false"/>
          <w:color w:val="000000"/>
          <w:sz w:val="28"/>
        </w:rPr>
        <w:t>
      5. Граница запретного района для эксплуатируемых объектов хранения рассчитывается с учетом обеспечения безопасности от воздействия поражающих факторов в виде ударной волны, разлета осколков боеприпасов и их фрагментов в соответствии с приказом Министра обороны Республики Казахстан от 12 февраля 2021 года № 78 "Об утверждении алгоритма расчета расстояния по действию ударной волны на человека, здание и сооружение, массы взрывчатого вещества и показателя разлета осколков.</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27.04.2023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6. Ширина запретной зоны и запретного района для вновь строящихся и реконструируемых объектов хранения определяется в соответствии с законодательством об архитектурной, градостроительной и строительной деятельности в Республике Казахстан.</w:t>
      </w:r>
    </w:p>
    <w:bookmarkEnd w:id="25"/>
    <w:bookmarkStart w:name="z32" w:id="26"/>
    <w:p>
      <w:pPr>
        <w:spacing w:after="0"/>
        <w:ind w:left="0"/>
        <w:jc w:val="both"/>
      </w:pPr>
      <w:r>
        <w:rPr>
          <w:rFonts w:ascii="Times New Roman"/>
          <w:b w:val="false"/>
          <w:i w:val="false"/>
          <w:color w:val="000000"/>
          <w:sz w:val="28"/>
        </w:rPr>
        <w:t>
      7. В случаях возникновения непреодолимых обстоятельств (вхождение в границы запретных районов стратегических объектов или населенных пунктов, изменение законодательства), допускается уменьшение ширины запретных районов по действующим объектам хранения посредством сокращения объемов и/или номенклатуры хранимых боеприпасов с учетом обеспечения боеготовности Вооруженных Сил, других войск и воинских формирований.</w:t>
      </w:r>
    </w:p>
    <w:bookmarkEnd w:id="26"/>
    <w:bookmarkStart w:name="z33" w:id="27"/>
    <w:p>
      <w:pPr>
        <w:spacing w:after="0"/>
        <w:ind w:left="0"/>
        <w:jc w:val="both"/>
      </w:pPr>
      <w:r>
        <w:rPr>
          <w:rFonts w:ascii="Times New Roman"/>
          <w:b w:val="false"/>
          <w:i w:val="false"/>
          <w:color w:val="000000"/>
          <w:sz w:val="28"/>
        </w:rPr>
        <w:t>
      8. В трехмесячный срок после введения в действие настоящих Правил командование воинской части:</w:t>
      </w:r>
    </w:p>
    <w:bookmarkEnd w:id="27"/>
    <w:bookmarkStart w:name="z53" w:id="28"/>
    <w:p>
      <w:pPr>
        <w:spacing w:after="0"/>
        <w:ind w:left="0"/>
        <w:jc w:val="both"/>
      </w:pPr>
      <w:r>
        <w:rPr>
          <w:rFonts w:ascii="Times New Roman"/>
          <w:b w:val="false"/>
          <w:i w:val="false"/>
          <w:color w:val="000000"/>
          <w:sz w:val="28"/>
        </w:rPr>
        <w:t>
      1) разрабатывает и утверждает план, где указываются расчеты расстояния по действию ударной волны на человека, здание и сооружение хранимого запаса боеприпасов по взрывчатому веществу (далее – ВВ) на каждое хранилище;</w:t>
      </w:r>
    </w:p>
    <w:bookmarkEnd w:id="28"/>
    <w:bookmarkStart w:name="z54" w:id="29"/>
    <w:p>
      <w:pPr>
        <w:spacing w:after="0"/>
        <w:ind w:left="0"/>
        <w:jc w:val="both"/>
      </w:pPr>
      <w:r>
        <w:rPr>
          <w:rFonts w:ascii="Times New Roman"/>
          <w:b w:val="false"/>
          <w:i w:val="false"/>
          <w:color w:val="000000"/>
          <w:sz w:val="28"/>
        </w:rPr>
        <w:t>
      2) наносит на схему объекта хранения зону поражения при возможном взрыве боеприпасов и их фрагментов по наивысшему хранилищу ВВ в формате А3;</w:t>
      </w:r>
    </w:p>
    <w:bookmarkEnd w:id="29"/>
    <w:bookmarkStart w:name="z55" w:id="30"/>
    <w:p>
      <w:pPr>
        <w:spacing w:after="0"/>
        <w:ind w:left="0"/>
        <w:jc w:val="both"/>
      </w:pPr>
      <w:r>
        <w:rPr>
          <w:rFonts w:ascii="Times New Roman"/>
          <w:b w:val="false"/>
          <w:i w:val="false"/>
          <w:color w:val="000000"/>
          <w:sz w:val="28"/>
        </w:rPr>
        <w:t>
      3) в зависимости от подведомственной подчиненности направляет план и схему в трех экземплярах на бумажном и электронном носителях соответственно в Министерство обороны Республики Казахстан, Министерство внутренних дел Республики Казахстан, Комитет национальной безопасности Республики Казахстан, Службу государственной охраны Республики Казахстан для их последующего согласования.</w:t>
      </w:r>
    </w:p>
    <w:bookmarkEnd w:id="30"/>
    <w:bookmarkStart w:name="z56" w:id="31"/>
    <w:p>
      <w:pPr>
        <w:spacing w:after="0"/>
        <w:ind w:left="0"/>
        <w:jc w:val="both"/>
      </w:pPr>
      <w:r>
        <w:rPr>
          <w:rFonts w:ascii="Times New Roman"/>
          <w:b w:val="false"/>
          <w:i w:val="false"/>
          <w:color w:val="000000"/>
          <w:sz w:val="28"/>
        </w:rPr>
        <w:t>
      Министерство обороны Республики Казахстан, Министерство внутренних дел Республики Казахстан, Комитет национальной безопасности Республики Казахстан, Служба государственной охраны Республики Казахстан в течение 3 (три) рабочих дней со дня получения плана и схемы направляют их для согласования в местные исполнительные органы областей, городов республиканского значения, столицы.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Правительства РК от 27.04.2023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Местные исполнительные органы областей, городов республиканского значения, столицы в течение 10 (десять) рабочих дней с учетом расчетов расстояния по действию ударной волны на человека, здание и сооружение хранимого запаса боеприпасов по взрывчатому веществу на каждое хранилище согласовывают план и схему и выносят постановление об утверждении границ запретной зоны и запретного района.</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 в редакции постановления Правительства РК от 27.04.2023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10. Местный исполнительный орган области, города республиканского значения, столицы в течение 15 (пятнадцать) календарных дней с момента согласования границ запретных зон и запретных районов обеспечивает внесение в базу данных автоматизированной информационной системы государственного земельного кадастра сведения о границах запретных зон и запретных районов.</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10 – в редакции постановления Правительства РК от 27.04.2023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34"/>
    <w:p>
      <w:pPr>
        <w:spacing w:after="0"/>
        <w:ind w:left="0"/>
        <w:jc w:val="both"/>
      </w:pPr>
      <w:r>
        <w:rPr>
          <w:rFonts w:ascii="Times New Roman"/>
          <w:b w:val="false"/>
          <w:i w:val="false"/>
          <w:color w:val="000000"/>
          <w:sz w:val="28"/>
        </w:rPr>
        <w:t>
      10-1. Местный исполнительный орган области, города республиканского значения, столицы в течение 30 (тридцать) календарных дней после внесения в базу данных автоматизированной информационной системы государственного земельного кадастра сведений о границах запретных зон и запретных районов инициирует принудительное отчуждение находящихся в их пределах земельных участков для государственных нужд.</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10-1 в соответствии с постановлением Правительства РК от 27.04.2023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11. После согласования плана и схемы запретных зон и запретных районов командование воинской части обозначает на местности границы запретных зон и запретных районов видимыми указателями (размерами 40×60 сантиметров на желтом фоне с красной каймой шириной 2 сантиметра, высотой букв 5 сантиметров) с надписями на государственном и русском языках "Запретная зона. Проход (проезд) запрещен (закрыт)", "Запретный район. Проход (проезд) ограничен". Указатели размещаются по периметру границ, установленных расчетом:</w:t>
      </w:r>
    </w:p>
    <w:bookmarkEnd w:id="35"/>
    <w:bookmarkStart w:name="z43" w:id="36"/>
    <w:p>
      <w:pPr>
        <w:spacing w:after="0"/>
        <w:ind w:left="0"/>
        <w:jc w:val="both"/>
      </w:pPr>
      <w:r>
        <w:rPr>
          <w:rFonts w:ascii="Times New Roman"/>
          <w:b w:val="false"/>
          <w:i w:val="false"/>
          <w:color w:val="000000"/>
          <w:sz w:val="28"/>
        </w:rPr>
        <w:t>
      1) запретных зон на расстоянии не менее 300 метров;</w:t>
      </w:r>
    </w:p>
    <w:bookmarkEnd w:id="36"/>
    <w:bookmarkStart w:name="z44" w:id="37"/>
    <w:p>
      <w:pPr>
        <w:spacing w:after="0"/>
        <w:ind w:left="0"/>
        <w:jc w:val="both"/>
      </w:pPr>
      <w:r>
        <w:rPr>
          <w:rFonts w:ascii="Times New Roman"/>
          <w:b w:val="false"/>
          <w:i w:val="false"/>
          <w:color w:val="000000"/>
          <w:sz w:val="28"/>
        </w:rPr>
        <w:t>
      2) запретных районов – 500 метров.</w:t>
      </w:r>
    </w:p>
    <w:bookmarkEnd w:id="37"/>
    <w:bookmarkStart w:name="z45" w:id="38"/>
    <w:p>
      <w:pPr>
        <w:spacing w:after="0"/>
        <w:ind w:left="0"/>
        <w:jc w:val="both"/>
      </w:pPr>
      <w:r>
        <w:rPr>
          <w:rFonts w:ascii="Times New Roman"/>
          <w:b w:val="false"/>
          <w:i w:val="false"/>
          <w:color w:val="000000"/>
          <w:sz w:val="28"/>
        </w:rPr>
        <w:t>
      12. Командования воинских частей Вооруженных Сил, других войск и воинских формирований в течение 3 (трех) рабочих дней со дня получения ответа местного исполнительного органа о внесении в базу данных автоматизированной информационной системы государственного земельного кадастра сведений о границах запретных зон и запретных районов направляют уведомления в министерства обороны, внутренних дел Республики Казахстан, Комитет национальной безопасности Республики Казахстан, Службу государственной охраны Республики Казахстан.</w:t>
      </w:r>
    </w:p>
    <w:bookmarkEnd w:id="38"/>
    <w:bookmarkStart w:name="z46" w:id="39"/>
    <w:p>
      <w:pPr>
        <w:spacing w:after="0"/>
        <w:ind w:left="0"/>
        <w:jc w:val="both"/>
      </w:pPr>
      <w:r>
        <w:rPr>
          <w:rFonts w:ascii="Times New Roman"/>
          <w:b w:val="false"/>
          <w:i w:val="false"/>
          <w:color w:val="000000"/>
          <w:sz w:val="28"/>
        </w:rPr>
        <w:t>
      13. В целях обеспечения защиты населения, зданий и сооружений, охраны окружающей среды при возникновении чрезвычайных ситуаций природного и техногенного характера на объектах хранения, в запретных зонах и запретных районах при объектах хранения командованием воинской части вводится план оповещения и совместных действий с территориальными подразделениями уполномоченного органа в сфере гражданской защиты, заблаговременно разработанный и утвержденный в установленном законодательством порядке.</w:t>
      </w:r>
    </w:p>
    <w:bookmarkEnd w:id="39"/>
    <w:bookmarkStart w:name="z47" w:id="40"/>
    <w:p>
      <w:pPr>
        <w:spacing w:after="0"/>
        <w:ind w:left="0"/>
        <w:jc w:val="both"/>
      </w:pPr>
      <w:r>
        <w:rPr>
          <w:rFonts w:ascii="Times New Roman"/>
          <w:b w:val="false"/>
          <w:i w:val="false"/>
          <w:color w:val="000000"/>
          <w:sz w:val="28"/>
        </w:rPr>
        <w:t>
      14. В случае возникновения чрезвычайной ситуации объекты хранения немедленно оповещают территориальные подразделения уполномоченного органа в сфере гражданской защиты и соответствующий местный исполнительный орган района (города областного значения) и осуществляют мероприятия в соответствии с утвержденным планом.</w:t>
      </w:r>
    </w:p>
    <w:bookmarkEnd w:id="40"/>
    <w:bookmarkStart w:name="z48" w:id="41"/>
    <w:p>
      <w:pPr>
        <w:spacing w:after="0"/>
        <w:ind w:left="0"/>
        <w:jc w:val="both"/>
      </w:pPr>
      <w:r>
        <w:rPr>
          <w:rFonts w:ascii="Times New Roman"/>
          <w:b w:val="false"/>
          <w:i w:val="false"/>
          <w:color w:val="000000"/>
          <w:sz w:val="28"/>
        </w:rPr>
        <w:t>
      Практическая отработка плана проводится объектами хранения и территориальными подразделениями уполномоченного органа в сфере гражданской защиты не реже одного раза в год.</w:t>
      </w:r>
    </w:p>
    <w:bookmarkEnd w:id="41"/>
    <w:bookmarkStart w:name="z49" w:id="42"/>
    <w:p>
      <w:pPr>
        <w:spacing w:after="0"/>
        <w:ind w:left="0"/>
        <w:jc w:val="both"/>
      </w:pPr>
      <w:r>
        <w:rPr>
          <w:rFonts w:ascii="Times New Roman"/>
          <w:b w:val="false"/>
          <w:i w:val="false"/>
          <w:color w:val="000000"/>
          <w:sz w:val="28"/>
        </w:rPr>
        <w:t>
      15. Уточнение границ территорий запретных зон и запретных районов, отчуждение земельных участков для государственных нужд, на территории которых установлены запретные зоны и запретные районы при объектах хранения, осуществляются в соответствии с земельным законодательством Республики Казахстан.</w:t>
      </w:r>
    </w:p>
    <w:bookmarkEnd w:id="42"/>
    <w:bookmarkStart w:name="z50" w:id="43"/>
    <w:p>
      <w:pPr>
        <w:spacing w:after="0"/>
        <w:ind w:left="0"/>
        <w:jc w:val="both"/>
      </w:pPr>
      <w:r>
        <w:rPr>
          <w:rFonts w:ascii="Times New Roman"/>
          <w:b w:val="false"/>
          <w:i w:val="false"/>
          <w:color w:val="000000"/>
          <w:sz w:val="28"/>
        </w:rPr>
        <w:t>
      Основанием для принятия решений об уточнении границ запретных зон и запретных районов является перепрофилирование или изменение характеристик объектов хранения, послуживших основанием для установления таких границ, а также прекращение действия требований границ запретных зон и запретных районов при передислокации или ликвидации объекта хранения.</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2021 года № 9</w:t>
            </w:r>
          </w:p>
        </w:tc>
      </w:tr>
    </w:tbl>
    <w:bookmarkStart w:name="z52" w:id="44"/>
    <w:p>
      <w:pPr>
        <w:spacing w:after="0"/>
        <w:ind w:left="0"/>
        <w:jc w:val="left"/>
      </w:pPr>
      <w:r>
        <w:rPr>
          <w:rFonts w:ascii="Times New Roman"/>
          <w:b/>
          <w:i w:val="false"/>
          <w:color w:val="000000"/>
        </w:rPr>
        <w:t xml:space="preserve"> Перечень запретных зон при арсеналах, базах и складах Вооруженных Сил, других войск и воинских формирований и запретных районов при арсеналах, базах и складах Вооруженных Сил, других войск и воинских формирований</w:t>
      </w:r>
    </w:p>
    <w:bookmarkEnd w:id="44"/>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постановлением Правительства РК от 27.04.2023 </w:t>
      </w:r>
      <w:r>
        <w:rPr>
          <w:rFonts w:ascii="Times New Roman"/>
          <w:b w:val="false"/>
          <w:i w:val="false"/>
          <w:color w:val="ff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Местонахождение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44859"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Туркестанская область, город Арысь, сельский округ Дермене, село Орманды, улица Сабыр Рахимова, сооружение 27, почтовый индекс 160100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03876"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Карагандинская область, Актогайский район, Ортадересинский сельский округ, почтовый индекс 100300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31765"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Карагандинская область, город Балхаш, улица Парковая, строение 9, почтовый индекс 100300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18405"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Карагандинская область, город Приозерск, Бульвар Советской Армии, д. 13, почтовый индекс 101100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31775"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Карагандинская область, город Караганда, Октябрьский район, улица Винницкая, д. 50, почтовый индекс 100029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27943"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Восточно-Казахстанская область, город Усть-Каменогорск, село Ново-Ахмирово, Территория военный городок № 1, дом 17, почтовый индекс 000070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30217"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область Абай, город Семей, Западный промышленный узел, 1-й военный городок, почтовый индекс 071400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10810"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область Абай, город Аягоз, Южный военный городок, почтовый индекс 070202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40398"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область Жетісу, Алакольский район, город Ушарал, почтовый индекс 040200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47007"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область Абай, Жарминский район, поселок Жангизтобе, почтовый индекс 060607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15701"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область Абай, Аягозский район, город Аягоз, шоссе Алматы – Усть-Каменогорск, здание 1/3, почтовый индекс 070200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41446"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область Абай, город Аягоз, почтовый индекс 070200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32363"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Алматинская область, город Қонаев, вторая линия, почтовый индекс 040800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18404"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область Жетісу, Ескельдинский район, Конырский сельский округ, строение 1, почтовый индекс 040013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12740"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область Жетісу, Кербулакский район, Сарыозекский сельский округ, село Сарыозек, участок № 102, военный городок № 8, сооружение 14, почтовый индекс 041100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29108"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область Жетісу, Кербулакский район, Сарыозекский сельский округ, село Сарыозек, участок № 102, военный городок № 8, сооружение 14, почтовый индекс 041100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74261"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область Жетісу, Панфиловский район, город Жаркент, ул. Головацкого, 2, почтовый индекс 041300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62064"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Алматинская область, город Қонаев, почтовый индекс 040800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44803"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Карагандинская область, город Сарань, 9, почтовый индекс 101200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21751"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область Жетісу, Ескельдинский район, аэродром города Талдыкоргана, почтовый индекс 040500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55652"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город Шымкент, Абайский район, аэропорт, почтовый индекс 160003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01852"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область Жетісу, Алакольский район, Жанаминский сельский округ, военный городок 3, воинская часть, здание 1, почтовый индекс 040200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30153"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Мангистауская область, город Актау, Аэропорт, почтовый индекс 130000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50185"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Карагандинская область, Бухар-Жырауский район, поселок Ботакара, аэропорт Сары-Арка, почтовый адрес 100009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64207"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Жамбылская область, Т. Рыскуловский район, село Луговое, почтовый индекс 080913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55078"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область Жетісу, Каратальский район, село Бастобе, учетный квартал 050, строение 65, почтовый индекс 04100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65229"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Алматинская область, Илийский район, село Жетиген, почтовый индекс 040714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21742"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Жамбылская область, Кордайский район, село Отар, почтовый индекс 080423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28349"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Жамбылская область, Байзакский район, разъезд Кайнар, почтовый индекс 080100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35748"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город Шымкент, Алфарабийский район, микрорайон Сауле, 11/41, почтовый индекс 160000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32039"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Туркестанская область, город Сарыагаш, село Жибек жолы, военный городок, почтовый индекс 160900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85395"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Жамбылская область, город Тараз, проспект Толе би, 166, почтовый индекс 080006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11971"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Жамбылская область, Меркенский район, село Мерке, улица Сарымолдаева, дом 123, почтовый индекс 080500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03811"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Жамбылская область, Т. Рыскуловский район, станция Луговая, военный городок, почтовый индекс 080913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66597"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Кызылординская область, город Кызылорда, с. махамбетова, ул. Жанадария, д. 32, почтовый индекс 120013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"Военный институт Сухопутных войск"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Алматинская область, город Алматы, Илийский район, роща Караой, Учебный центр Военный институт Сухопутных войск.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30212"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Жамбылская область, Кордайский район, пгт. Гвардейский, почтовый индекс 080409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68665"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город Астана, район Алматы, жилой массив Железнодорожный, ул. Шалкар, дом 9/3, почтовый индекс 010000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48386"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область Жетісу, Ескельдинский район, Конырский сельский округ, строение 1, почтовый индекс 040013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30238"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Актюбинская область, город Актобе, улица Есет Батыра, д. 41, почтовый индекс 030007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41433"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Атырауская область, город Атырау, улица Г.Бергалиева, дом 55А, склад № 4, почтовый индекс 060006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99116"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Мангистауская область, Бейнеуский район, село Бейнеу, военный городок №11, почтовый индекс 130100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75488"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Мангистауская область, город Актау, крестьянское хозяйство "Ару-Ана", здание № 64, почтовый индекс 130000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"Войсковая часть 91678" Министерства обороны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Жамбылская область, Жуалынский район, село Б. Момышулы, Военный Городок, почтовый индекс 080300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