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0e3" w14:textId="1130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2020 года № 868.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Лимит правительственного долга может быть превышен в случаях изменения рыночного курса обмена валют по отношению к расчетному курсу тенге к доллару США, предусмотренному в ходе разработки республиканского бюджета на планируемый финансовый год, выпуска государственных ценных бумаг с дисконтом, а также на сумму правительственных внешних займов, поступивших на счет в иностранной валюте центрального уполномоченного органа по исполнению бюджета.".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