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20fd" w14:textId="6222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об особенностях осуществления операций с драгоценными металлами и драгоценными камнями в рамках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2020 года № 759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об особенностях осуществления операций с драгоценными металлами и драгоценными камнями в рамках Евразийского экономического союза".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об особенностях осуществления операций с драгоценными металлами и драгоценными камнями в рамках Евразийского экономического союза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об особенностях осуществления операций с драгоценными металлами и драгоценными камнями в рамках Евразийского экономического союза, совершенное в Москве 22 ноября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