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9336" w14:textId="ddd9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31 декабря 2019 года № 1060 "О некоторых мерах государственной поддержки частного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2020 года № 679. Утратило силу постановлением Правительства Республики Казахстан от 18 января 2024 года №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2019 года № 1060 "О некоторых мерах государственной поддержки частного предпринимательства" (САПП Республики Казахстан, 2016 г., № 25-26, ст. 139)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части ставки вознаграждения в рамках Государственной программы поддержки и развития бизнеса "Дорожная карта бизнеса-2025", утвержденные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6-1 следующего содержания: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6-1. Условия субсидирования части ставки вознаграждения по кредитам/лизинговым сделкам субъектов малого и среднего предпринимательства в наиболее пострадавших секторах экономики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87-1. Субсидированию подлежат ставки вознаграждения по кредитам/лизинговым сделкам субъектов малого и среднего предпринимательства, осуществляющих деятельность в наиболее пострадавших секторах экономики, согласно приложению 9 к настоящим Правилам, на которых распространяется действие настоящей главы.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87-2. Субсидирование части ставки вознаграждения осуществляется по кредитам/лизинговым сделкам банков/лизинговых компаний, выданным до 31 августа 2020 года (включительно), а также в отношении кредитных средств, выдаваемых в рамках кредитных линий, одобренных до 31 августа 2020 года (включительно).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Субсидированию подлежат части ставки вознаграждения по кредитам/лизинговым сделкам, которые были рефинансированы в период с 16 марта 2020 года до 15 марта 2021 года (включительно) без увеличения ставки вознаграждения и срока погашения, но действующие по состоянию на 31 августа 2020 года.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полного погашения кредита до 31 августа 2020 года (включительно), субсидирование не допускается.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ставки вознаграждения по кредитам/лизинговым сделкам субъектов малого и среднего предпринимательства в наиболее пострадавших секторах экономики осуществляется без учета срока давности выданного кредита/лизинга.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87-3. Субсидированию не подлежат части ставки вознаграждения по кредитам/лизинговым сделкам, по которым по состоянию на 16 марта 2020 года (включительно) имеется просроченная задолженность сроком более 180 дней (включительно) по основному долгу и/или начисленному вознаграждению.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87-4. Субсидирование части ставки вознаграждения осуществляется по кредитам/лизинговым сделкам субъектов малого и среднего предпринимательства в размере, указанном в подпунктах 1) и 2) настоящего пункта, при этом 6 % номинальной ставки вознаграждения оплачивается субъектом малого и среднего предпринимательства, а разница субсидируется государством.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размер субсидирования номинальной ставки вознаграждения государством будет составлять: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16 марта 2020 года до 31 августа 2020 года (включительно) разницу между номинальной ставкой вознаграждения по кредиту и 6 (шесть) процентами, в случае оплаты субъектом малого и среднего предпринимательства платежей по кредитному договору/лизинговой сделке до 31 августа 2020 года (включительно);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сентября 2020 года до 15 марта 2021 года (включительно) разницу между номинальной ставкой вознаграждения по кредиту и 6 (шесть) процентами, но не более 12 %.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2020 года (включительно) до 15 марта 2021 года (включительно) кредитный договор/лизинговая сделка субъекта малого и среднего предпринимательства, номинальная ставка вознаграждения по которому (которой) превышает 18 %, подлежит снижению (реструктуризации) банком/лизинговой компанией до 18 %, в том числе по кредиту/лизинговой сделке, по которому (которой) не осуществлялась оплата платежей с 16 марта 2020 года.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87-5. Срок субсидирования по кредитам/лизинговым сделкам субъектов малого и среднего предпринимательства в наиболее пострадавших секторах экономики составляет 12 месяцев, начиная с 16 марта 2020 года до 15 марта 2021 года (включительно).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заключении кредитного договора/лизинговой сделки после 16 марта 2020 года срок субсидирования исчисляется с даты заключения кредитного договора/лизинговой сделки до 15 марта 2021 года (включительно).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87-6. При предоставлении отсрочки банком по оплате номинальной ставки вознаграждения по кредитам средства, предусмотренные на субсидирование, перечисляются финансовым агентством в банк и будут использованы после окончания периода предоставленной отсрочки. При этом, если сумма начисленного вознаграждения за период чрезвычайного положения или ограничительных мероприятий, в том числе карантина, перенесена в рамках предоставленной отсрочки на период, превышающий 15 марта 2021 года, то субсидированию подлежат такие отсроченные платежи на период предоставленной отсрочки.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87-7. В случае, если в период с 16 марта 2020 года до даты вступления в силу настоящего постановления заемщиком была произведена оплата платежей по кредиту, сумма субсидирования, начисленная за данный период, направляется на погашение задолженности по вознаграждению, начисленному в последующие периоды в соответствии с графиком погашения кредита. При наличии неиспользованной суммы субсидирования по истечении срока погашения займа, данная сумма выплачивается заемщику.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погашения кредита в период с 1 сентября 2020 года до даты вступления в силу настоящего постановления, сумма субсидируемой части ставки вознаграждения за период с 16 марта 2020 года до даты погашения кредита выплачивается заемщику.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87-8. Для ежемесячного расчета субсидируемой государством части номинальной ставки вознаграждения будет использована процентная ставка, действующая на последний рабочий день текущего месяца по кредитному договору/лизинговой сделке.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87-9. По кредитам/лизинговым сделкам субъектов малого и среднего предпринимательства в наиболее пострадавших секторах экономики банк/лизинговая компания до 30 октября 2020 года (включительно) представляет в финансовое агентство: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субъектов малого и среднего предпринимательства для субсидирования части ставки вознаграждения по кредиту/лизинговой сделке;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заявления-анкеты по форме согласно приложению 5 к настоящим Правилам субсидирования.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87-10. Проекты субъектов малого и среднего предпринимательства в наиболее пострадавших секторах экономики рассматриваются уполномоченным органом финансового агентства согласно перечню, представленному банком/лизинговой компанией, в срок не более 5 (пять) рабочих дней с даты поступления информации с пакетом документов.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87-11. По одобренным финансовым агентством проектам субъектов малого и среднего предпринимательства в наиболее пострадавших секторах экономики банк/лизинговая компания заключает договор банковского займа/дополнительное соглашение к договору банковского займа, в котором отражает график платежей с разделением суммы вознаграждения на субсидируемую и несубсидируемую часть, и дополнительную информацию в соответствии с требованиями финансового агентства. Подписанный субъектом малого и среднего предпринимательства и банком/лизинговой компанией договор банковского займа/дополнительное соглашение к договору банковского займа направляются в финансовое агентство для осуществления выплат.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средств производится финансовым агентством согласно графику к договору банковского займа/дополнительному соглашению к договору банковского займа, предоставленному банком/лизинговой компанией, на счета финансового агентства в банке/банке-платежном агенте c учетом сумм к возмещению за предыдущий период (при необходимости).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87-12. Перечисление средств финансовому агентству для субсидирования части ставки вознаграждения по кредитам/лизинговым сделкам субъектов малого и среднего предпринимательства в наиболее пострадавших секторах экономики осуществляется уполномоченным органом по предпринимательству в соответствии с договором на перечисление средств на специальный счет финансового агентства, открытый в Национальном Банке Республики Казахстан.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87-13. По кредитам/лизинговым сделкам субъектов малого и среднего предпринимательства в наиболее пострадавших секторах экономики требования, предусмотренные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пункте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распространяются.";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2020 года № 679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бизнеса-2025"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наиболее пострадавших секторов экономики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ОКЭД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деятельности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автомобилями и легкими автотранспортными средствами в торговых объектах с торговой площадью менее 2000 кв. 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автомобилями и легкими автотранспортными средствами в торговых объектах с торговой площадью более 2000 кв. м (2000 кв. 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автомобилей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автомобильными деталями, узлами и принадлежностями в торговых объектах с торговой площадью менее 2000 кв. 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автомобильными деталями, узлами и принадлежностями в торговых объектах с торговой площадью более 2000 кв. м (2000 кв. 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торговля, кроме торговли автомобилями и мотоциклами (за исключением аптек и розничной торговли продуктами питания, напитками и табачными изделиями)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грузового автомобильного транспорта и предоставление услуг по переезду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воздушного пассажирского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аэропортов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 и аналогичными местами для проживания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ресторанов и предоставление услуг по доставке продуктов питания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показу кинофильмов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компьютерного программирования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управление собственной или арендуемой недвижимостью (торговые сети и стационарные торговые объекты, аренда и управление собственной недвижимостью, предоставление коммерческих помещений в аренду (торгово-развлекательные центры, торговые объекты), за исключением аптек и розничной торговли продуктами питания, напитками и табачными изделиями)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права (юридические консультанты)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коммерческой деятельности и прочее консультирование по вопросам управления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санитарно-эпидемиологических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туристских агентств и операторов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образование (частное дошкольное (доначальное) образование)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 (частные школы, за исключением международных)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 (частные школы, за исключением международных)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больничных организаций (частные организации)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санаторно–курортных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врачебной практики и стоматологии (частные организации)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концертных и театральных залов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фитнес-клубов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Стирка и (химическая) чистка текстильных и меховых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парикмахерскими и салонами красоты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