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250e" w14:textId="98a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(Активные меры по борьбе с СOVID-19 и программа поддержки расходов) между Республикой Казахстан и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2020 года № 609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займе (Активные меры по борьбе с СOVID-19 и программа поддержки расходов) между Республикой Казахстан и Азиатским Банком Инфраструктурных Инвестиций".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займе (Активные меры по борьбе с СOVID-19 и программа поддержки расходов) между Республикой Казахстан и Азиатским Банком Инфраструктурных Инвестиций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займе (Активные меры по борьбе с СOVID-19 и программа поддержки расходов) между Республикой Казахстан и Азиатским Банком Инфраструктурных Инвестиций, совершенное в Нур-Султане 26 августа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Неофициальный перевод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ЗАЙМА L0405A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(Активные меры по борьбе с СOVID-19 и программа поддержки расходов)</w:t>
      </w:r>
      <w:r>
        <w:br/>
      </w:r>
      <w:r>
        <w:rPr>
          <w:rFonts w:ascii="Times New Roman"/>
          <w:b/>
          <w:i w:val="false"/>
          <w:color w:val="000000"/>
        </w:rPr>
        <w:t>между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</w:t>
      </w:r>
      <w:r>
        <w:br/>
      </w:r>
      <w:r>
        <w:rPr>
          <w:rFonts w:ascii="Times New Roman"/>
          <w:b/>
          <w:i w:val="false"/>
          <w:color w:val="000000"/>
        </w:rPr>
        <w:t>АЗИАТСКИМ БАНКОМ ИНФРАСТРУКТУРНЫХ ИНВЕСТИЦИЙ</w:t>
      </w:r>
      <w:r>
        <w:br/>
      </w:r>
      <w:r>
        <w:rPr>
          <w:rFonts w:ascii="Times New Roman"/>
          <w:b/>
          <w:i w:val="false"/>
          <w:color w:val="000000"/>
        </w:rPr>
        <w:t>от 26 августа 2020 года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 26 августа 2020 года (далее – Соглашение о займе) между Республикой Казахстан (далее – Заемщик) и Азиатским Банком Инфраструктурных Инвестиций (далее – Банк).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Банк получил письмо о политике развития от 5 июня 2020 года (далее – Письмо о политике развития), в котором излагаются определенные задачи, политики и действия, формирующие расходы Заемщика на контрциклическое развитие, связанные с пандемией COVID-19, как описано в Приложении 1 к Соглашению о займе (далее – Программа);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Заемщик обратился к Банку с просьбой о выделении Займа для целей Программы;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финансирование на основе политики обеспечивает общую бюджетную поддержку Заемщику, и таким образом, средства Программы не предназначены для финансирования каких-либо конкретных расходов в какой-либо конкретной области Заемщика;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Банк выразил согласие, в частности на основании вышеизложенного на предоставление Заемщику Займа на условиях и положениях, изложенных в настоящем Соглашении о займе.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 Заемщик и Банк договорились о нижеследующем: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  <w:r>
        <w:br/>
      </w:r>
      <w:r>
        <w:rPr>
          <w:rFonts w:ascii="Times New Roman"/>
          <w:b/>
          <w:i w:val="false"/>
          <w:color w:val="000000"/>
        </w:rPr>
        <w:t>Общие условия; Определения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(определенные в Дополнении к настоящему Соглашению о займе) являются неотъемлемой частью настоящего Соглашения о займе.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о займе термины, начинающиеся с заглавных букв, имеют значения, закрепленные за ними в Общих условиях или в Дополнении к настоящему Соглашению о займе.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Заем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2.01. Банк соглашается предоставить Заемщику Заем на сумму шестьсот шестьдесят один миллион восемьсот тысяч евро (661 800 000 евро) (далее – Заем) на условиях, изложенных в настоящем Соглашении о займе, или на которые в нем имеются ссылки, с целью оказания содействия в финансировании программы, описание которой приведено в Приложении 1 к настоящему Соглашению о займе (далее – Программа).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2.02. Заемщик вправе снимать средства Займа в соответствии с Разделом III Приложения 2 к настоящему Соглашению о займе.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 Единовременная комиссия, подлежащая уплате Заемщиком, составляет одну четвертую одного процента (0,25%) от суммы Займа. Заемщик уплачивает Единовременную комиссию не позднее, чем через 60 дней после Даты вступления в силу.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Комиссия за резервирование, подлежащая уплате Заемщиком, составляет одну четвертую одного процента (0,25%) годовых от неснятого остатка Займа.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2.05. Проценты, выплачиваемые Заемщиком за каждый процентный период, представляют собой референтную ставку плюс переменный спрэд или такую ставку, которая может применяться после конвертации в соответствии с Разделом 3.02(d) Общих условий.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Датами платежей являются 15 мая и 15 ноября каждого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 Основная сумма Займа погашается в соответствии с положениями Приложения 3 к настоящему Соглашению о займе.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Программа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3.01. Заемщик заявляет о своей приверженности целям Программы. С этой целью Заемщик реализует Программу через Исполнительное агентство по Программе в соответствии с положениями Статьи IV Общих условий.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3.02. Не ограничиваясь положениями Раздел 3.01 настоящего Соглашения о займе, и если иное не согласовано между Заемщиком и Банком, Заемщик обеспечит реализацию Программы в соответствии с положениями Приложения 2 к настоящему Соглашению о займе.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Крайним сроком вступления в силу настоящего Соглашения о займе является дата, наступающая по истечении девяноста (90) дней после даты подписания настоящего Соглашения о займе.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  <w:r>
        <w:br/>
      </w:r>
      <w:r>
        <w:rPr>
          <w:rFonts w:ascii="Times New Roman"/>
          <w:b/>
          <w:i w:val="false"/>
          <w:color w:val="000000"/>
        </w:rPr>
        <w:t>Представитель; адреса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Представителем Заемщика, уполномоченным для целей Раздела 9.02 Общих условий, является Министр финансов.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Адрес Заемщика для целей Раздела 9.01 Общих условий: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Мангилик Ел, 8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Нур-Султан, 010000,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 (+7 7172) 750352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5.03. Адрес Банка: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Инфраструктурных Инвестиций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Азиатский Финансовый Центр, №1, Восточная улица Тяньчэнь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Чаоян, Пекин, 100033, Китайская Народная Республика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 +86-10-8358-0002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____________, ______________, в день и год, указанные выше.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Кем: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Ф.И.О.: Ерулан Жамаубаев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Должность: 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АЗИАТСКИЙ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ИНФРАСТРУКТУРНЫХ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Кем:__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Ф.И.О.: Константин Лимитовский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Должность: Вице-президент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Описание Программы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Программы является предоставление налогово-бюджетного стимулирования, включая смягчение серьезного негативного влияния пандемии COVID-19 на здоровье, доходы и экономические возможности. В рамки Программы входит реализация: (i) мер политики здравоохранения Заемщика против COVID-19 и борьбе с распространением пандемии; (ii) мер по социальной защите и восстановлению занятости для смягчения влияния на бедных и уязвимых и дестабилизации бизнесов и занятости; и (iii) мер экономического стимулирования Заемщика. Более подробное описание Программы содержится в Письме о политике развития.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Исполнение Программы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Механизмы реализации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Институциональные механизмы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через Исполнительное агентство Программы является ответственным за реализацию Программы, включая мониторинг и представление отчетности.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Заемщик обеспечивает,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 Политический диалог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через Исполнительное агентство Программы незамедлительно обсудит с Банком проблемы и ограничения, возникшие во время реализации Программы, а также соответствующие меры по их устранению и смягчению.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Заемщик через Исполнительное агентство Программы будет информировать Банк в отношении обсуждений политики действий с другими многосторонними и двусторонними агентствами по оказанию помощи, которые могут иметь последствия для реализации Программы, и предоставит Банку возможность комментировать все вытекающие из них предложения по политике действий. Заемщик через Исполнительное агентство Программы примет во внимание точку зрения Банка до окончательного утверждения и реализации любого такого предложения.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C. Использование Партнерского финансирования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Заемщик обеспечивает использование Партнерского финансирования для финансирования реализации определенных программ и мероприятий, соответствующих целям Программы.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D. Запрещенные практики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Заемщик обеспечивает, чтобы его персонал и другие представители, участвующие в реализации Программы, придерживались самых высоких этических стандартов при реализации Программы. С этой целью Заемщик должен: (а) потребовать, чтобы каждое из этих лиц не занималось какими-либо запрещенными практиками в отношении Займа; и (b) обеспечить, чтобы Программа осуществлялась в соответствии с положениями Политики запрещенных практик.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Отчетность по мониторингу и оценка Программы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Отчеты по Программе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будет осуществлять мониторинг, оценивать ход реализации Программы, представлять ежеквартальные отчеты до 6 месяцев после Даты вступления в силу и вступать в диалог с Банком на протяжении всего периода реализации Программы, в том числе по: (a) состоянию макроэкономического и финансового сектора, (b) реализации антикризисных мер в рамках плана Заемщика по борьбе с COVID-19, (с) исполнению бюджета, расходам и движению средств и (d) мерам и расходам, произведенным из республиканского бюджета на поддержку мер контрциклического развития, включая расходы на медицинские меры, социальную защиту и обеспечение занятости, меры экономического стимулирования и (е) отслеживанию бенефициаров программ социальной поддержки с гендерными индикаторами (с данными, дифференцированными по полу).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представит либо обеспечит представление Банку всей такой обоснованно запрошенной со стороны Банка отчетности и информации, касающейся (i) Партнерского финансирования и его использования; и (ii) реализации Программы, включая достижение целей и выполнение действий, предусмотренных в Письме о политике развития.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Раздела 4.08(с) Общих условий Отчет о завершении должен быть предоставлен Банку не позднее чем через шесть месяцев после Даты закрытия.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Снятие средств Займа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Общие положения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Заемщик может снимать средства Займа в соответствии с положениями статьи II Общих условий, настоящего Раздела и тех дополнительных инструкций, которые укажет Банк в уведомлении Заемщику.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 Условия снятия; период снятия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Независимо от положений части А настоящего Раздела средства не должны сниматься со Счета Займа, пока Банк не получит полную сумму Единовременной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>Распределение суммы Займа</w:t>
      </w:r>
      <w:r>
        <w:rPr>
          <w:rFonts w:ascii="Times New Roman"/>
          <w:b w:val="false"/>
          <w:i w:val="false"/>
          <w:color w:val="000000"/>
          <w:sz w:val="28"/>
        </w:rPr>
        <w:t>. Заем выделяется в виде единовременного транша, средства которого Заемщик может снимать со Счета Займа. Распределение сумм Займа на эти цели представлено в таблице, приведенной ниже.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3"/>
        <w:gridCol w:w="11057"/>
      </w:tblGrid>
      <w:tr>
        <w:trPr>
          <w:trHeight w:val="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Распределения
</w:t>
            </w:r>
          </w:p>
        </w:tc>
        <w:tc>
          <w:tcPr>
            <w:tcW w:w="11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выделенного Займа (выражена в евро)
</w:t>
            </w:r>
          </w:p>
        </w:tc>
      </w:tr>
      <w:tr>
        <w:trPr>
          <w:trHeight w:val="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транш</w:t>
            </w:r>
          </w:p>
        </w:tc>
        <w:tc>
          <w:tcPr>
            <w:tcW w:w="11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661 800 000</w:t>
            </w:r>
          </w:p>
        </w:tc>
      </w:tr>
      <w:tr>
        <w:trPr>
          <w:trHeight w:val="30" w:hRule="atLeast"/>
        </w:trPr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1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661 800 000</w:t>
            </w: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>Депонирование суммы Займа</w:t>
      </w:r>
      <w:r>
        <w:rPr>
          <w:rFonts w:ascii="Times New Roman"/>
          <w:b w:val="false"/>
          <w:i w:val="false"/>
          <w:color w:val="000000"/>
          <w:sz w:val="28"/>
        </w:rPr>
        <w:t>. За исключением случаев, когда иное согласовано с Банком: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все снятия средств со Счета Займа должны быть депонированы Банком на Депозитный счет, назначенный Заемщиком и приемлемый для Банка;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Заемщик должен обеспечить, что при каждом депонировании какой-либо суммы Займа на Депозитный счет, эквивалентная сумма будет учитываться в системе бюджетного управления Заемщика в форме, приемлемой для Банка.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Никакие средства Займа не должны сниматься для финансирования наименований, указанных в Дополнении 1 к настоящему Приложению 2.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Раздела 2.05(с) Общих условий и пункта 8 Дополнения к ним Датой закрытия является 31 декабря 2021 года.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 Финансовые отчеты; Аудиты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должен вести или обеспечит ведение отдельной отчетности и документации по Депозитному счету в соответствии с последовательно применяемыми стандартами бухгалтерского учета, приемлемыми для Банка, и в надлежащем порядке для отражения отчетности и документации Депозитного счета.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при получении запроса Банка организовывает аудиторскую проверку финансовой отчетности исключительно в отношении средств Займа, Депозитного счета (далее – Финансовые отчеты) независимыми аудиторами, квалификация, опыт и круг полномочий которых приемлемы для Банка, в соответствии с последовательно применяемыми стандартами аудита, приемлемыми для Банка. Заемщик должен представить Банку Финансовые отчеты и мнения аудиторов на английском языке сразу после их подготовки, но в любом случае не позднее шести (6) месяцев после запроса Банка.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IV.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Другие обязательства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должен своевременно предоставлять по мере необходимости средства, оборудование, услуги и другие ресурсы, которые требуются помимо средств Займа для осуществления Программы.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1 к Приложению 2</w:t>
            </w: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Список исключений (неправомочных расходов)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средств Займа не будет производиться в отношении нижеследующего: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расходы, связанные с товарами, включенными в следующие группы или подгруппы Стандартной классификации международной торговли ООН, издание 3 (СКМТ, изд. 3), или какую-либо группу либо подгруппу, предусмотренную дальнейшими изменениями в СКМТ, как это будет указано в уведомлении Банка Заемщику: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Таблица: Неправомочные статьи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913"/>
        <w:gridCol w:w="7630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Заголовок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статей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Табак, необработанный; отходы табачного производства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обработанный (содержащий или не содержащий табачные заменители)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и связанные с этим материалы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Жемчуг, драгоценные и полудрагоценные камни, необработанные или обработанные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их комплектующие; топливные элементы (картриджи), не излучающие радиацию для ядерных реакторов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728.43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или обработки табака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металлов группы золота, серебра или платины (за исключением наручных часов и корпусов для наручных часов) и золотые или серебряные изделия (включая драгоценные камни)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неденежное (за исключением золотой руды и концентратов)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Организация Объединенных Наций.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расходы, связанные с товарами, поставленными на основе контрактов, по которым произведено или согласовано финансирование со стороны любой национальной или международной финансовой организации или агентства, включая любые контракты, финансируемые в рамках займов или грантов Банка;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расходы, связанные с товарами, предназначенными для военных или полувоенных целей, или с предметами роскоши;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расходы на наркотики;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(v) расходы на экологически опасные товары, производство, использование или импорт которых запрещены в соответствии с законодательством Заемщика или международными соглашениями, к которым присоединился Заемщик, и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(vi) расходы, связанные с платежами, запрещенными Заемщиком в соответствии с решением Совета Безопасности Организации Объединенных Наций, принятым в соответствии с Главой VII Устава Организации Объединенных Наций.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</w:t>
      </w:r>
      <w:r>
        <w:br/>
      </w:r>
      <w:r>
        <w:rPr>
          <w:rFonts w:ascii="Times New Roman"/>
          <w:b/>
          <w:i w:val="false"/>
          <w:color w:val="000000"/>
        </w:rPr>
        <w:t xml:space="preserve">График погашения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нижеследующей таблице указаны даты погашения основного долга Займа и процент от общей основной суммы Займа, подлежащий оплате на каждую Дату погашения основного долга (далее – Доля погашения). Если средства Займа будут в полном объеме освоены на первую Дату погашения основного долга, основная сумма Займа, подлежащая оплате Заемщиком на каждую Дату погашения основного долга, будет определена Банком путем умножения: (а) суммы Займа, снятой на первую Дату погашения основного долга; на (b) Долю погашения на каждую Дату погашения основного долга.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1"/>
        <w:gridCol w:w="4789"/>
      </w:tblGrid>
      <w:tr>
        <w:trPr>
          <w:trHeight w:val="30" w:hRule="atLeast"/>
        </w:trPr>
        <w:tc>
          <w:tcPr>
            <w:tcW w:w="7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погашения основного долга
</w:t>
            </w:r>
          </w:p>
        </w:tc>
        <w:tc>
          <w:tcPr>
            <w:tcW w:w="4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погашения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процентном выражении)
</w:t>
            </w:r>
          </w:p>
        </w:tc>
      </w:tr>
      <w:tr>
        <w:trPr>
          <w:trHeight w:val="30" w:hRule="atLeast"/>
        </w:trPr>
        <w:tc>
          <w:tcPr>
            <w:tcW w:w="7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Каждые 15 мая и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ноября 2029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7,14%</w:t>
            </w:r>
          </w:p>
        </w:tc>
      </w:tr>
      <w:tr>
        <w:trPr>
          <w:trHeight w:val="30" w:hRule="atLeast"/>
        </w:trPr>
        <w:tc>
          <w:tcPr>
            <w:tcW w:w="7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2030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7,18%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средства Займа не будут в полном объеме сняты на первую Дату погашения основного долга, то основная сумма Займа, которая будет подлежать погашению Заемщиком на каждую Дату погашения основного долга, будет определена следующим образом: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 той мере, в которой любые средства Займа были сняты на первую Дату погашения основного долга, Заемщик должен погасить сумму Займа, снятую на такую дату в соответствии с пунктом 1 настоящего Приложения;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Любые суммы, снятые после первой Даты погашения основного долга, должны погашаться на каждую Дату погашения основного долга после даты такого снятия в суммах, определяемых Банком путем умножения суммы каждого такого снятия на дробь, числителем которой является первоначальная сумма Доли погашения, указанная в таблице пункта 1 настоящего Приложения для этой Даты погашения основного долга (далее Первоначальная сумма Доли погашения платежа),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(а) суммы Займа, снятые в течение двух календарных месяцев, предшествующих любой Дате погашения основного долга, исключительно для целей расчета сумм основного долга, подлежащих выплате на любую Дату погашения основного долга, будут считаться снятыми и непогашенными на вторую Дату погашения основного долга, следующую после даты снятия, и будут подлежать погашению на каждую Дату погашения основного долга, начиная со второй Даты погашения основного долга, следующей после даты снятия.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Независимо от положений подпункта (а) настоящего пункта, если в любое время Банк внедрит систему выставления счетов на основе сроков платежей, при которой счета выписываются на соответствующую Дату погашения основного долга или после нее, положения этого подпункта не будут применяться к любым снятиям, совершенным после внедрения такой системы выставления счетов.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I. Определения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"Заемщик" означает Получатель, так как указанный термин определен в Общих условиях.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"Партнерское финансирование" означает денежные средства в местной валюте, получаемые из средств Займа в рамках Программы.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"Депозитный счет" означает депозитный счет, назначенный Заемщиком и согласованный Банком, на который вносятся средства, снятые со Счета Займа, указанный в Разделе III.B.3. Приложения 2.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"Исполнительное агентство по Программе" означает Министерство финансов или любого его правопреемника, приемлемого для Банка.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"Общие условия" означают "Общие условия для суверенных займов Азиатского Банка Инфраструктурных Инвестиций" от 20 марта 2020 года.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"Письмо о политике развития" означает письмо о политике развития, указанное в Преамбуле (А) настоящего Соглашения о займе.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"Политика запрещенных практик" означает "Политику запрещенных практик" Банка от 8 декабря 2016 года.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II. Поправки к Общим условиям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общие условия внесены следующие изменения: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тех случаях, когда в Общих условиях используется термин "Проект", этот термин должен быть заменен термином "Программа".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тех случаях, когда в Общих условиях используется термин "Исполнительное агентство по Проекту", этот термин должен быть заменен термином "Исполнительное агентство по Программе".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Раздел 4.01. </w:t>
      </w:r>
      <w:r>
        <w:rPr>
          <w:rFonts w:ascii="Times New Roman"/>
          <w:b w:val="false"/>
          <w:i/>
          <w:color w:val="000000"/>
          <w:sz w:val="28"/>
        </w:rPr>
        <w:t>Общие принципы исполнения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 в следующей редакции: "Раздел 4.01. </w:t>
      </w:r>
      <w:r>
        <w:rPr>
          <w:rFonts w:ascii="Times New Roman"/>
          <w:b w:val="false"/>
          <w:i/>
          <w:color w:val="000000"/>
          <w:sz w:val="28"/>
        </w:rPr>
        <w:t>Общие принципы исполнения Программы</w:t>
      </w:r>
      <w:r>
        <w:rPr>
          <w:rFonts w:ascii="Times New Roman"/>
          <w:b w:val="false"/>
          <w:i w:val="false"/>
          <w:color w:val="000000"/>
          <w:sz w:val="28"/>
        </w:rPr>
        <w:t>. Заемщик должен обеспечить выполнение Программы: (i) с должной бдительностью и эффективностью и в соответствии с рациональными административными, финансовыми, общественными, социальными методами и методами управления; и (ii) в соответствии с положениями Юридических соглашений.".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 4.09. </w:t>
      </w:r>
      <w:r>
        <w:rPr>
          <w:rFonts w:ascii="Times New Roman"/>
          <w:b w:val="false"/>
          <w:i/>
          <w:color w:val="000000"/>
          <w:sz w:val="28"/>
        </w:rPr>
        <w:t>Финансовое управление; Финансовая отчетность; Аудит удален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