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71e5" w14:textId="c0c7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мая 2014 года № 437 "Об утверждении размеров оплаты деятельности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2020 года № 569.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437 "Об утверждении размеров оплаты деятельности частного судебного исполнителя" (САПП Республики Казахстан, 2014 г., № 32, ст. 288)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 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частного судебного исполнителя,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обеспечении иска, освобождении имущества от ареста и иных исполнительных документов – с физических лиц 10 МРП, юридических лиц 20 МРП;";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четвертым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порядке общения с ребенком – с физических лиц в размере 20 МРП ежемесячно;";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абзацами четвертым и пятым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исполнительным документам о порядке общения с ребенком оплата деятельности частного судебного исполнителя возлагается в равных долях на взыскателя и должника.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деятельности частного судебного исполнителя взыскивается со стороны, заявившей ходатайство о принятии обеспечительных мер. По исполнительному документу об отмене обеспечения иска оплата деятельности частного судебного исполнителя взыскивается с лица, заявившего ходатайство о принятии обеспечительных мер, и которому в иске отказано. В случае удовлетворения иска, оплата деятельности частного судебного исполнителя по исполнительному документу об отмене обеспечения иска взыскивается с лица, в отношении которого приняты обеспечительные меры.".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