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c5d9" w14:textId="82dc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2020 года № 520. Утратило силу постановлением Правительства Республики Казахстан от 23 сентября 2022 года № 736.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23.09.2022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2020 - 2025 годы"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развития "Нұрлы жер" на 2020 - 2025 годы,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"1. Паспорт Государственной программы":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"Источники и объемы финансирования"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 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Государственной программы будет осуществляться за счет и в пределах средств республиканского и местных бюджетов, а также иных источников, не запрещенных законодательством Республики Казахстан.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финансирования Государственной программы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 тенге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"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2020</w:t>
                  </w:r>
                </w:p>
                <w:bookmarkEnd w:id="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"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2021</w:t>
                  </w:r>
                </w:p>
                <w:bookmarkEnd w:id="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4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2022</w:t>
                  </w:r>
                </w:p>
                <w:bookmarkEnd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5"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2023</w:t>
                  </w:r>
                </w:p>
                <w:bookmarkEnd w:id="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6"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2024</w:t>
                  </w:r>
                </w:p>
                <w:bookmarkEnd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2025</w:t>
                  </w:r>
                </w:p>
                <w:bookmarkEnd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РБ*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652,6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637,2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592,5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505,6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394,2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388,3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3 170,4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МБ*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32,6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32,6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32,2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28,9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29,1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28,9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184,3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Внебюджетные средства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704,5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322,9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280,9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200,4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200,2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202,0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1910,9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1389,7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992,7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905,6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734,9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623,5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619,2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5 265,6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5.1.1: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восьмую и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доводит до ЖССБК распределение лимитов кредитования по регионам пропорционально количеству очередников предусмотренных категорий.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ЖССБК публикует объявление о приеме заявлений на оценку платежеспособности от предусмотренных категорий очередников, информирует списки соответственно очередности. Подтверждение постановки очередника на учет нуждающихся в жилье и наличие соответствующего статуса ЖССБК определяются посредством интеграции с Единой национальной информационной системой учета очередников.";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"Подтверждение постановки очередника МИО на учет нуждающихся в жилье и наличие соответствующего статуса ЖССБК определяются посредством интеграции с Единой национальной информационной системой учета очередников.";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Кредитование участников пилотного проекта "Шаңырақ"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кредитования участников пилотного проекта "Шаңырак" АО "НУХ "Байтерек" выделяет ЖССБК 210 млрд. тенге в рамках облигационного займа, полученного от дочерней организации НБ РК.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реализации пилотного проекта "Шаңырак": 2020 - 2022 годы.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пилотного проекта "Шаңырак" могут быть граждане, состоящие на учете нуждающихся 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(далее - очередники МИО).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участию: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гражданство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дохода от трудовой и (или) предпринимательской деятельности (без учета пенсионных отчислений, индивидуального подоходного налога и иных обязательных отчислений) за последние 6 (шесть) месяцев на каждого члена семьи до 3,1-кратной величины прожиточного минимума включительно, утвержденного законом о республиканском бюджете на соответствующий финансовый год;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платежеспособности;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подтверждение постановки на учет, нуждающегося в жилище и статуса, нуждающегося 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постановки очередника на учет нуждающихся в жилье и наличие соответствующего статуса ЖССБК определяются посредством интеграции с Единой национальной информационной системой учета очередников.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ЖССБК публикует объявление о приеме заявлений на оценку платежеспособности и формирует списки очередников по дате постановки на учет нуждающихся в жилье.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кредитование участников Программы, приобретающих кредитное жилье МИО в рамках ранее сформированных пулов по балльной системе на условиях кредитования, предусмотренных пунктом 3 настоящего подраздела.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реализации и распределения жилья определяются в соответствии с настоящей Программой и внутренними документами ЖССБК.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определяется внутренними документами ЖССБК.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кредитования: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займа - приобретение жилья на первичном рынке (жилье частных застройщиков, в том числе в объектах жилищного строительства, обеспеченных гарантией дочерней организации АО "НУХ "Байтерек", кредитное жилье МИО);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- 5 % (пять процентов) годовых;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кредитования - до 20 (двадцати) лет;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первоначального взноса на счете в ЖССБК: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предварительным жилищным займам в размере не менее 10% (десяти процентов) от суммы займа;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промежуточным жилищным займам в размере,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"О жилищных строительных сбережениях в Республике Казахстан";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залоговое обеспечение - приобретаемое жилье. При недостаточности обеспечения, допускается предоставление в залог иного имущества, соответствующего требованиям ЖССБК;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займа при приобретении жилья у частных застройщиков в городах Нур-Султане, Алматы и их пригородных зонах - не более 18 млн. тенге; в городах Атырау, Актау, Актобе, Шымкенте, Туркестане и Карагандинской области - не более 15 млн. тенге; в иных регионах - не более 12 млн.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максимальная сумма займа по кредитному жилью МИО определяется предельным размером стоимости за 1 кв.м.,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подразделом 5.1.2</w:t>
      </w:r>
      <w:r>
        <w:rPr>
          <w:rFonts w:ascii="Times New Roman"/>
          <w:b w:val="false"/>
          <w:i w:val="false"/>
          <w:color w:val="000000"/>
          <w:sz w:val="28"/>
        </w:rPr>
        <w:t>. настоящей Программы.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в рамках мер,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подразделом 5.1.3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Программы, вправе согласовать с частными застройщиками на основании соглашений о сотрудничестве реализацию определенного объема первичного жилья очередникам МИО.";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5.1.3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2.4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следующего содержания: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рефинансирования ипотечных жилищных займов (ипотечных займов), утвержденная постановлением правления НБ РК от 24 апреля 2015 года № 69 (далее - Программа рефинансирования), предусматривает механизм приобретения дочерней организацией АО "НУХ "Байтерек" у ликвидационных комиссий БВУ, АО "БТА Банк" залогового жилья, принятого на баланс при взыскании задолженности по займам физических лиц, бывших собственников жилья (далее - физические лица).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Приобретенное дочерней организацией АО "НУХ "Байтерек" жилье предоставляется физическим лицам в долгосрочную аренду с правом выкупа на условиях Программы рефинансирования и настоящей Программы.";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 5.5.4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следующего содержания: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развития рынка строительных материалов АО "ФНБ "Самрук-Қазына" совместно с крупными строительными компаниями планирует создание новых профильных производств, а также модернизацию существующих производственных предприятий.";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Необходимые ресурсы" изложить в следующей редакции: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Необходимые ресурсы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Государственной программы будет осуществляться за счет и в пределах средств республиканского и местных бюджетов, а также иных источников, не запрещенных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финансирования Государственной программы составляют: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млрд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5 265,6</w:t>
            </w:r>
          </w:p>
        </w:tc>
      </w:tr>
    </w:tbl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Казахстан".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