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0b6b7b" w14:textId="f0b6b7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Указа Президента Республики Казахстан "Об утверждении отчета о формировании и использовании Национального фонда Республики Казахстан за 2019 год"</w:t>
      </w:r>
    </w:p>
    <w:p>
      <w:pPr>
        <w:spacing w:after="0"/>
        <w:ind w:left="0"/>
        <w:jc w:val="both"/>
      </w:pPr>
      <w:r>
        <w:rPr>
          <w:rFonts w:ascii="Times New Roman"/>
          <w:b w:val="false"/>
          <w:i w:val="false"/>
          <w:color w:val="000000"/>
          <w:sz w:val="28"/>
        </w:rPr>
        <w:t>Постановление Правительства Республики Казахстан от 28 мая 2020 года № 329</w:t>
      </w:r>
    </w:p>
    <w:p>
      <w:pPr>
        <w:spacing w:after="0"/>
        <w:ind w:left="0"/>
        <w:jc w:val="both"/>
      </w:pPr>
      <w:bookmarkStart w:name="z3"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p>
    <w:bookmarkEnd w:id="0"/>
    <w:bookmarkStart w:name="z4" w:id="1"/>
    <w:p>
      <w:pPr>
        <w:spacing w:after="0"/>
        <w:ind w:left="0"/>
        <w:jc w:val="both"/>
      </w:pPr>
      <w:r>
        <w:rPr>
          <w:rFonts w:ascii="Times New Roman"/>
          <w:b w:val="false"/>
          <w:i w:val="false"/>
          <w:color w:val="000000"/>
          <w:sz w:val="28"/>
        </w:rPr>
        <w:t>
      внести на рассмотрение Президента Республики Казахстан проект Указа Президента Республики Казахстан "Об утверждении отчета о формировании и использовании Национального фонда Республики Казахстан за 2019 год".</w:t>
      </w:r>
    </w:p>
    <w:bookmarkEnd w:id="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Премьер-Министр</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bookmarkStart w:name="z6" w:id="2"/>
    <w:p>
      <w:pPr>
        <w:spacing w:after="0"/>
        <w:ind w:left="0"/>
        <w:jc w:val="left"/>
      </w:pPr>
      <w:r>
        <w:rPr>
          <w:rFonts w:ascii="Times New Roman"/>
          <w:b/>
          <w:i w:val="false"/>
          <w:color w:val="000000"/>
        </w:rPr>
        <w:t xml:space="preserve"> Об утверждении отчета о формировании и использовании Национального фонда Республики Казахстан за 2019 год</w:t>
      </w:r>
    </w:p>
    <w:bookmarkEnd w:id="2"/>
    <w:bookmarkStart w:name="z7" w:id="3"/>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134 Бюджетного кодекса Республики Казахстан от 4 декабря 2008 года </w:t>
      </w:r>
      <w:r>
        <w:rPr>
          <w:rFonts w:ascii="Times New Roman"/>
          <w:b/>
          <w:i w:val="false"/>
          <w:color w:val="000000"/>
          <w:sz w:val="28"/>
        </w:rPr>
        <w:t>ПОСТАНОВЛЯЮ:</w:t>
      </w:r>
    </w:p>
    <w:bookmarkEnd w:id="3"/>
    <w:bookmarkStart w:name="z8" w:id="4"/>
    <w:p>
      <w:pPr>
        <w:spacing w:after="0"/>
        <w:ind w:left="0"/>
        <w:jc w:val="both"/>
      </w:pPr>
      <w:r>
        <w:rPr>
          <w:rFonts w:ascii="Times New Roman"/>
          <w:b w:val="false"/>
          <w:i w:val="false"/>
          <w:color w:val="000000"/>
          <w:sz w:val="28"/>
        </w:rPr>
        <w:t>
      1. Утвердить прилагаемый отчет о формировании и использовании Национального фонда Республики Казахстан за 2019 год.</w:t>
      </w:r>
    </w:p>
    <w:bookmarkEnd w:id="4"/>
    <w:bookmarkStart w:name="z9" w:id="5"/>
    <w:p>
      <w:pPr>
        <w:spacing w:after="0"/>
        <w:ind w:left="0"/>
        <w:jc w:val="both"/>
      </w:pPr>
      <w:r>
        <w:rPr>
          <w:rFonts w:ascii="Times New Roman"/>
          <w:b w:val="false"/>
          <w:i w:val="false"/>
          <w:color w:val="000000"/>
          <w:sz w:val="28"/>
        </w:rPr>
        <w:t>
      2. Правительству Республики Казахстан:</w:t>
      </w:r>
    </w:p>
    <w:bookmarkEnd w:id="5"/>
    <w:bookmarkStart w:name="z10" w:id="6"/>
    <w:p>
      <w:pPr>
        <w:spacing w:after="0"/>
        <w:ind w:left="0"/>
        <w:jc w:val="both"/>
      </w:pPr>
      <w:r>
        <w:rPr>
          <w:rFonts w:ascii="Times New Roman"/>
          <w:b w:val="false"/>
          <w:i w:val="false"/>
          <w:color w:val="000000"/>
          <w:sz w:val="28"/>
        </w:rPr>
        <w:t>
      1) представить в порядке информации в Парламент Республики Казахстан отчет о формировании и использовании Национального фонда Республики Казахстан за 2019 год;</w:t>
      </w:r>
    </w:p>
    <w:bookmarkEnd w:id="6"/>
    <w:bookmarkStart w:name="z11" w:id="7"/>
    <w:p>
      <w:pPr>
        <w:spacing w:after="0"/>
        <w:ind w:left="0"/>
        <w:jc w:val="both"/>
      </w:pPr>
      <w:r>
        <w:rPr>
          <w:rFonts w:ascii="Times New Roman"/>
          <w:b w:val="false"/>
          <w:i w:val="false"/>
          <w:color w:val="000000"/>
          <w:sz w:val="28"/>
        </w:rPr>
        <w:t>
      2) обеспечить опубликование информации об отчете о формировании и использовании Национального фонда Республики Казахстан за 2019 год и результатах проведения аудита в периодических печатных изданиях.</w:t>
      </w:r>
    </w:p>
    <w:bookmarkEnd w:id="7"/>
    <w:bookmarkStart w:name="z12" w:id="8"/>
    <w:p>
      <w:pPr>
        <w:spacing w:after="0"/>
        <w:ind w:left="0"/>
        <w:jc w:val="both"/>
      </w:pPr>
      <w:r>
        <w:rPr>
          <w:rFonts w:ascii="Times New Roman"/>
          <w:b w:val="false"/>
          <w:i w:val="false"/>
          <w:color w:val="000000"/>
          <w:sz w:val="28"/>
        </w:rPr>
        <w:t xml:space="preserve">
      3. Настоящий Указ вводится в действие со дня его подписания. </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Президент</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К.Токаев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Указом Президента</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2020 года № </w:t>
            </w:r>
          </w:p>
        </w:tc>
      </w:tr>
    </w:tbl>
    <w:bookmarkStart w:name="z15" w:id="9"/>
    <w:p>
      <w:pPr>
        <w:spacing w:after="0"/>
        <w:ind w:left="0"/>
        <w:jc w:val="left"/>
      </w:pPr>
      <w:r>
        <w:rPr>
          <w:rFonts w:ascii="Times New Roman"/>
          <w:b/>
          <w:i w:val="false"/>
          <w:color w:val="000000"/>
        </w:rPr>
        <w:t xml:space="preserve"> ОТЧЕТ </w:t>
      </w:r>
      <w:r>
        <w:br/>
      </w:r>
      <w:r>
        <w:rPr>
          <w:rFonts w:ascii="Times New Roman"/>
          <w:b/>
          <w:i w:val="false"/>
          <w:color w:val="000000"/>
        </w:rPr>
        <w:t>о формировании и использовании Национального фонда Республики Казахстан за 2019 год</w:t>
      </w:r>
    </w:p>
    <w:bookmarkEnd w:id="9"/>
    <w:bookmarkStart w:name="z16" w:id="10"/>
    <w:p>
      <w:pPr>
        <w:spacing w:after="0"/>
        <w:ind w:left="0"/>
        <w:jc w:val="both"/>
      </w:pPr>
      <w:r>
        <w:rPr>
          <w:rFonts w:ascii="Times New Roman"/>
          <w:b w:val="false"/>
          <w:i w:val="false"/>
          <w:color w:val="000000"/>
          <w:sz w:val="28"/>
        </w:rPr>
        <w:t>
      Содержание:</w:t>
      </w:r>
    </w:p>
    <w:bookmarkEnd w:id="10"/>
    <w:bookmarkStart w:name="z17" w:id="11"/>
    <w:p>
      <w:pPr>
        <w:spacing w:after="0"/>
        <w:ind w:left="0"/>
        <w:jc w:val="both"/>
      </w:pPr>
      <w:r>
        <w:rPr>
          <w:rFonts w:ascii="Times New Roman"/>
          <w:b w:val="false"/>
          <w:i w:val="false"/>
          <w:color w:val="000000"/>
          <w:sz w:val="28"/>
        </w:rPr>
        <w:t>
      Глава 1. Отчет о поступлениях и использовании Национального фонда Республики Казахстан за 2019 год.</w:t>
      </w:r>
    </w:p>
    <w:bookmarkEnd w:id="11"/>
    <w:bookmarkStart w:name="z18" w:id="12"/>
    <w:p>
      <w:pPr>
        <w:spacing w:after="0"/>
        <w:ind w:left="0"/>
        <w:jc w:val="both"/>
      </w:pPr>
      <w:r>
        <w:rPr>
          <w:rFonts w:ascii="Times New Roman"/>
          <w:b w:val="false"/>
          <w:i w:val="false"/>
          <w:color w:val="000000"/>
          <w:sz w:val="28"/>
        </w:rPr>
        <w:t>
      Глава 2. Отчет о деятельности Национального Банка Республики Казахстан по доверительному управлению Национальным фондом Республики Казахстан за 2019 год.</w:t>
      </w:r>
    </w:p>
    <w:bookmarkEnd w:id="12"/>
    <w:bookmarkStart w:name="z19" w:id="13"/>
    <w:p>
      <w:pPr>
        <w:spacing w:after="0"/>
        <w:ind w:left="0"/>
        <w:jc w:val="both"/>
      </w:pPr>
      <w:r>
        <w:rPr>
          <w:rFonts w:ascii="Times New Roman"/>
          <w:b w:val="false"/>
          <w:i w:val="false"/>
          <w:color w:val="000000"/>
          <w:sz w:val="28"/>
        </w:rPr>
        <w:t xml:space="preserve">
      Глава 3. Иные данные по управлению Национальным фондом Республики Казахстан за 2019 год. </w:t>
      </w:r>
    </w:p>
    <w:bookmarkEnd w:id="13"/>
    <w:bookmarkStart w:name="z20" w:id="14"/>
    <w:p>
      <w:pPr>
        <w:spacing w:after="0"/>
        <w:ind w:left="0"/>
        <w:jc w:val="left"/>
      </w:pPr>
      <w:r>
        <w:rPr>
          <w:rFonts w:ascii="Times New Roman"/>
          <w:b/>
          <w:i w:val="false"/>
          <w:color w:val="000000"/>
        </w:rPr>
        <w:t xml:space="preserve"> Глава 1. Отчет о поступлениях и использовании </w:t>
      </w:r>
      <w:r>
        <w:br/>
      </w:r>
      <w:r>
        <w:rPr>
          <w:rFonts w:ascii="Times New Roman"/>
          <w:b/>
          <w:i w:val="false"/>
          <w:color w:val="000000"/>
        </w:rPr>
        <w:t>Национального фонда Республики Казахстан за 2019 год</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2"/>
        <w:gridCol w:w="7182"/>
        <w:gridCol w:w="4386"/>
      </w:tblGrid>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и использование средств Национального фонда Республики Казахстан</w:t>
            </w:r>
          </w:p>
        </w:tc>
        <w:tc>
          <w:tcPr>
            <w:tcW w:w="4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Национального фонда Республики Казахстан (далее - Национальный фонд) на начало отчетного периода, ВСЕГО:</w:t>
            </w:r>
          </w:p>
        </w:tc>
        <w:tc>
          <w:tcPr>
            <w:tcW w:w="4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26062038092*</w:t>
            </w:r>
          </w:p>
        </w:tc>
      </w:tr>
      <w:tr>
        <w:trPr>
          <w:trHeight w:val="30" w:hRule="atLeast"/>
        </w:trPr>
        <w:tc>
          <w:tcPr>
            <w:tcW w:w="7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ВСЕГО:</w:t>
            </w:r>
          </w:p>
        </w:tc>
        <w:tc>
          <w:tcPr>
            <w:tcW w:w="4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4491914505</w:t>
            </w:r>
          </w:p>
        </w:tc>
      </w:tr>
      <w:tr>
        <w:trPr>
          <w:trHeight w:val="30" w:hRule="atLeast"/>
        </w:trPr>
        <w:tc>
          <w:tcPr>
            <w:tcW w:w="0" w:type="auto"/>
            <w:vMerge/>
            <w:tcBorders>
              <w:top w:val="nil"/>
              <w:left w:val="single" w:color="cfcfcf" w:sz="5"/>
              <w:bottom w:val="single" w:color="cfcfcf" w:sz="5"/>
              <w:right w:val="single" w:color="cfcfcf" w:sz="5"/>
            </w:tcBorders>
          </w:tcP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4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прямые налоги от организаций нефтяного сектора (за исключением налогов, зачисляемых в местные бюджеты),</w:t>
            </w:r>
          </w:p>
        </w:tc>
        <w:tc>
          <w:tcPr>
            <w:tcW w:w="4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2837206845</w:t>
            </w:r>
          </w:p>
        </w:tc>
      </w:tr>
      <w:tr>
        <w:trPr>
          <w:trHeight w:val="30" w:hRule="atLeast"/>
        </w:trPr>
        <w:tc>
          <w:tcPr>
            <w:tcW w:w="0" w:type="auto"/>
            <w:vMerge/>
            <w:tcBorders>
              <w:top w:val="nil"/>
              <w:left w:val="single" w:color="cfcfcf" w:sz="5"/>
              <w:bottom w:val="single" w:color="cfcfcf" w:sz="5"/>
              <w:right w:val="single" w:color="cfcfcf" w:sz="5"/>
            </w:tcBorders>
          </w:tcP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4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корпоративный подоходный налог;</w:t>
            </w:r>
          </w:p>
        </w:tc>
        <w:tc>
          <w:tcPr>
            <w:tcW w:w="4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1243162337</w:t>
            </w:r>
          </w:p>
        </w:tc>
      </w:tr>
      <w:tr>
        <w:trPr>
          <w:trHeight w:val="30" w:hRule="atLeast"/>
        </w:trPr>
        <w:tc>
          <w:tcPr>
            <w:tcW w:w="0" w:type="auto"/>
            <w:vMerge/>
            <w:tcBorders>
              <w:top w:val="nil"/>
              <w:left w:val="single" w:color="cfcfcf" w:sz="5"/>
              <w:bottom w:val="single" w:color="cfcfcf" w:sz="5"/>
              <w:right w:val="single" w:color="cfcfcf" w:sz="5"/>
            </w:tcBorders>
          </w:tcP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налог на сверхприбыль;</w:t>
            </w:r>
          </w:p>
        </w:tc>
        <w:tc>
          <w:tcPr>
            <w:tcW w:w="4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109637970</w:t>
            </w:r>
          </w:p>
        </w:tc>
      </w:tr>
      <w:tr>
        <w:trPr>
          <w:trHeight w:val="30" w:hRule="atLeast"/>
        </w:trPr>
        <w:tc>
          <w:tcPr>
            <w:tcW w:w="0" w:type="auto"/>
            <w:vMerge/>
            <w:tcBorders>
              <w:top w:val="nil"/>
              <w:left w:val="single" w:color="cfcfcf" w:sz="5"/>
              <w:bottom w:val="single" w:color="cfcfcf" w:sz="5"/>
              <w:right w:val="single" w:color="cfcfcf" w:sz="5"/>
            </w:tcBorders>
          </w:tcP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бонусы;</w:t>
            </w:r>
          </w:p>
        </w:tc>
        <w:tc>
          <w:tcPr>
            <w:tcW w:w="4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7153696</w:t>
            </w:r>
          </w:p>
        </w:tc>
      </w:tr>
      <w:tr>
        <w:trPr>
          <w:trHeight w:val="30" w:hRule="atLeast"/>
        </w:trPr>
        <w:tc>
          <w:tcPr>
            <w:tcW w:w="0" w:type="auto"/>
            <w:vMerge/>
            <w:tcBorders>
              <w:top w:val="nil"/>
              <w:left w:val="single" w:color="cfcfcf" w:sz="5"/>
              <w:bottom w:val="single" w:color="cfcfcf" w:sz="5"/>
              <w:right w:val="single" w:color="cfcfcf" w:sz="5"/>
            </w:tcBorders>
          </w:tcP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налог на добычу полезных ископаемых;</w:t>
            </w:r>
          </w:p>
        </w:tc>
        <w:tc>
          <w:tcPr>
            <w:tcW w:w="4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339530086</w:t>
            </w:r>
          </w:p>
        </w:tc>
      </w:tr>
      <w:tr>
        <w:trPr>
          <w:trHeight w:val="30" w:hRule="atLeast"/>
        </w:trPr>
        <w:tc>
          <w:tcPr>
            <w:tcW w:w="0" w:type="auto"/>
            <w:vMerge/>
            <w:tcBorders>
              <w:top w:val="nil"/>
              <w:left w:val="single" w:color="cfcfcf" w:sz="5"/>
              <w:bottom w:val="single" w:color="cfcfcf" w:sz="5"/>
              <w:right w:val="single" w:color="cfcfcf" w:sz="5"/>
            </w:tcBorders>
          </w:tcP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рентный налог на экспорт;</w:t>
            </w:r>
          </w:p>
        </w:tc>
        <w:tc>
          <w:tcPr>
            <w:tcW w:w="4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431167645</w:t>
            </w:r>
          </w:p>
        </w:tc>
      </w:tr>
      <w:tr>
        <w:trPr>
          <w:trHeight w:val="30" w:hRule="atLeast"/>
        </w:trPr>
        <w:tc>
          <w:tcPr>
            <w:tcW w:w="0" w:type="auto"/>
            <w:vMerge/>
            <w:tcBorders>
              <w:top w:val="nil"/>
              <w:left w:val="single" w:color="cfcfcf" w:sz="5"/>
              <w:bottom w:val="single" w:color="cfcfcf" w:sz="5"/>
              <w:right w:val="single" w:color="cfcfcf" w:sz="5"/>
            </w:tcBorders>
          </w:tcP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доля Республики Казахстан по разделу продукции по заключенным контрактам;</w:t>
            </w:r>
          </w:p>
        </w:tc>
        <w:tc>
          <w:tcPr>
            <w:tcW w:w="4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644077416</w:t>
            </w:r>
          </w:p>
        </w:tc>
      </w:tr>
      <w:tr>
        <w:trPr>
          <w:trHeight w:val="30" w:hRule="atLeast"/>
        </w:trPr>
        <w:tc>
          <w:tcPr>
            <w:tcW w:w="0" w:type="auto"/>
            <w:vMerge/>
            <w:tcBorders>
              <w:top w:val="nil"/>
              <w:left w:val="single" w:color="cfcfcf" w:sz="5"/>
              <w:bottom w:val="single" w:color="cfcfcf" w:sz="5"/>
              <w:right w:val="single" w:color="cfcfcf" w:sz="5"/>
            </w:tcBorders>
          </w:tcP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дополнительный платеж недропользователя, осуществляющего деятельность по контракту о разделе продукции, и альтернативный налог на недропользование от организаций нефтяного сектора;</w:t>
            </w:r>
          </w:p>
        </w:tc>
        <w:tc>
          <w:tcPr>
            <w:tcW w:w="4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62477695</w:t>
            </w:r>
          </w:p>
        </w:tc>
      </w:tr>
      <w:tr>
        <w:trPr>
          <w:trHeight w:val="30" w:hRule="atLeast"/>
        </w:trPr>
        <w:tc>
          <w:tcPr>
            <w:tcW w:w="0" w:type="auto"/>
            <w:vMerge/>
            <w:tcBorders>
              <w:top w:val="nil"/>
              <w:left w:val="single" w:color="cfcfcf" w:sz="5"/>
              <w:bottom w:val="single" w:color="cfcfcf" w:sz="5"/>
              <w:right w:val="single" w:color="cfcfcf" w:sz="5"/>
            </w:tcBorders>
          </w:tcP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другие поступления от операций, осуществляемых организациями нефтяного сектора (за исключением поступлений, зачисляемых в местные бюджеты),</w:t>
            </w:r>
          </w:p>
        </w:tc>
        <w:tc>
          <w:tcPr>
            <w:tcW w:w="4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21986493</w:t>
            </w:r>
          </w:p>
        </w:tc>
      </w:tr>
      <w:tr>
        <w:trPr>
          <w:trHeight w:val="30" w:hRule="atLeast"/>
        </w:trPr>
        <w:tc>
          <w:tcPr>
            <w:tcW w:w="0" w:type="auto"/>
            <w:vMerge/>
            <w:tcBorders>
              <w:top w:val="nil"/>
              <w:left w:val="single" w:color="cfcfcf" w:sz="5"/>
              <w:bottom w:val="single" w:color="cfcfcf" w:sz="5"/>
              <w:right w:val="single" w:color="cfcfcf" w:sz="5"/>
            </w:tcBorders>
          </w:tcP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4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административные штрафы, пени, санкции, взыскания, налагаемые центральными государственными органами, их территориальными подразделениями, на организации нефтяного сектора;</w:t>
            </w:r>
          </w:p>
        </w:tc>
        <w:tc>
          <w:tcPr>
            <w:tcW w:w="4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7418131</w:t>
            </w:r>
          </w:p>
        </w:tc>
      </w:tr>
      <w:tr>
        <w:trPr>
          <w:trHeight w:val="30" w:hRule="atLeast"/>
        </w:trPr>
        <w:tc>
          <w:tcPr>
            <w:tcW w:w="0" w:type="auto"/>
            <w:vMerge/>
            <w:tcBorders>
              <w:top w:val="nil"/>
              <w:left w:val="single" w:color="cfcfcf" w:sz="5"/>
              <w:bottom w:val="single" w:color="cfcfcf" w:sz="5"/>
              <w:right w:val="single" w:color="cfcfcf" w:sz="5"/>
            </w:tcBorders>
          </w:tcP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 штрафы, пени, санкции, взыскания, налагаемые государственными учреждениями, финансируемыми из республиканского бюджета, на организации нефтяного сектора;</w:t>
            </w:r>
          </w:p>
        </w:tc>
        <w:tc>
          <w:tcPr>
            <w:tcW w:w="4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11564936</w:t>
            </w:r>
          </w:p>
        </w:tc>
      </w:tr>
      <w:tr>
        <w:trPr>
          <w:trHeight w:val="30" w:hRule="atLeast"/>
        </w:trPr>
        <w:tc>
          <w:tcPr>
            <w:tcW w:w="0" w:type="auto"/>
            <w:vMerge/>
            <w:tcBorders>
              <w:top w:val="nil"/>
              <w:left w:val="single" w:color="cfcfcf" w:sz="5"/>
              <w:bottom w:val="single" w:color="cfcfcf" w:sz="5"/>
              <w:right w:val="single" w:color="cfcfcf" w:sz="5"/>
            </w:tcBorders>
          </w:tcP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средства, полученные от природопользователей по искам о возмещении вреда организациями нефтяного сектора;</w:t>
            </w:r>
          </w:p>
        </w:tc>
        <w:tc>
          <w:tcPr>
            <w:tcW w:w="4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3002921</w:t>
            </w:r>
          </w:p>
        </w:tc>
      </w:tr>
      <w:tr>
        <w:trPr>
          <w:trHeight w:val="30" w:hRule="atLeast"/>
        </w:trPr>
        <w:tc>
          <w:tcPr>
            <w:tcW w:w="0" w:type="auto"/>
            <w:vMerge/>
            <w:tcBorders>
              <w:top w:val="nil"/>
              <w:left w:val="single" w:color="cfcfcf" w:sz="5"/>
              <w:bottom w:val="single" w:color="cfcfcf" w:sz="5"/>
              <w:right w:val="single" w:color="cfcfcf" w:sz="5"/>
            </w:tcBorders>
          </w:tcP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другие неналоговые поступления от организаций нефтяного сектора;</w:t>
            </w:r>
          </w:p>
        </w:tc>
        <w:tc>
          <w:tcPr>
            <w:tcW w:w="4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r>
      <w:tr>
        <w:trPr>
          <w:trHeight w:val="30" w:hRule="atLeast"/>
        </w:trPr>
        <w:tc>
          <w:tcPr>
            <w:tcW w:w="0" w:type="auto"/>
            <w:vMerge/>
            <w:tcBorders>
              <w:top w:val="nil"/>
              <w:left w:val="single" w:color="cfcfcf" w:sz="5"/>
              <w:bottom w:val="single" w:color="cfcfcf" w:sz="5"/>
              <w:right w:val="single" w:color="cfcfcf" w:sz="5"/>
            </w:tcBorders>
          </w:tcP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поступления от приватизации республиканской собственности;</w:t>
            </w:r>
          </w:p>
        </w:tc>
        <w:tc>
          <w:tcPr>
            <w:tcW w:w="4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16928307</w:t>
            </w:r>
          </w:p>
        </w:tc>
      </w:tr>
      <w:tr>
        <w:trPr>
          <w:trHeight w:val="30" w:hRule="atLeast"/>
        </w:trPr>
        <w:tc>
          <w:tcPr>
            <w:tcW w:w="0" w:type="auto"/>
            <w:vMerge/>
            <w:tcBorders>
              <w:top w:val="nil"/>
              <w:left w:val="single" w:color="cfcfcf" w:sz="5"/>
              <w:bottom w:val="single" w:color="cfcfcf" w:sz="5"/>
              <w:right w:val="single" w:color="cfcfcf" w:sz="5"/>
            </w:tcBorders>
          </w:tcP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поступления от передачи в конкурентную среду активов национальных управляющих холдингов, национальных холдингов, национальных компаний и их дочерних, зависимых и иных юридических лиц, являющихся аффилированными с ними, в порядке и по перечню, определяемым Правительством Республики Казахстан;</w:t>
            </w:r>
          </w:p>
        </w:tc>
        <w:tc>
          <w:tcPr>
            <w:tcW w:w="4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947920</w:t>
            </w:r>
          </w:p>
        </w:tc>
      </w:tr>
      <w:tr>
        <w:trPr>
          <w:trHeight w:val="30" w:hRule="atLeast"/>
        </w:trPr>
        <w:tc>
          <w:tcPr>
            <w:tcW w:w="0" w:type="auto"/>
            <w:vMerge/>
            <w:tcBorders>
              <w:top w:val="nil"/>
              <w:left w:val="single" w:color="cfcfcf" w:sz="5"/>
              <w:bottom w:val="single" w:color="cfcfcf" w:sz="5"/>
              <w:right w:val="single" w:color="cfcfcf" w:sz="5"/>
            </w:tcBorders>
          </w:tcP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поступления от продажи земельных участков сельскохозяйственного назначения;</w:t>
            </w:r>
          </w:p>
        </w:tc>
        <w:tc>
          <w:tcPr>
            <w:tcW w:w="4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222503</w:t>
            </w:r>
          </w:p>
        </w:tc>
      </w:tr>
      <w:tr>
        <w:trPr>
          <w:trHeight w:val="30" w:hRule="atLeast"/>
        </w:trPr>
        <w:tc>
          <w:tcPr>
            <w:tcW w:w="0" w:type="auto"/>
            <w:vMerge/>
            <w:tcBorders>
              <w:top w:val="nil"/>
              <w:left w:val="single" w:color="cfcfcf" w:sz="5"/>
              <w:bottom w:val="single" w:color="cfcfcf" w:sz="5"/>
              <w:right w:val="single" w:color="cfcfcf" w:sz="5"/>
            </w:tcBorders>
          </w:tcP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инвестиционные доходы;</w:t>
            </w:r>
          </w:p>
        </w:tc>
        <w:tc>
          <w:tcPr>
            <w:tcW w:w="4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1608480366</w:t>
            </w:r>
          </w:p>
        </w:tc>
      </w:tr>
      <w:tr>
        <w:trPr>
          <w:trHeight w:val="30" w:hRule="atLeast"/>
        </w:trPr>
        <w:tc>
          <w:tcPr>
            <w:tcW w:w="0" w:type="auto"/>
            <w:vMerge/>
            <w:tcBorders>
              <w:top w:val="nil"/>
              <w:left w:val="single" w:color="cfcfcf" w:sz="5"/>
              <w:bottom w:val="single" w:color="cfcfcf" w:sz="5"/>
              <w:right w:val="single" w:color="cfcfcf" w:sz="5"/>
            </w:tcBorders>
          </w:tcP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возврат гарантированного трансферта из республиканского бюджета;</w:t>
            </w:r>
          </w:p>
        </w:tc>
        <w:tc>
          <w:tcPr>
            <w:tcW w:w="4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возврат целевого трансферта из республиканского бюджета;</w:t>
            </w:r>
          </w:p>
        </w:tc>
        <w:tc>
          <w:tcPr>
            <w:tcW w:w="4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319577</w:t>
            </w:r>
          </w:p>
        </w:tc>
      </w:tr>
      <w:tr>
        <w:trPr>
          <w:trHeight w:val="30" w:hRule="atLeast"/>
        </w:trPr>
        <w:tc>
          <w:tcPr>
            <w:tcW w:w="0" w:type="auto"/>
            <w:vMerge/>
            <w:tcBorders>
              <w:top w:val="nil"/>
              <w:left w:val="single" w:color="cfcfcf" w:sz="5"/>
              <w:bottom w:val="single" w:color="cfcfcf" w:sz="5"/>
              <w:right w:val="single" w:color="cfcfcf" w:sz="5"/>
            </w:tcBorders>
          </w:tcP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иные поступления и доходы, не запрещенные законодательством Республики Казахстан</w:t>
            </w:r>
          </w:p>
        </w:tc>
        <w:tc>
          <w:tcPr>
            <w:tcW w:w="4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5822494</w:t>
            </w:r>
          </w:p>
        </w:tc>
      </w:tr>
      <w:tr>
        <w:trPr>
          <w:trHeight w:val="30" w:hRule="atLeast"/>
        </w:trPr>
        <w:tc>
          <w:tcPr>
            <w:tcW w:w="7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15"/>
          <w:p>
            <w:pPr>
              <w:spacing w:after="20"/>
              <w:ind w:left="20"/>
              <w:jc w:val="both"/>
            </w:pPr>
            <w:r>
              <w:rPr>
                <w:rFonts w:ascii="Times New Roman"/>
                <w:b w:val="false"/>
                <w:i w:val="false"/>
                <w:color w:val="000000"/>
                <w:sz w:val="20"/>
              </w:rPr>
              <w:t>
3.</w:t>
            </w:r>
            <w:r>
              <w:br/>
            </w:r>
            <w:r>
              <w:rPr>
                <w:rFonts w:ascii="Times New Roman"/>
                <w:b w:val="false"/>
                <w:i w:val="false"/>
                <w:color w:val="000000"/>
                <w:sz w:val="20"/>
              </w:rPr>
              <w:t>
 </w:t>
            </w:r>
          </w:p>
          <w:bookmarkEnd w:id="15"/>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ВСЕГО:</w:t>
            </w:r>
          </w:p>
        </w:tc>
        <w:tc>
          <w:tcPr>
            <w:tcW w:w="4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3083987307</w:t>
            </w:r>
          </w:p>
        </w:tc>
      </w:tr>
      <w:tr>
        <w:trPr>
          <w:trHeight w:val="30" w:hRule="atLeast"/>
        </w:trPr>
        <w:tc>
          <w:tcPr>
            <w:tcW w:w="0" w:type="auto"/>
            <w:vMerge/>
            <w:tcBorders>
              <w:top w:val="nil"/>
              <w:left w:val="single" w:color="cfcfcf" w:sz="5"/>
              <w:bottom w:val="single" w:color="cfcfcf" w:sz="5"/>
              <w:right w:val="single" w:color="cfcfcf" w:sz="5"/>
            </w:tcBorders>
          </w:tcP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4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гарантированный трансферт;</w:t>
            </w:r>
          </w:p>
        </w:tc>
        <w:tc>
          <w:tcPr>
            <w:tcW w:w="4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2700000000</w:t>
            </w:r>
          </w:p>
        </w:tc>
      </w:tr>
      <w:tr>
        <w:trPr>
          <w:trHeight w:val="30" w:hRule="atLeast"/>
        </w:trPr>
        <w:tc>
          <w:tcPr>
            <w:tcW w:w="0" w:type="auto"/>
            <w:vMerge/>
            <w:tcBorders>
              <w:top w:val="nil"/>
              <w:left w:val="single" w:color="cfcfcf" w:sz="5"/>
              <w:bottom w:val="single" w:color="cfcfcf" w:sz="5"/>
              <w:right w:val="single" w:color="cfcfcf" w:sz="5"/>
            </w:tcBorders>
          </w:tcP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целевые трансферты;</w:t>
            </w:r>
          </w:p>
        </w:tc>
        <w:tc>
          <w:tcPr>
            <w:tcW w:w="4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370000000</w:t>
            </w:r>
          </w:p>
        </w:tc>
      </w:tr>
      <w:tr>
        <w:trPr>
          <w:trHeight w:val="30" w:hRule="atLeast"/>
        </w:trPr>
        <w:tc>
          <w:tcPr>
            <w:tcW w:w="0" w:type="auto"/>
            <w:vMerge/>
            <w:tcBorders>
              <w:top w:val="nil"/>
              <w:left w:val="single" w:color="cfcfcf" w:sz="5"/>
              <w:bottom w:val="single" w:color="cfcfcf" w:sz="5"/>
              <w:right w:val="single" w:color="cfcfcf" w:sz="5"/>
            </w:tcBorders>
          </w:tcP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покрытие расходов, связанных с управлением Национальным фондом и проведением ежегодного внешнего аудита</w:t>
            </w:r>
          </w:p>
        </w:tc>
        <w:tc>
          <w:tcPr>
            <w:tcW w:w="4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13987307</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Национального фонда на конец отчетного периода, ВСЕГО:</w:t>
            </w:r>
          </w:p>
        </w:tc>
        <w:tc>
          <w:tcPr>
            <w:tcW w:w="4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27469965290**</w:t>
            </w:r>
          </w:p>
        </w:tc>
      </w:tr>
    </w:tbl>
    <w:p>
      <w:pPr>
        <w:spacing w:after="0"/>
        <w:ind w:left="0"/>
        <w:jc w:val="left"/>
      </w:pPr>
      <w:r>
        <w:br/>
      </w:r>
      <w:r>
        <w:rPr>
          <w:rFonts w:ascii="Times New Roman"/>
          <w:b w:val="false"/>
          <w:i w:val="false"/>
          <w:color w:val="000000"/>
          <w:sz w:val="28"/>
        </w:rPr>
        <w:t>
</w:t>
      </w:r>
    </w:p>
    <w:bookmarkStart w:name="z22" w:id="16"/>
    <w:p>
      <w:pPr>
        <w:spacing w:after="0"/>
        <w:ind w:left="0"/>
        <w:jc w:val="both"/>
      </w:pPr>
      <w:r>
        <w:rPr>
          <w:rFonts w:ascii="Times New Roman"/>
          <w:b w:val="false"/>
          <w:i w:val="false"/>
          <w:color w:val="000000"/>
          <w:sz w:val="28"/>
        </w:rPr>
        <w:t>
      Примечания:</w:t>
      </w:r>
    </w:p>
    <w:bookmarkEnd w:id="16"/>
    <w:bookmarkStart w:name="z23" w:id="17"/>
    <w:p>
      <w:pPr>
        <w:spacing w:after="0"/>
        <w:ind w:left="0"/>
        <w:jc w:val="both"/>
      </w:pPr>
      <w:r>
        <w:rPr>
          <w:rFonts w:ascii="Times New Roman"/>
          <w:b w:val="false"/>
          <w:i w:val="false"/>
          <w:color w:val="000000"/>
          <w:sz w:val="28"/>
        </w:rPr>
        <w:t>
      * сальдо на начало 2019 года показано без учета суммы начисленных и отсроченных расходов Национального фонда в размере 9326308 тысяч тенге, суммы 49 тысяч тенге - разницы и округления в финансовой отчетности за прошлые годы, составленной внешними аудиторами, и суммы 2378870875 тысяч тенге, являющейся суммой корректировки;</w:t>
      </w:r>
    </w:p>
    <w:bookmarkEnd w:id="17"/>
    <w:bookmarkStart w:name="z24" w:id="18"/>
    <w:p>
      <w:pPr>
        <w:spacing w:after="0"/>
        <w:ind w:left="0"/>
        <w:jc w:val="both"/>
      </w:pPr>
      <w:r>
        <w:rPr>
          <w:rFonts w:ascii="Times New Roman"/>
          <w:b w:val="false"/>
          <w:i w:val="false"/>
          <w:color w:val="000000"/>
          <w:sz w:val="28"/>
        </w:rPr>
        <w:t>
      ** сальдо на конец 2019 года показано без учета суммы начисленных и отсроченных расходов Национального фонда в размере 9692180 тысяч тенге, суммы 49 тысяч тенге - разницы и округления в финансовой отчетности за прошлые годы, составленной внешними аудиторами, и суммы 2353312883 тысячи тенге, являющейся суммой корректировки.</w:t>
      </w:r>
    </w:p>
    <w:bookmarkEnd w:id="18"/>
    <w:bookmarkStart w:name="z25" w:id="19"/>
    <w:p>
      <w:pPr>
        <w:spacing w:after="0"/>
        <w:ind w:left="0"/>
        <w:jc w:val="both"/>
      </w:pPr>
      <w:r>
        <w:rPr>
          <w:rFonts w:ascii="Times New Roman"/>
          <w:b w:val="false"/>
          <w:i w:val="false"/>
          <w:color w:val="000000"/>
          <w:sz w:val="28"/>
        </w:rPr>
        <w:t xml:space="preserve">
      На 1 января 2019 года средства Национального фонда составляли 26062038092 тысяч тенге (23673840860 тысяч тенге - методом начисления согласно аудированной финансовой отчетности), на 31 декабря 2019 года составляли 27469965290 тысяч тенге (25106960178 тысяч тенге - методом начисления согласно аудированной финансовой отчетности). </w:t>
      </w:r>
    </w:p>
    <w:bookmarkEnd w:id="19"/>
    <w:bookmarkStart w:name="z26" w:id="20"/>
    <w:p>
      <w:pPr>
        <w:spacing w:after="0"/>
        <w:ind w:left="0"/>
        <w:jc w:val="both"/>
      </w:pPr>
      <w:r>
        <w:rPr>
          <w:rFonts w:ascii="Times New Roman"/>
          <w:b w:val="false"/>
          <w:i w:val="false"/>
          <w:color w:val="000000"/>
          <w:sz w:val="28"/>
        </w:rPr>
        <w:t>
      За 2019 год в Национальный фонд поступило 2883434139 тысяч тенге, из которых 2837206845 тысяч тенге - за счет поступлений прямых налогов от организаций нефтяного сектора (за исключением налогов, зачисляемых в местные бюджеты), в том числе 1613794992 тысячи тенге (эквивалент 4227869 тысяч долларов США) являются поступлениями в иностранной валюте, зачисленными на соответствующий счет Национального фонда в тенге путем проведения операций последовательной конвертации/реконвертации день в день; других поступлений от операций, осуществляемых организациями нефтяного сектора (за исключением поступлений, зачисляемых в местные бюджеты) - 21986493 тысячи тенге, поступлений от продажи земельных участков сельскохозяйственного назначения - 222503 тысячи тенге и поступления от приватизации республиканской собственности в сумме - 16928307 тысяч тенге, поступления от передачи в конкурентную среду активов национальных управляющих холдингов, национальных холдингов, национальных компаний и их дочерних, зависимых и иных юридических лиц, являющихся аффилированными с ними, в порядке и по перечню, определяемым Правительством Республики Казахстан - 947920 тысяч тенге.</w:t>
      </w:r>
    </w:p>
    <w:bookmarkEnd w:id="20"/>
    <w:bookmarkStart w:name="z27" w:id="21"/>
    <w:p>
      <w:pPr>
        <w:spacing w:after="0"/>
        <w:ind w:left="0"/>
        <w:jc w:val="both"/>
      </w:pPr>
      <w:r>
        <w:rPr>
          <w:rFonts w:ascii="Times New Roman"/>
          <w:b w:val="false"/>
          <w:i w:val="false"/>
          <w:color w:val="000000"/>
          <w:sz w:val="28"/>
        </w:rPr>
        <w:t>
      В соответствии с Законом Республики Казахстан от 22 октября 2019 года "О внесении изменений в Закон Республики Казахстан "О республиканском бюджете на 2019 - 2021 годы" в 2019 году из республиканского бюджета в Национальный фонд был осуществлен возврат целевого трансферта, ранее полученного из Национального фонда в сумме 319577 тысяч тенге.</w:t>
      </w:r>
    </w:p>
    <w:bookmarkEnd w:id="21"/>
    <w:bookmarkStart w:name="z28" w:id="22"/>
    <w:p>
      <w:pPr>
        <w:spacing w:after="0"/>
        <w:ind w:left="0"/>
        <w:jc w:val="both"/>
      </w:pPr>
      <w:r>
        <w:rPr>
          <w:rFonts w:ascii="Times New Roman"/>
          <w:b w:val="false"/>
          <w:i w:val="false"/>
          <w:color w:val="000000"/>
          <w:sz w:val="28"/>
        </w:rPr>
        <w:t>
      В Национальный фонд поступило от акционерного общества "Фонд проблемных кредитов" 5822494 тысячи тенге от продажи финансовых активов.</w:t>
      </w:r>
    </w:p>
    <w:bookmarkEnd w:id="22"/>
    <w:bookmarkStart w:name="z29" w:id="23"/>
    <w:p>
      <w:pPr>
        <w:spacing w:after="0"/>
        <w:ind w:left="0"/>
        <w:jc w:val="both"/>
      </w:pPr>
      <w:r>
        <w:rPr>
          <w:rFonts w:ascii="Times New Roman"/>
          <w:b w:val="false"/>
          <w:i w:val="false"/>
          <w:color w:val="000000"/>
          <w:sz w:val="28"/>
        </w:rPr>
        <w:t>
      Начисленная сумма поступлений инвестиционного дохода от управления Национальным фондом с учетом курсовой корректировки составила 1608480366 тысяч тенге.</w:t>
      </w:r>
    </w:p>
    <w:bookmarkEnd w:id="23"/>
    <w:bookmarkStart w:name="z30" w:id="24"/>
    <w:p>
      <w:pPr>
        <w:spacing w:after="0"/>
        <w:ind w:left="0"/>
        <w:jc w:val="left"/>
      </w:pPr>
      <w:r>
        <w:rPr>
          <w:rFonts w:ascii="Times New Roman"/>
          <w:b/>
          <w:i w:val="false"/>
          <w:color w:val="000000"/>
        </w:rPr>
        <w:t xml:space="preserve"> Структура поступлений от организаций нефтяного сектора в Национальный фонд за 2019 год характеризуется следующими показателями:</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89"/>
        <w:gridCol w:w="4753"/>
        <w:gridCol w:w="2558"/>
      </w:tblGrid>
      <w:tr>
        <w:trPr>
          <w:trHeight w:val="30" w:hRule="atLeast"/>
        </w:trPr>
        <w:tc>
          <w:tcPr>
            <w:tcW w:w="4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налоговых/неналоговых поступлений</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 общем объеме (%)</w:t>
            </w:r>
          </w:p>
        </w:tc>
      </w:tr>
      <w:tr>
        <w:trPr>
          <w:trHeight w:val="30" w:hRule="atLeast"/>
        </w:trPr>
        <w:tc>
          <w:tcPr>
            <w:tcW w:w="4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Корпоративный подоходный налог с юридических лиц организаций нефтяного сектора</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1243162337</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43,48</w:t>
            </w:r>
          </w:p>
        </w:tc>
      </w:tr>
      <w:tr>
        <w:trPr>
          <w:trHeight w:val="30" w:hRule="atLeast"/>
        </w:trPr>
        <w:tc>
          <w:tcPr>
            <w:tcW w:w="4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Налог на сверхприбыль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109637970</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r>
      <w:tr>
        <w:trPr>
          <w:trHeight w:val="30" w:hRule="atLeast"/>
        </w:trPr>
        <w:tc>
          <w:tcPr>
            <w:tcW w:w="4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Бонусы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7153696</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r>
        <w:trPr>
          <w:trHeight w:val="30" w:hRule="atLeast"/>
        </w:trPr>
        <w:tc>
          <w:tcPr>
            <w:tcW w:w="4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Налог на добычу полезных ископаемых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339530086</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11,87</w:t>
            </w:r>
          </w:p>
        </w:tc>
      </w:tr>
      <w:tr>
        <w:trPr>
          <w:trHeight w:val="30" w:hRule="atLeast"/>
        </w:trPr>
        <w:tc>
          <w:tcPr>
            <w:tcW w:w="4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Рентный налог на экспорт</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431167645</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w:t>
            </w:r>
          </w:p>
        </w:tc>
      </w:tr>
      <w:tr>
        <w:trPr>
          <w:trHeight w:val="30" w:hRule="atLeast"/>
        </w:trPr>
        <w:tc>
          <w:tcPr>
            <w:tcW w:w="4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Республики Казахстан по разделу продукции от организаций нефтяного сектора</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644077416</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22,53</w:t>
            </w:r>
          </w:p>
        </w:tc>
      </w:tr>
      <w:tr>
        <w:trPr>
          <w:trHeight w:val="30" w:hRule="atLeast"/>
        </w:trPr>
        <w:tc>
          <w:tcPr>
            <w:tcW w:w="4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Дополнительный платеж недропользователя, осуществляющего деятельность по контракту о разделе продукции, и альтернативный налог на недропользование от организаций нефтяного сектора</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62477695</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r>
      <w:tr>
        <w:trPr>
          <w:trHeight w:val="30" w:hRule="atLeast"/>
        </w:trPr>
        <w:tc>
          <w:tcPr>
            <w:tcW w:w="4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штрафы, пени, санкции, взыскания, налагаемые центральными государственными органами, их территориальными подразделениями, на организации нефтяного сектора</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7418131</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r>
      <w:tr>
        <w:trPr>
          <w:trHeight w:val="30" w:hRule="atLeast"/>
        </w:trPr>
        <w:tc>
          <w:tcPr>
            <w:tcW w:w="4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штрафы, пени, санкции, взыскания, налагаемые государственными учреждениями, финансируемыми из республиканского бюджета, на организации нефтяного сектора</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11564936</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r>
      <w:tr>
        <w:trPr>
          <w:trHeight w:val="30" w:hRule="atLeast"/>
        </w:trPr>
        <w:tc>
          <w:tcPr>
            <w:tcW w:w="4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полученные от природопользователей по искам о возмещении вреда организациями нефтяного сектора</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3002921</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r>
      <w:tr>
        <w:trPr>
          <w:trHeight w:val="30" w:hRule="atLeast"/>
        </w:trPr>
        <w:tc>
          <w:tcPr>
            <w:tcW w:w="4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неналоговые поступления от организаций нефтяного сектора</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2859193338</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p>
      <w:pPr>
        <w:spacing w:after="0"/>
        <w:ind w:left="0"/>
        <w:jc w:val="left"/>
      </w:pPr>
      <w:r>
        <w:br/>
      </w:r>
      <w:r>
        <w:rPr>
          <w:rFonts w:ascii="Times New Roman"/>
          <w:b w:val="false"/>
          <w:i w:val="false"/>
          <w:color w:val="000000"/>
          <w:sz w:val="28"/>
        </w:rPr>
        <w:t>
</w:t>
      </w:r>
    </w:p>
    <w:bookmarkStart w:name="z31" w:id="25"/>
    <w:p>
      <w:pPr>
        <w:spacing w:after="0"/>
        <w:ind w:left="0"/>
        <w:jc w:val="both"/>
      </w:pPr>
      <w:r>
        <w:rPr>
          <w:rFonts w:ascii="Times New Roman"/>
          <w:b w:val="false"/>
          <w:i w:val="false"/>
          <w:color w:val="000000"/>
          <w:sz w:val="28"/>
        </w:rPr>
        <w:t>
      В поступлениях в Национальный фонд от организаций нефтяного сектора основную часть (43,48 %) занимает корпоративный подоходный налог с юридических лиц и доля Республики Казахстан по разделу продукции от организаций нефтяного сектора (22,53 %), доля которых составляет 66,01 % в общей сумме поступлений. В общей сумме поступлений рентный налог на экспорт составляют 15,08 %, налог на добычу полезных ископаемых - 11,87 %, налог на сверхприбыль - 3,84 % и дополнительный платеж недропользователя, осуществляющего деятельность по контракту о разделе продукции, и альтернативный налог на недропользование от организаций нефтяного сектора - 2,19 %.</w:t>
      </w:r>
    </w:p>
    <w:bookmarkEnd w:id="25"/>
    <w:bookmarkStart w:name="z32" w:id="26"/>
    <w:p>
      <w:pPr>
        <w:spacing w:after="0"/>
        <w:ind w:left="0"/>
        <w:jc w:val="both"/>
      </w:pPr>
      <w:r>
        <w:rPr>
          <w:rFonts w:ascii="Times New Roman"/>
          <w:b w:val="false"/>
          <w:i w:val="false"/>
          <w:color w:val="000000"/>
          <w:sz w:val="28"/>
        </w:rPr>
        <w:t>
      Кроме того, следует отметить, что из утвержденного перечня организаций нефтяного сектора на 2019 год (154 организаций) лишь 104 организаций осуществляли оплату прямых налогов в Национальный фонд.</w:t>
      </w:r>
    </w:p>
    <w:bookmarkEnd w:id="26"/>
    <w:bookmarkStart w:name="z33" w:id="27"/>
    <w:p>
      <w:pPr>
        <w:spacing w:after="0"/>
        <w:ind w:left="0"/>
        <w:jc w:val="both"/>
      </w:pPr>
      <w:r>
        <w:rPr>
          <w:rFonts w:ascii="Times New Roman"/>
          <w:b w:val="false"/>
          <w:i w:val="false"/>
          <w:color w:val="000000"/>
          <w:sz w:val="28"/>
        </w:rPr>
        <w:t>
      Согласно Закону Республики Казахстан от 30 ноября 2018 года "О республиканском бюджете на 2019 - 2021 годы" в 2019 году из Национального фонда в республиканский бюджет были перечислены 2700000000 тысяч тенге в виде гарантированного трансферта на финансирование расходов текущих бюджетных программ и бюджетных программ развития при плане 2700000000 тысяч тенге, что составляет 100 % от годового плана и 370000000 тысяч тенге в виде целевого трансферта, что составляет 100 % от утвержденной суммы на 2019 год.</w:t>
      </w:r>
    </w:p>
    <w:bookmarkEnd w:id="27"/>
    <w:bookmarkStart w:name="z34" w:id="28"/>
    <w:p>
      <w:pPr>
        <w:spacing w:after="0"/>
        <w:ind w:left="0"/>
        <w:jc w:val="both"/>
      </w:pPr>
      <w:r>
        <w:rPr>
          <w:rFonts w:ascii="Times New Roman"/>
          <w:b w:val="false"/>
          <w:i w:val="false"/>
          <w:color w:val="000000"/>
          <w:sz w:val="28"/>
        </w:rPr>
        <w:t>
      В 2019 году в соответствии с условиями эмиссий ценных бумаг, номинированных в тенге, от эмитентов были получены купонные вознаграждения на общую сумму 22563179 тысяч тенге, из них по облигациям акционерного общества "ФНБ "Самрук-Казына" - 21696084 тысячи тенге, по облигациям акционерного общества "НУХ "Байтерек" - 843095 тысячи тенге, по облигациям акционерного общества "НУХ "КазАгро" - 24000 тысяч тенге.</w:t>
      </w:r>
    </w:p>
    <w:bookmarkEnd w:id="28"/>
    <w:bookmarkStart w:name="z35" w:id="29"/>
    <w:p>
      <w:pPr>
        <w:spacing w:after="0"/>
        <w:ind w:left="0"/>
        <w:jc w:val="both"/>
      </w:pPr>
      <w:r>
        <w:rPr>
          <w:rFonts w:ascii="Times New Roman"/>
          <w:b w:val="false"/>
          <w:i w:val="false"/>
          <w:color w:val="000000"/>
          <w:sz w:val="28"/>
        </w:rPr>
        <w:t>
      Также, в 2019 году эмитентом акционерного общества "ФНБ "Самрук-Казына" было произведено досрочное погашение облигаций на общую сумму 53662257 тысяч тенге.</w:t>
      </w:r>
    </w:p>
    <w:bookmarkEnd w:id="29"/>
    <w:p>
      <w:pPr>
        <w:spacing w:after="0"/>
        <w:ind w:left="0"/>
        <w:jc w:val="left"/>
      </w:pPr>
    </w:p>
    <w:bookmarkStart w:name="z36" w:id="30"/>
    <w:p>
      <w:pPr>
        <w:spacing w:after="0"/>
        <w:ind w:left="0"/>
        <w:jc w:val="left"/>
      </w:pPr>
      <w:r>
        <w:rPr>
          <w:rFonts w:ascii="Times New Roman"/>
          <w:b/>
          <w:i w:val="false"/>
          <w:color w:val="000000"/>
        </w:rPr>
        <w:t xml:space="preserve"> Использование средств Национального фонда без учета средств, выделяемых в виде облигационных займов (миллиард тенге)</w:t>
      </w:r>
    </w:p>
    <w:bookmarkEnd w:id="30"/>
    <w:bookmarkStart w:name="z37" w:id="31"/>
    <w:p>
      <w:pPr>
        <w:spacing w:after="0"/>
        <w:ind w:left="0"/>
        <w:jc w:val="both"/>
      </w:pPr>
      <w:r>
        <w:rPr>
          <w:rFonts w:ascii="Times New Roman"/>
          <w:b w:val="false"/>
          <w:i w:val="false"/>
          <w:color w:val="000000"/>
          <w:sz w:val="28"/>
        </w:rPr>
        <w:t xml:space="preserve">
      </w:t>
      </w:r>
    </w:p>
    <w:bookmarkEnd w:id="31"/>
    <w:p>
      <w:pPr>
        <w:spacing w:after="0"/>
        <w:ind w:left="0"/>
        <w:jc w:val="both"/>
      </w:pPr>
      <w:r>
        <w:drawing>
          <wp:inline distT="0" distB="0" distL="0" distR="0">
            <wp:extent cx="7810500" cy="3581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581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8" w:id="32"/>
    <w:p>
      <w:pPr>
        <w:spacing w:after="0"/>
        <w:ind w:left="0"/>
        <w:jc w:val="both"/>
      </w:pPr>
      <w:r>
        <w:rPr>
          <w:rFonts w:ascii="Times New Roman"/>
          <w:b w:val="false"/>
          <w:i w:val="false"/>
          <w:color w:val="000000"/>
          <w:sz w:val="28"/>
        </w:rPr>
        <w:t>
      Следует отметить, что валютой Национального фонда является доллар США. За 2019 год поступления в Национальный фонд от организаций нефтяного сектора (2859193338 тысяч тенге) уменьшились по сравнению с 2018 годом (3211575218 тысяч тенге) на сумму 352381880 тысяч тенге или 11 %. Снижение поступлений налогов от организаций нефтяного сектора связано в основном со спадом цены на нефть на мировом рынке.</w:t>
      </w:r>
    </w:p>
    <w:bookmarkEnd w:id="3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9" w:id="33"/>
    <w:p>
      <w:pPr>
        <w:spacing w:after="0"/>
        <w:ind w:left="0"/>
        <w:jc w:val="left"/>
      </w:pPr>
      <w:r>
        <w:rPr>
          <w:rFonts w:ascii="Times New Roman"/>
          <w:b/>
          <w:i w:val="false"/>
          <w:color w:val="000000"/>
        </w:rPr>
        <w:t xml:space="preserve"> Поступления в Национальный фонд без учета инвестиционного дохода (миллиард тенге)</w:t>
      </w:r>
    </w:p>
    <w:bookmarkEnd w:id="33"/>
    <w:bookmarkStart w:name="z40" w:id="34"/>
    <w:p>
      <w:pPr>
        <w:spacing w:after="0"/>
        <w:ind w:left="0"/>
        <w:jc w:val="both"/>
      </w:pPr>
      <w:r>
        <w:rPr>
          <w:rFonts w:ascii="Times New Roman"/>
          <w:b w:val="false"/>
          <w:i w:val="false"/>
          <w:color w:val="000000"/>
          <w:sz w:val="28"/>
        </w:rPr>
        <w:t xml:space="preserve">
      </w:t>
      </w:r>
    </w:p>
    <w:bookmarkEnd w:id="34"/>
    <w:p>
      <w:pPr>
        <w:spacing w:after="0"/>
        <w:ind w:left="0"/>
        <w:jc w:val="both"/>
      </w:pPr>
      <w:r>
        <w:drawing>
          <wp:inline distT="0" distB="0" distL="0" distR="0">
            <wp:extent cx="7810500" cy="3543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3543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41" w:id="35"/>
    <w:p>
      <w:pPr>
        <w:spacing w:after="0"/>
        <w:ind w:left="0"/>
        <w:jc w:val="both"/>
      </w:pPr>
      <w:r>
        <w:rPr>
          <w:rFonts w:ascii="Times New Roman"/>
          <w:b w:val="false"/>
          <w:i w:val="false"/>
          <w:color w:val="000000"/>
          <w:sz w:val="28"/>
        </w:rPr>
        <w:t>
      Так в отчетном периоде суммарные активы Национального фонда увеличились по сравнению с 2018 годом на 6 % или на 3846 миллионов долларов США.</w:t>
      </w:r>
    </w:p>
    <w:bookmarkEnd w:id="35"/>
    <w:bookmarkStart w:name="z42" w:id="36"/>
    <w:p>
      <w:pPr>
        <w:spacing w:after="0"/>
        <w:ind w:left="0"/>
        <w:jc w:val="both"/>
      </w:pPr>
      <w:r>
        <w:rPr>
          <w:rFonts w:ascii="Times New Roman"/>
          <w:b w:val="false"/>
          <w:i w:val="false"/>
          <w:color w:val="000000"/>
          <w:sz w:val="28"/>
        </w:rPr>
        <w:t xml:space="preserve">
      </w:t>
      </w:r>
    </w:p>
    <w:bookmarkEnd w:id="36"/>
    <w:p>
      <w:pPr>
        <w:spacing w:after="0"/>
        <w:ind w:left="0"/>
        <w:jc w:val="both"/>
      </w:pPr>
      <w:r>
        <w:drawing>
          <wp:inline distT="0" distB="0" distL="0" distR="0">
            <wp:extent cx="7810500" cy="323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3238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3" w:id="37"/>
    <w:p>
      <w:pPr>
        <w:spacing w:after="0"/>
        <w:ind w:left="0"/>
        <w:jc w:val="both"/>
      </w:pPr>
      <w:r>
        <w:rPr>
          <w:rFonts w:ascii="Times New Roman"/>
          <w:b w:val="false"/>
          <w:i w:val="false"/>
          <w:color w:val="000000"/>
          <w:sz w:val="28"/>
        </w:rPr>
        <w:t>
      Остаток денег на текущем счете Национального фонда в тенге по состоянию на 31 декабря 2019 года составил 724730007 тысяч тенге.</w:t>
      </w:r>
    </w:p>
    <w:bookmarkEnd w:id="37"/>
    <w:bookmarkStart w:name="z44" w:id="38"/>
    <w:p>
      <w:pPr>
        <w:spacing w:after="0"/>
        <w:ind w:left="0"/>
        <w:jc w:val="left"/>
      </w:pPr>
      <w:r>
        <w:rPr>
          <w:rFonts w:ascii="Times New Roman"/>
          <w:b/>
          <w:i w:val="false"/>
          <w:color w:val="000000"/>
        </w:rPr>
        <w:t xml:space="preserve"> Глава 2. Отчет о деятельности Национального Банка Республики Казахстан по доверительному управлению Национальным фондом за 2019 год</w:t>
      </w:r>
    </w:p>
    <w:bookmarkEnd w:id="38"/>
    <w:bookmarkStart w:name="z45" w:id="39"/>
    <w:p>
      <w:pPr>
        <w:spacing w:after="0"/>
        <w:ind w:left="0"/>
        <w:jc w:val="both"/>
      </w:pPr>
      <w:r>
        <w:rPr>
          <w:rFonts w:ascii="Times New Roman"/>
          <w:b w:val="false"/>
          <w:i w:val="false"/>
          <w:color w:val="000000"/>
          <w:sz w:val="28"/>
        </w:rPr>
        <w:t>
      По результатам аудита Национального фонда, проведенного товариществом с ограниченной ответственностью "Делойт", финансовая отчетность признана достоверной и отражает финансовое положение Национального фонда как соответствующее международным стандартам финансовой отчетности.</w:t>
      </w:r>
    </w:p>
    <w:bookmarkEnd w:id="39"/>
    <w:bookmarkStart w:name="z46" w:id="40"/>
    <w:p>
      <w:pPr>
        <w:spacing w:after="0"/>
        <w:ind w:left="0"/>
        <w:jc w:val="both"/>
      </w:pPr>
      <w:r>
        <w:rPr>
          <w:rFonts w:ascii="Times New Roman"/>
          <w:b w:val="false"/>
          <w:i w:val="false"/>
          <w:color w:val="000000"/>
          <w:sz w:val="28"/>
        </w:rPr>
        <w:t>
      По состоянию на 31 декабря 2019 общая сумма кредиторской задолженности и начисленных неоплаченных расходов Национального фонда составила 108814203 тысячи тенге, из которых:</w:t>
      </w:r>
    </w:p>
    <w:bookmarkEnd w:id="40"/>
    <w:bookmarkStart w:name="z47" w:id="41"/>
    <w:p>
      <w:pPr>
        <w:spacing w:after="0"/>
        <w:ind w:left="0"/>
        <w:jc w:val="both"/>
      </w:pPr>
      <w:r>
        <w:rPr>
          <w:rFonts w:ascii="Times New Roman"/>
          <w:b w:val="false"/>
          <w:i w:val="false"/>
          <w:color w:val="000000"/>
          <w:sz w:val="28"/>
        </w:rPr>
        <w:t>
      1) 61214400 тысяч тенге - кредиторская задолженность по операциям Национального фонда в тенге;</w:t>
      </w:r>
    </w:p>
    <w:bookmarkEnd w:id="41"/>
    <w:bookmarkStart w:name="z48" w:id="42"/>
    <w:p>
      <w:pPr>
        <w:spacing w:after="0"/>
        <w:ind w:left="0"/>
        <w:jc w:val="both"/>
      </w:pPr>
      <w:r>
        <w:rPr>
          <w:rFonts w:ascii="Times New Roman"/>
          <w:b w:val="false"/>
          <w:i w:val="false"/>
          <w:color w:val="000000"/>
          <w:sz w:val="28"/>
        </w:rPr>
        <w:t>
      2) 37907623 тысячи тенге - кредиторская задолженность в иностранной валюте по инвестиционным операциям;</w:t>
      </w:r>
    </w:p>
    <w:bookmarkEnd w:id="42"/>
    <w:bookmarkStart w:name="z49" w:id="43"/>
    <w:p>
      <w:pPr>
        <w:spacing w:after="0"/>
        <w:ind w:left="0"/>
        <w:jc w:val="both"/>
      </w:pPr>
      <w:r>
        <w:rPr>
          <w:rFonts w:ascii="Times New Roman"/>
          <w:b w:val="false"/>
          <w:i w:val="false"/>
          <w:color w:val="000000"/>
          <w:sz w:val="28"/>
        </w:rPr>
        <w:t>
      3) 9692180 тысяч тенге - кредиторская задолженность в тенге за оказанные Национальному фонду услуги, из них:</w:t>
      </w:r>
    </w:p>
    <w:bookmarkEnd w:id="43"/>
    <w:bookmarkStart w:name="z50" w:id="44"/>
    <w:p>
      <w:pPr>
        <w:spacing w:after="0"/>
        <w:ind w:left="0"/>
        <w:jc w:val="both"/>
      </w:pPr>
      <w:r>
        <w:rPr>
          <w:rFonts w:ascii="Times New Roman"/>
          <w:b w:val="false"/>
          <w:i w:val="false"/>
          <w:color w:val="000000"/>
          <w:sz w:val="28"/>
        </w:rPr>
        <w:t>
      а) 8836740 тысяч тенге - комиссии за управление активами, в том числе:</w:t>
      </w:r>
    </w:p>
    <w:bookmarkEnd w:id="44"/>
    <w:bookmarkStart w:name="z51" w:id="45"/>
    <w:p>
      <w:pPr>
        <w:spacing w:after="0"/>
        <w:ind w:left="0"/>
        <w:jc w:val="both"/>
      </w:pPr>
      <w:r>
        <w:rPr>
          <w:rFonts w:ascii="Times New Roman"/>
          <w:b w:val="false"/>
          <w:i w:val="false"/>
          <w:color w:val="000000"/>
          <w:sz w:val="28"/>
        </w:rPr>
        <w:t>
      4885940 тысяч тенге - за услуги внешних управляющих Национального фонда;</w:t>
      </w:r>
    </w:p>
    <w:bookmarkEnd w:id="45"/>
    <w:bookmarkStart w:name="z52" w:id="46"/>
    <w:p>
      <w:pPr>
        <w:spacing w:after="0"/>
        <w:ind w:left="0"/>
        <w:jc w:val="both"/>
      </w:pPr>
      <w:r>
        <w:rPr>
          <w:rFonts w:ascii="Times New Roman"/>
          <w:b w:val="false"/>
          <w:i w:val="false"/>
          <w:color w:val="000000"/>
          <w:sz w:val="28"/>
        </w:rPr>
        <w:t>
      3950800 тысяч тенге - комиссионное вознаграждение Национального Банка;</w:t>
      </w:r>
    </w:p>
    <w:bookmarkEnd w:id="46"/>
    <w:bookmarkStart w:name="z53" w:id="47"/>
    <w:p>
      <w:pPr>
        <w:spacing w:after="0"/>
        <w:ind w:left="0"/>
        <w:jc w:val="both"/>
      </w:pPr>
      <w:r>
        <w:rPr>
          <w:rFonts w:ascii="Times New Roman"/>
          <w:b w:val="false"/>
          <w:i w:val="false"/>
          <w:color w:val="000000"/>
          <w:sz w:val="28"/>
        </w:rPr>
        <w:t>
      б) 855440 тысяч тенге - прочие начисленные расходы, в том числе:</w:t>
      </w:r>
    </w:p>
    <w:bookmarkEnd w:id="47"/>
    <w:bookmarkStart w:name="z54" w:id="48"/>
    <w:p>
      <w:pPr>
        <w:spacing w:after="0"/>
        <w:ind w:left="0"/>
        <w:jc w:val="both"/>
      </w:pPr>
      <w:r>
        <w:rPr>
          <w:rFonts w:ascii="Times New Roman"/>
          <w:b w:val="false"/>
          <w:i w:val="false"/>
          <w:color w:val="000000"/>
          <w:sz w:val="28"/>
        </w:rPr>
        <w:t>
      812940 тысяч тенге - за услуги кастодианов Национального фонда;</w:t>
      </w:r>
    </w:p>
    <w:bookmarkEnd w:id="48"/>
    <w:bookmarkStart w:name="z55" w:id="49"/>
    <w:p>
      <w:pPr>
        <w:spacing w:after="0"/>
        <w:ind w:left="0"/>
        <w:jc w:val="both"/>
      </w:pPr>
      <w:r>
        <w:rPr>
          <w:rFonts w:ascii="Times New Roman"/>
          <w:b w:val="false"/>
          <w:i w:val="false"/>
          <w:color w:val="000000"/>
          <w:sz w:val="28"/>
        </w:rPr>
        <w:t>
      42500 тысяч тенге - за услуги по аудиту Национального фонда.</w:t>
      </w:r>
    </w:p>
    <w:bookmarkEnd w:id="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1</w:t>
            </w:r>
          </w:p>
        </w:tc>
      </w:tr>
    </w:tbl>
    <w:bookmarkStart w:name="z57" w:id="50"/>
    <w:p>
      <w:pPr>
        <w:spacing w:after="0"/>
        <w:ind w:left="0"/>
        <w:jc w:val="left"/>
      </w:pPr>
      <w:r>
        <w:rPr>
          <w:rFonts w:ascii="Times New Roman"/>
          <w:b/>
          <w:i w:val="false"/>
          <w:color w:val="000000"/>
        </w:rPr>
        <w:t xml:space="preserve"> Отчет об активах и обязательствах Национального фонда (тысяч тенге)</w:t>
      </w:r>
    </w:p>
    <w:bookmarkEnd w:id="50"/>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00"/>
        <w:gridCol w:w="4400"/>
        <w:gridCol w:w="4400"/>
      </w:tblGrid>
      <w:tr>
        <w:trPr>
          <w:trHeight w:val="30" w:hRule="atLeast"/>
        </w:trPr>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статей</w:t>
            </w:r>
          </w:p>
        </w:tc>
        <w:tc>
          <w:tcPr>
            <w:tcW w:w="4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31.12.2019</w:t>
            </w:r>
          </w:p>
        </w:tc>
        <w:tc>
          <w:tcPr>
            <w:tcW w:w="4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31.12.2018</w:t>
            </w:r>
          </w:p>
        </w:tc>
      </w:tr>
      <w:tr>
        <w:trPr>
          <w:trHeight w:val="30" w:hRule="atLeast"/>
        </w:trPr>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w:t>
            </w:r>
          </w:p>
        </w:tc>
        <w:tc>
          <w:tcPr>
            <w:tcW w:w="4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средства и их эквиваленты</w:t>
            </w:r>
          </w:p>
        </w:tc>
        <w:tc>
          <w:tcPr>
            <w:tcW w:w="4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1365310110</w:t>
            </w:r>
          </w:p>
        </w:tc>
        <w:tc>
          <w:tcPr>
            <w:tcW w:w="4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2018469636</w:t>
            </w:r>
          </w:p>
        </w:tc>
      </w:tr>
      <w:tr>
        <w:trPr>
          <w:trHeight w:val="30" w:hRule="atLeast"/>
        </w:trPr>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средства, не доступные для пользования</w:t>
            </w:r>
          </w:p>
        </w:tc>
        <w:tc>
          <w:tcPr>
            <w:tcW w:w="4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234894972</w:t>
            </w:r>
          </w:p>
        </w:tc>
        <w:tc>
          <w:tcPr>
            <w:tcW w:w="4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237685180</w:t>
            </w:r>
          </w:p>
        </w:tc>
      </w:tr>
      <w:tr>
        <w:trPr>
          <w:trHeight w:val="30" w:hRule="atLeast"/>
        </w:trPr>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Золото</w:t>
            </w:r>
          </w:p>
        </w:tc>
        <w:tc>
          <w:tcPr>
            <w:tcW w:w="4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389696712</w:t>
            </w:r>
          </w:p>
        </w:tc>
        <w:tc>
          <w:tcPr>
            <w:tcW w:w="4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инструменты, учитываемые по справедливой стоимости через прибыль или убыток, за исключением производных финансовых инструментов:</w:t>
            </w:r>
          </w:p>
        </w:tc>
        <w:tc>
          <w:tcPr>
            <w:tcW w:w="4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находящиеся в собственности Национального фонда</w:t>
            </w:r>
          </w:p>
        </w:tc>
        <w:tc>
          <w:tcPr>
            <w:tcW w:w="4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22421262694</w:t>
            </w:r>
          </w:p>
        </w:tc>
        <w:tc>
          <w:tcPr>
            <w:tcW w:w="4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20730071751</w:t>
            </w:r>
          </w:p>
        </w:tc>
      </w:tr>
      <w:tr>
        <w:trPr>
          <w:trHeight w:val="30" w:hRule="atLeast"/>
        </w:trPr>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обремененные залогом по сделкам РЕПО</w:t>
            </w:r>
          </w:p>
        </w:tc>
        <w:tc>
          <w:tcPr>
            <w:tcW w:w="4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 оцениваемые по амортизированной стоимости</w:t>
            </w:r>
          </w:p>
        </w:tc>
        <w:tc>
          <w:tcPr>
            <w:tcW w:w="4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705074904</w:t>
            </w:r>
          </w:p>
        </w:tc>
        <w:tc>
          <w:tcPr>
            <w:tcW w:w="4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696927994</w:t>
            </w:r>
          </w:p>
        </w:tc>
      </w:tr>
      <w:tr>
        <w:trPr>
          <w:trHeight w:val="30" w:hRule="atLeast"/>
        </w:trPr>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Производные финансовые инструменты</w:t>
            </w:r>
          </w:p>
        </w:tc>
        <w:tc>
          <w:tcPr>
            <w:tcW w:w="4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2634646</w:t>
            </w:r>
          </w:p>
        </w:tc>
        <w:tc>
          <w:tcPr>
            <w:tcW w:w="4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8567587</w:t>
            </w:r>
          </w:p>
        </w:tc>
      </w:tr>
      <w:tr>
        <w:trPr>
          <w:trHeight w:val="30" w:hRule="atLeast"/>
        </w:trPr>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w:t>
            </w:r>
          </w:p>
        </w:tc>
        <w:tc>
          <w:tcPr>
            <w:tcW w:w="4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97653352</w:t>
            </w:r>
          </w:p>
        </w:tc>
        <w:tc>
          <w:tcPr>
            <w:tcW w:w="4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684034</w:t>
            </w:r>
          </w:p>
        </w:tc>
      </w:tr>
      <w:tr>
        <w:trPr>
          <w:trHeight w:val="30" w:hRule="atLeast"/>
        </w:trPr>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активов</w:t>
            </w:r>
          </w:p>
        </w:tc>
        <w:tc>
          <w:tcPr>
            <w:tcW w:w="4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25216527390</w:t>
            </w:r>
          </w:p>
        </w:tc>
        <w:tc>
          <w:tcPr>
            <w:tcW w:w="4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23692406182</w:t>
            </w:r>
          </w:p>
        </w:tc>
      </w:tr>
      <w:tr>
        <w:trPr>
          <w:trHeight w:val="30" w:hRule="atLeast"/>
        </w:trPr>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Обязательства </w:t>
            </w:r>
          </w:p>
        </w:tc>
        <w:tc>
          <w:tcPr>
            <w:tcW w:w="4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Производные финансовые инструменты</w:t>
            </w:r>
          </w:p>
        </w:tc>
        <w:tc>
          <w:tcPr>
            <w:tcW w:w="4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753009</w:t>
            </w:r>
          </w:p>
        </w:tc>
        <w:tc>
          <w:tcPr>
            <w:tcW w:w="4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7799716</w:t>
            </w:r>
          </w:p>
        </w:tc>
      </w:tr>
      <w:tr>
        <w:trPr>
          <w:trHeight w:val="30" w:hRule="atLeast"/>
        </w:trPr>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Кредиторская задолженность по сделкам РЕПО</w:t>
            </w:r>
          </w:p>
        </w:tc>
        <w:tc>
          <w:tcPr>
            <w:tcW w:w="4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Кредиторская задолженность и начисленные расходы</w:t>
            </w:r>
          </w:p>
        </w:tc>
        <w:tc>
          <w:tcPr>
            <w:tcW w:w="4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108814203</w:t>
            </w:r>
          </w:p>
        </w:tc>
        <w:tc>
          <w:tcPr>
            <w:tcW w:w="4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10765606</w:t>
            </w:r>
          </w:p>
        </w:tc>
      </w:tr>
      <w:tr>
        <w:trPr>
          <w:trHeight w:val="30" w:hRule="atLeast"/>
        </w:trPr>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обязательств</w:t>
            </w:r>
          </w:p>
        </w:tc>
        <w:tc>
          <w:tcPr>
            <w:tcW w:w="4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109567212</w:t>
            </w:r>
          </w:p>
        </w:tc>
        <w:tc>
          <w:tcPr>
            <w:tcW w:w="4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18565322</w:t>
            </w:r>
          </w:p>
        </w:tc>
      </w:tr>
      <w:tr>
        <w:trPr>
          <w:trHeight w:val="30" w:hRule="atLeast"/>
        </w:trPr>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Чистые активы</w:t>
            </w:r>
          </w:p>
        </w:tc>
        <w:tc>
          <w:tcPr>
            <w:tcW w:w="4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25106960178</w:t>
            </w:r>
          </w:p>
        </w:tc>
        <w:tc>
          <w:tcPr>
            <w:tcW w:w="4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23673840860</w:t>
            </w:r>
          </w:p>
        </w:tc>
      </w:tr>
    </w:tbl>
    <w:bookmarkStart w:name="z58" w:id="51"/>
    <w:p>
      <w:pPr>
        <w:spacing w:after="0"/>
        <w:ind w:left="0"/>
        <w:jc w:val="both"/>
      </w:pPr>
      <w:r>
        <w:rPr>
          <w:rFonts w:ascii="Times New Roman"/>
          <w:b w:val="false"/>
          <w:i w:val="false"/>
          <w:color w:val="000000"/>
          <w:sz w:val="28"/>
        </w:rPr>
        <w:t>
      На 31 декабря 2019 года общая сумма дебиторской задолженности Национального фонда составила 97653352 тысячи тенге, из которых:</w:t>
      </w:r>
    </w:p>
    <w:bookmarkEnd w:id="51"/>
    <w:bookmarkStart w:name="z59" w:id="52"/>
    <w:p>
      <w:pPr>
        <w:spacing w:after="0"/>
        <w:ind w:left="0"/>
        <w:jc w:val="both"/>
      </w:pPr>
      <w:r>
        <w:rPr>
          <w:rFonts w:ascii="Times New Roman"/>
          <w:b w:val="false"/>
          <w:i w:val="false"/>
          <w:color w:val="000000"/>
          <w:sz w:val="28"/>
        </w:rPr>
        <w:t>
      1) 61215911 тысяч тенге - дебиторская задолженность по операциям Национального фонда в тенге;</w:t>
      </w:r>
    </w:p>
    <w:bookmarkEnd w:id="52"/>
    <w:bookmarkStart w:name="z60" w:id="53"/>
    <w:p>
      <w:pPr>
        <w:spacing w:after="0"/>
        <w:ind w:left="0"/>
        <w:jc w:val="both"/>
      </w:pPr>
      <w:r>
        <w:rPr>
          <w:rFonts w:ascii="Times New Roman"/>
          <w:b w:val="false"/>
          <w:i w:val="false"/>
          <w:color w:val="000000"/>
          <w:sz w:val="28"/>
        </w:rPr>
        <w:t>
      2) 36437441 тысяча тенге - дебиторская задолженность в иностранной валюте по инвестиционным операциям.</w:t>
      </w:r>
    </w:p>
    <w:bookmarkEnd w:id="5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2</w:t>
            </w:r>
          </w:p>
        </w:tc>
      </w:tr>
    </w:tbl>
    <w:bookmarkStart w:name="z62" w:id="54"/>
    <w:p>
      <w:pPr>
        <w:spacing w:after="0"/>
        <w:ind w:left="0"/>
        <w:jc w:val="left"/>
      </w:pPr>
      <w:r>
        <w:rPr>
          <w:rFonts w:ascii="Times New Roman"/>
          <w:b/>
          <w:i w:val="false"/>
          <w:color w:val="000000"/>
        </w:rPr>
        <w:t xml:space="preserve"> Отчет о совокупном доходе Национального фонда (тысяч тенге)</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02"/>
        <w:gridCol w:w="3888"/>
        <w:gridCol w:w="4010"/>
      </w:tblGrid>
      <w:tr>
        <w:trPr>
          <w:trHeight w:val="30" w:hRule="atLeast"/>
        </w:trPr>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статей</w:t>
            </w:r>
          </w:p>
        </w:tc>
        <w:tc>
          <w:tcPr>
            <w:tcW w:w="3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год</w:t>
            </w:r>
          </w:p>
        </w:tc>
        <w:tc>
          <w:tcPr>
            <w:tcW w:w="4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год</w:t>
            </w:r>
          </w:p>
        </w:tc>
      </w:tr>
      <w:tr>
        <w:trPr>
          <w:trHeight w:val="30" w:hRule="atLeast"/>
        </w:trPr>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w:t>
            </w:r>
          </w:p>
        </w:tc>
        <w:tc>
          <w:tcPr>
            <w:tcW w:w="3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в виде вознаграждения</w:t>
            </w:r>
          </w:p>
        </w:tc>
        <w:tc>
          <w:tcPr>
            <w:tcW w:w="3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317633383</w:t>
            </w:r>
          </w:p>
        </w:tc>
        <w:tc>
          <w:tcPr>
            <w:tcW w:w="4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310005900</w:t>
            </w:r>
          </w:p>
        </w:tc>
      </w:tr>
      <w:tr>
        <w:trPr>
          <w:trHeight w:val="30" w:hRule="atLeast"/>
        </w:trPr>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в виде дивидендов</w:t>
            </w:r>
          </w:p>
        </w:tc>
        <w:tc>
          <w:tcPr>
            <w:tcW w:w="3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104877456</w:t>
            </w:r>
          </w:p>
        </w:tc>
        <w:tc>
          <w:tcPr>
            <w:tcW w:w="4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97241463</w:t>
            </w:r>
          </w:p>
        </w:tc>
      </w:tr>
      <w:tr>
        <w:trPr>
          <w:trHeight w:val="30" w:hRule="atLeast"/>
        </w:trPr>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Чистый доход/(убыток) от финансовых инструментов, учитываемых по справедливой стоимости через прибыль или убыток, за исключением форвардных валютных контрактов</w:t>
            </w:r>
          </w:p>
        </w:tc>
        <w:tc>
          <w:tcPr>
            <w:tcW w:w="3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1023340123</w:t>
            </w:r>
          </w:p>
        </w:tc>
        <w:tc>
          <w:tcPr>
            <w:tcW w:w="4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(221926393)</w:t>
            </w:r>
          </w:p>
        </w:tc>
      </w:tr>
      <w:tr>
        <w:trPr>
          <w:trHeight w:val="30" w:hRule="atLeast"/>
        </w:trPr>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Чистый доход/(убыток) от форвардных валютных контрактов</w:t>
            </w:r>
          </w:p>
        </w:tc>
        <w:tc>
          <w:tcPr>
            <w:tcW w:w="3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(105484)</w:t>
            </w:r>
          </w:p>
        </w:tc>
        <w:tc>
          <w:tcPr>
            <w:tcW w:w="4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(530625)</w:t>
            </w:r>
          </w:p>
        </w:tc>
      </w:tr>
      <w:tr>
        <w:trPr>
          <w:trHeight w:val="30" w:hRule="atLeast"/>
        </w:trPr>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Чистый доход/(убыток) от операций с иностранной валютой</w:t>
            </w:r>
          </w:p>
        </w:tc>
        <w:tc>
          <w:tcPr>
            <w:tcW w:w="3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249617384</w:t>
            </w:r>
          </w:p>
        </w:tc>
        <w:tc>
          <w:tcPr>
            <w:tcW w:w="4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(725102776)</w:t>
            </w:r>
          </w:p>
        </w:tc>
      </w:tr>
      <w:tr>
        <w:trPr>
          <w:trHeight w:val="30" w:hRule="atLeast"/>
        </w:trPr>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доходы</w:t>
            </w:r>
          </w:p>
        </w:tc>
        <w:tc>
          <w:tcPr>
            <w:tcW w:w="3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1695362862</w:t>
            </w:r>
          </w:p>
        </w:tc>
        <w:tc>
          <w:tcPr>
            <w:tcW w:w="4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(540312431)</w:t>
            </w:r>
          </w:p>
        </w:tc>
      </w:tr>
      <w:tr>
        <w:trPr>
          <w:trHeight w:val="30" w:hRule="atLeast"/>
        </w:trPr>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w:t>
            </w:r>
          </w:p>
        </w:tc>
        <w:tc>
          <w:tcPr>
            <w:tcW w:w="3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Комиссии за управление активами</w:t>
            </w:r>
          </w:p>
        </w:tc>
        <w:tc>
          <w:tcPr>
            <w:tcW w:w="3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(13001322)</w:t>
            </w:r>
          </w:p>
        </w:tc>
        <w:tc>
          <w:tcPr>
            <w:tcW w:w="4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(11373681)</w:t>
            </w:r>
          </w:p>
        </w:tc>
      </w:tr>
      <w:tr>
        <w:trPr>
          <w:trHeight w:val="30" w:hRule="atLeast"/>
        </w:trPr>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Расходы по оплате кастодиальных услуг </w:t>
            </w:r>
          </w:p>
        </w:tc>
        <w:tc>
          <w:tcPr>
            <w:tcW w:w="3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(1309276)</w:t>
            </w:r>
          </w:p>
        </w:tc>
        <w:tc>
          <w:tcPr>
            <w:tcW w:w="4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(999414)</w:t>
            </w:r>
          </w:p>
        </w:tc>
      </w:tr>
      <w:tr>
        <w:trPr>
          <w:trHeight w:val="30" w:hRule="atLeast"/>
        </w:trPr>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оплате аудиторских услуг</w:t>
            </w:r>
          </w:p>
        </w:tc>
        <w:tc>
          <w:tcPr>
            <w:tcW w:w="3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(42500)</w:t>
            </w:r>
          </w:p>
        </w:tc>
        <w:tc>
          <w:tcPr>
            <w:tcW w:w="4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(26000)</w:t>
            </w:r>
          </w:p>
        </w:tc>
      </w:tr>
      <w:tr>
        <w:trPr>
          <w:trHeight w:val="30" w:hRule="atLeast"/>
        </w:trPr>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оплате профессиональных услуг</w:t>
            </w:r>
          </w:p>
        </w:tc>
        <w:tc>
          <w:tcPr>
            <w:tcW w:w="3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оплате за использование программных продуктов и информационных баз данных</w:t>
            </w:r>
          </w:p>
        </w:tc>
        <w:tc>
          <w:tcPr>
            <w:tcW w:w="3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(15142)</w:t>
            </w:r>
          </w:p>
        </w:tc>
      </w:tr>
      <w:tr>
        <w:trPr>
          <w:trHeight w:val="30" w:hRule="atLeast"/>
        </w:trPr>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расходы</w:t>
            </w:r>
          </w:p>
        </w:tc>
        <w:tc>
          <w:tcPr>
            <w:tcW w:w="3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(14353179)</w:t>
            </w:r>
          </w:p>
        </w:tc>
        <w:tc>
          <w:tcPr>
            <w:tcW w:w="4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(12414237)</w:t>
            </w:r>
          </w:p>
        </w:tc>
      </w:tr>
      <w:tr>
        <w:trPr>
          <w:trHeight w:val="30" w:hRule="atLeast"/>
        </w:trPr>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 прибыль/(убыток)</w:t>
            </w:r>
          </w:p>
        </w:tc>
        <w:tc>
          <w:tcPr>
            <w:tcW w:w="3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1681009683</w:t>
            </w:r>
          </w:p>
        </w:tc>
        <w:tc>
          <w:tcPr>
            <w:tcW w:w="4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(552726668)</w:t>
            </w:r>
          </w:p>
        </w:tc>
      </w:tr>
      <w:tr>
        <w:trPr>
          <w:trHeight w:val="30" w:hRule="atLeast"/>
        </w:trPr>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Прочий совокупный доход/(убыток)</w:t>
            </w:r>
          </w:p>
        </w:tc>
        <w:tc>
          <w:tcPr>
            <w:tcW w:w="3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Курсовые разницы при пересчете</w:t>
            </w:r>
          </w:p>
        </w:tc>
        <w:tc>
          <w:tcPr>
            <w:tcW w:w="3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(86882496)</w:t>
            </w:r>
          </w:p>
        </w:tc>
        <w:tc>
          <w:tcPr>
            <w:tcW w:w="4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3062628148</w:t>
            </w:r>
          </w:p>
        </w:tc>
      </w:tr>
      <w:tr>
        <w:trPr>
          <w:trHeight w:val="30" w:hRule="atLeast"/>
        </w:trPr>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Прочий совокупный доход/(убыток)</w:t>
            </w:r>
          </w:p>
        </w:tc>
        <w:tc>
          <w:tcPr>
            <w:tcW w:w="3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(86882496)</w:t>
            </w:r>
          </w:p>
        </w:tc>
        <w:tc>
          <w:tcPr>
            <w:tcW w:w="4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3062628148</w:t>
            </w:r>
          </w:p>
        </w:tc>
      </w:tr>
      <w:tr>
        <w:trPr>
          <w:trHeight w:val="30" w:hRule="atLeast"/>
        </w:trPr>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совокупного дохода/(убытка) за период</w:t>
            </w:r>
          </w:p>
        </w:tc>
        <w:tc>
          <w:tcPr>
            <w:tcW w:w="3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1594127187</w:t>
            </w:r>
          </w:p>
        </w:tc>
        <w:tc>
          <w:tcPr>
            <w:tcW w:w="4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2509901480</w:t>
            </w:r>
          </w:p>
        </w:tc>
      </w:tr>
    </w:tbl>
    <w:p>
      <w:pPr>
        <w:spacing w:after="0"/>
        <w:ind w:left="0"/>
        <w:jc w:val="left"/>
      </w:pPr>
      <w:r>
        <w:br/>
      </w:r>
      <w:r>
        <w:rPr>
          <w:rFonts w:ascii="Times New Roman"/>
          <w:b w:val="false"/>
          <w:i w:val="false"/>
          <w:color w:val="000000"/>
          <w:sz w:val="28"/>
        </w:rPr>
        <w:t>
</w:t>
      </w:r>
    </w:p>
    <w:bookmarkStart w:name="z63" w:id="55"/>
    <w:p>
      <w:pPr>
        <w:spacing w:after="0"/>
        <w:ind w:left="0"/>
        <w:jc w:val="both"/>
      </w:pPr>
      <w:r>
        <w:rPr>
          <w:rFonts w:ascii="Times New Roman"/>
          <w:b w:val="false"/>
          <w:i w:val="false"/>
          <w:color w:val="000000"/>
          <w:sz w:val="28"/>
        </w:rPr>
        <w:t>
      По итогам доверительного управления Национальным фондом за 2019 год основные показатели составили:</w:t>
      </w:r>
    </w:p>
    <w:bookmarkEnd w:id="55"/>
    <w:bookmarkStart w:name="z64" w:id="56"/>
    <w:p>
      <w:pPr>
        <w:spacing w:after="0"/>
        <w:ind w:left="0"/>
        <w:jc w:val="both"/>
      </w:pPr>
      <w:r>
        <w:rPr>
          <w:rFonts w:ascii="Times New Roman"/>
          <w:b w:val="false"/>
          <w:i w:val="false"/>
          <w:color w:val="000000"/>
          <w:sz w:val="28"/>
        </w:rPr>
        <w:t>
      1) доход по результатам управления 1695362862 тысячи тенге;</w:t>
      </w:r>
    </w:p>
    <w:bookmarkEnd w:id="56"/>
    <w:bookmarkStart w:name="z65" w:id="57"/>
    <w:p>
      <w:pPr>
        <w:spacing w:after="0"/>
        <w:ind w:left="0"/>
        <w:jc w:val="both"/>
      </w:pPr>
      <w:r>
        <w:rPr>
          <w:rFonts w:ascii="Times New Roman"/>
          <w:b w:val="false"/>
          <w:i w:val="false"/>
          <w:color w:val="000000"/>
          <w:sz w:val="28"/>
        </w:rPr>
        <w:t>
      2) расходы от управления 14353179 тысяч тенге;</w:t>
      </w:r>
    </w:p>
    <w:bookmarkEnd w:id="57"/>
    <w:bookmarkStart w:name="z66" w:id="58"/>
    <w:p>
      <w:pPr>
        <w:spacing w:after="0"/>
        <w:ind w:left="0"/>
        <w:jc w:val="both"/>
      </w:pPr>
      <w:r>
        <w:rPr>
          <w:rFonts w:ascii="Times New Roman"/>
          <w:b w:val="false"/>
          <w:i w:val="false"/>
          <w:color w:val="000000"/>
          <w:sz w:val="28"/>
        </w:rPr>
        <w:t>
      3) отрицательная разница по переоценке (пересчету) в тенге 86882496 тысяч тенге.</w:t>
      </w:r>
    </w:p>
    <w:bookmarkEnd w:id="58"/>
    <w:bookmarkStart w:name="z67" w:id="59"/>
    <w:p>
      <w:pPr>
        <w:spacing w:after="0"/>
        <w:ind w:left="0"/>
        <w:jc w:val="both"/>
      </w:pPr>
      <w:r>
        <w:rPr>
          <w:rFonts w:ascii="Times New Roman"/>
          <w:b w:val="false"/>
          <w:i w:val="false"/>
          <w:color w:val="000000"/>
          <w:sz w:val="28"/>
        </w:rPr>
        <w:t>
      Таким образом, чистый доход за 2019 год составил 1681009683 тысячи тенге, общий совокупный доход до вычета расходов от управления Национальным фондом составил 1608480366 тысяч тенге, общий совокупный доход после вычета расходов от управления Национальным фондом - 1594127187 тысяч тенге.</w:t>
      </w:r>
    </w:p>
    <w:bookmarkEnd w:id="59"/>
    <w:bookmarkStart w:name="z68" w:id="60"/>
    <w:p>
      <w:pPr>
        <w:spacing w:after="0"/>
        <w:ind w:left="0"/>
        <w:jc w:val="both"/>
      </w:pPr>
      <w:r>
        <w:rPr>
          <w:rFonts w:ascii="Times New Roman"/>
          <w:b w:val="false"/>
          <w:i w:val="false"/>
          <w:color w:val="000000"/>
          <w:sz w:val="28"/>
        </w:rPr>
        <w:t>
      По данным глобального кастодиана Национального фонда за период с 1 января 2019 года по 31 декабря 2019 года образовался инвестиционный доход (реализованный и нереализованный), рассчитанный в базовой валюте - долларах США, который составил 4266629 тысяч долларов США. Скорректированный с учетом затрат на совершение сделок инвестиционный доход по данным глобального кастодиана Национального фонда за тот же период составил 4265014 тысяч долларов США.</w:t>
      </w:r>
    </w:p>
    <w:bookmarkEnd w:id="60"/>
    <w:bookmarkStart w:name="z69" w:id="61"/>
    <w:p>
      <w:pPr>
        <w:spacing w:after="0"/>
        <w:ind w:left="0"/>
        <w:jc w:val="both"/>
      </w:pPr>
      <w:r>
        <w:rPr>
          <w:rFonts w:ascii="Times New Roman"/>
          <w:b w:val="false"/>
          <w:i w:val="false"/>
          <w:color w:val="000000"/>
          <w:sz w:val="28"/>
        </w:rPr>
        <w:t>
      Со счета Национального фонда в течение 2019 года оплачены следующие расходы, связанные с управлением Национальным фондом, на общую сумму 13987307 тысяч тенге:</w:t>
      </w:r>
    </w:p>
    <w:bookmarkEnd w:id="61"/>
    <w:bookmarkStart w:name="z70" w:id="62"/>
    <w:p>
      <w:pPr>
        <w:spacing w:after="0"/>
        <w:ind w:left="0"/>
        <w:jc w:val="both"/>
      </w:pPr>
      <w:r>
        <w:rPr>
          <w:rFonts w:ascii="Times New Roman"/>
          <w:b w:val="false"/>
          <w:i w:val="false"/>
          <w:color w:val="000000"/>
          <w:sz w:val="28"/>
        </w:rPr>
        <w:t>
      1) 9921782 тысячи тенге - комиссионное вознаграждение Национального Банка за доверительное управление активами Национального фонда, в том числе 6331118 тысяч тенге за услуги 2019 года и 3590664 тысячи тенге - за услуги прошлых лет;</w:t>
      </w:r>
    </w:p>
    <w:bookmarkEnd w:id="62"/>
    <w:bookmarkStart w:name="z71" w:id="63"/>
    <w:p>
      <w:pPr>
        <w:spacing w:after="0"/>
        <w:ind w:left="0"/>
        <w:jc w:val="both"/>
      </w:pPr>
      <w:r>
        <w:rPr>
          <w:rFonts w:ascii="Times New Roman"/>
          <w:b w:val="false"/>
          <w:i w:val="false"/>
          <w:color w:val="000000"/>
          <w:sz w:val="28"/>
        </w:rPr>
        <w:t>
      2) 2848467 тысяч тенге - комиссионное вознаграждение внешних управляющих по доверительному управлению Национальным фондом, в том числе 146363 тысячи тенге - за услуги 2019 года и 2702104 тысячи тенге - за услуги прошлых лет;</w:t>
      </w:r>
    </w:p>
    <w:bookmarkEnd w:id="63"/>
    <w:bookmarkStart w:name="z72" w:id="64"/>
    <w:p>
      <w:pPr>
        <w:spacing w:after="0"/>
        <w:ind w:left="0"/>
        <w:jc w:val="both"/>
      </w:pPr>
      <w:r>
        <w:rPr>
          <w:rFonts w:ascii="Times New Roman"/>
          <w:b w:val="false"/>
          <w:i w:val="false"/>
          <w:color w:val="000000"/>
          <w:sz w:val="28"/>
        </w:rPr>
        <w:t>
      3) 1190897 тысяч тенге - за услуги кастодианов Национального фонда, в том числе 788260 тысяч тенге - за услуги, оказанные в 2019 году и 402637 тысяч тенге - за услуги прошлых лет;</w:t>
      </w:r>
    </w:p>
    <w:bookmarkEnd w:id="64"/>
    <w:bookmarkStart w:name="z73" w:id="65"/>
    <w:p>
      <w:pPr>
        <w:spacing w:after="0"/>
        <w:ind w:left="0"/>
        <w:jc w:val="both"/>
      </w:pPr>
      <w:r>
        <w:rPr>
          <w:rFonts w:ascii="Times New Roman"/>
          <w:b w:val="false"/>
          <w:i w:val="false"/>
          <w:color w:val="000000"/>
          <w:sz w:val="28"/>
        </w:rPr>
        <w:t>
      4) 26000 тысяч тенге - за услуги по проведению аудита Национального фонда прошлых лет;</w:t>
      </w:r>
    </w:p>
    <w:bookmarkEnd w:id="65"/>
    <w:bookmarkStart w:name="z74" w:id="66"/>
    <w:p>
      <w:pPr>
        <w:spacing w:after="0"/>
        <w:ind w:left="0"/>
        <w:jc w:val="both"/>
      </w:pPr>
      <w:r>
        <w:rPr>
          <w:rFonts w:ascii="Times New Roman"/>
          <w:b w:val="false"/>
          <w:i w:val="false"/>
          <w:color w:val="000000"/>
          <w:sz w:val="28"/>
        </w:rPr>
        <w:t>
      5) 161 тысяча тенге - за услуги акционерного общества "Центральный депозитарий ценных бумаг" по учету и хранению ценных бумаг, номинированных в тенге, в том числе 81 тысяча тенге - за услуги 2019 года и 80 тысяч тенге - за услуги прошлых лет.</w:t>
      </w:r>
    </w:p>
    <w:bookmarkEnd w:id="66"/>
    <w:bookmarkStart w:name="z75" w:id="67"/>
    <w:p>
      <w:pPr>
        <w:spacing w:after="0"/>
        <w:ind w:left="0"/>
        <w:jc w:val="both"/>
      </w:pPr>
      <w:r>
        <w:rPr>
          <w:rFonts w:ascii="Times New Roman"/>
          <w:b w:val="false"/>
          <w:i w:val="false"/>
          <w:color w:val="000000"/>
          <w:sz w:val="28"/>
        </w:rPr>
        <w:t>
      На 31 декабря 2019 года общая сумма начисленных расходов по управлению Национальным фондом составила 14353179 тысяч тенге, состоящая из следующих сумм:</w:t>
      </w:r>
    </w:p>
    <w:bookmarkEnd w:id="67"/>
    <w:bookmarkStart w:name="z76" w:id="68"/>
    <w:p>
      <w:pPr>
        <w:spacing w:after="0"/>
        <w:ind w:left="0"/>
        <w:jc w:val="both"/>
      </w:pPr>
      <w:r>
        <w:rPr>
          <w:rFonts w:ascii="Times New Roman"/>
          <w:b w:val="false"/>
          <w:i w:val="false"/>
          <w:color w:val="000000"/>
          <w:sz w:val="28"/>
        </w:rPr>
        <w:t>
      1) 10803570 тысяч тенге - комиссионное вознаграждение Национального Банка за доверительное управление активами Национального фонда;</w:t>
      </w:r>
    </w:p>
    <w:bookmarkEnd w:id="68"/>
    <w:bookmarkStart w:name="z77" w:id="69"/>
    <w:p>
      <w:pPr>
        <w:spacing w:after="0"/>
        <w:ind w:left="0"/>
        <w:jc w:val="both"/>
      </w:pPr>
      <w:r>
        <w:rPr>
          <w:rFonts w:ascii="Times New Roman"/>
          <w:b w:val="false"/>
          <w:i w:val="false"/>
          <w:color w:val="000000"/>
          <w:sz w:val="28"/>
        </w:rPr>
        <w:t>
      2) 2197752 тысячи тенге - за услуги внешних управляющих Национального фонда;</w:t>
      </w:r>
    </w:p>
    <w:bookmarkEnd w:id="69"/>
    <w:bookmarkStart w:name="z78" w:id="70"/>
    <w:p>
      <w:pPr>
        <w:spacing w:after="0"/>
        <w:ind w:left="0"/>
        <w:jc w:val="both"/>
      </w:pPr>
      <w:r>
        <w:rPr>
          <w:rFonts w:ascii="Times New Roman"/>
          <w:b w:val="false"/>
          <w:i w:val="false"/>
          <w:color w:val="000000"/>
          <w:sz w:val="28"/>
        </w:rPr>
        <w:t>
      3) 1309276 тысяч тенге - за услуги кастодианов Национального фонда;</w:t>
      </w:r>
    </w:p>
    <w:bookmarkEnd w:id="70"/>
    <w:bookmarkStart w:name="z79" w:id="71"/>
    <w:p>
      <w:pPr>
        <w:spacing w:after="0"/>
        <w:ind w:left="0"/>
        <w:jc w:val="both"/>
      </w:pPr>
      <w:r>
        <w:rPr>
          <w:rFonts w:ascii="Times New Roman"/>
          <w:b w:val="false"/>
          <w:i w:val="false"/>
          <w:color w:val="000000"/>
          <w:sz w:val="28"/>
        </w:rPr>
        <w:t>
      4) 42500 тысяч тенге - за услуги по аудиту Национального фонда;</w:t>
      </w:r>
    </w:p>
    <w:bookmarkEnd w:id="71"/>
    <w:bookmarkStart w:name="z80" w:id="72"/>
    <w:p>
      <w:pPr>
        <w:spacing w:after="0"/>
        <w:ind w:left="0"/>
        <w:jc w:val="both"/>
      </w:pPr>
      <w:r>
        <w:rPr>
          <w:rFonts w:ascii="Times New Roman"/>
          <w:b w:val="false"/>
          <w:i w:val="false"/>
          <w:color w:val="000000"/>
          <w:sz w:val="28"/>
        </w:rPr>
        <w:t>
      5) 81 тысяча тенге - за услуги акционерного общества "Центральный депозитарий ценных бумаг" по учету и хранению ценных бумаг, номинированных в тенге.</w:t>
      </w:r>
    </w:p>
    <w:bookmarkEnd w:id="7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3</w:t>
            </w:r>
          </w:p>
        </w:tc>
      </w:tr>
    </w:tbl>
    <w:bookmarkStart w:name="z82" w:id="73"/>
    <w:p>
      <w:pPr>
        <w:spacing w:after="0"/>
        <w:ind w:left="0"/>
        <w:jc w:val="left"/>
      </w:pPr>
      <w:r>
        <w:rPr>
          <w:rFonts w:ascii="Times New Roman"/>
          <w:b/>
          <w:i w:val="false"/>
          <w:color w:val="000000"/>
        </w:rPr>
        <w:t xml:space="preserve"> Отчет о движении денежных средств Национального фонда (тысяч тенге)</w:t>
      </w:r>
    </w:p>
    <w:bookmarkEnd w:id="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32"/>
        <w:gridCol w:w="4034"/>
        <w:gridCol w:w="4034"/>
      </w:tblGrid>
      <w:tr>
        <w:trPr>
          <w:trHeight w:val="30" w:hRule="atLeast"/>
        </w:trPr>
        <w:tc>
          <w:tcPr>
            <w:tcW w:w="4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статей</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год</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год</w:t>
            </w:r>
          </w:p>
        </w:tc>
      </w:tr>
      <w:tr>
        <w:trPr>
          <w:trHeight w:val="30" w:hRule="atLeast"/>
        </w:trPr>
        <w:tc>
          <w:tcPr>
            <w:tcW w:w="4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Движение денежных средств от операционной деятельности:</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 прибыль/(убыток)</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1681009683</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(552726668)</w:t>
            </w:r>
          </w:p>
        </w:tc>
      </w:tr>
      <w:tr>
        <w:trPr>
          <w:trHeight w:val="30" w:hRule="atLeast"/>
        </w:trPr>
        <w:tc>
          <w:tcPr>
            <w:tcW w:w="4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Корректировки на:</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Амортизацию (дисконта)/премии по облигациям казахстанских государственных компаний</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(36319814)</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(37067111)</w:t>
            </w:r>
          </w:p>
        </w:tc>
      </w:tr>
      <w:tr>
        <w:trPr>
          <w:trHeight w:val="30" w:hRule="atLeast"/>
        </w:trPr>
        <w:tc>
          <w:tcPr>
            <w:tcW w:w="4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в виде вознаграждения по сделкам РЕПО</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Нереализованный (доход)/убыток от финансовых инструментов, учитываемых по справедливой стоимости, изменения которой отражаются в составе прибыли или убытка за период</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(853990129)</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123868200</w:t>
            </w:r>
          </w:p>
        </w:tc>
      </w:tr>
      <w:tr>
        <w:trPr>
          <w:trHeight w:val="30" w:hRule="atLeast"/>
        </w:trPr>
        <w:tc>
          <w:tcPr>
            <w:tcW w:w="4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Движение денежных средств от операционной деятельности до изменений в операционных активах и обязательствах</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790699740</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(465925579)</w:t>
            </w:r>
          </w:p>
        </w:tc>
      </w:tr>
      <w:tr>
        <w:trPr>
          <w:trHeight w:val="30" w:hRule="atLeast"/>
        </w:trPr>
        <w:tc>
          <w:tcPr>
            <w:tcW w:w="4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(Увеличение)/уменьшение операционных активов:</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 блокировки денежных средств, недоступных для пользования</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2790208</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(237685180)</w:t>
            </w:r>
          </w:p>
        </w:tc>
      </w:tr>
      <w:tr>
        <w:trPr>
          <w:trHeight w:val="30" w:hRule="atLeast"/>
        </w:trPr>
        <w:tc>
          <w:tcPr>
            <w:tcW w:w="4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Финансовые инструменты, учитываемые по справедливой стоимости через прибыль или убыток, кроме производных финансовых инструментов </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(924083308)</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1052436573</w:t>
            </w:r>
          </w:p>
        </w:tc>
      </w:tr>
      <w:tr>
        <w:trPr>
          <w:trHeight w:val="30" w:hRule="atLeast"/>
        </w:trPr>
        <w:tc>
          <w:tcPr>
            <w:tcW w:w="4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Золото</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(389696712)</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Производные финансовые инструменты</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5932940</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(3201101)</w:t>
            </w:r>
          </w:p>
        </w:tc>
      </w:tr>
      <w:tr>
        <w:trPr>
          <w:trHeight w:val="30" w:hRule="atLeast"/>
        </w:trPr>
        <w:tc>
          <w:tcPr>
            <w:tcW w:w="4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(96969318)</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1817896</w:t>
            </w:r>
          </w:p>
        </w:tc>
      </w:tr>
      <w:tr>
        <w:trPr>
          <w:trHeight w:val="30" w:hRule="atLeast"/>
        </w:trPr>
        <w:tc>
          <w:tcPr>
            <w:tcW w:w="4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Увеличение/(уменьшение) операционных обязательств:</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Производные финансовые инструменты</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(7046707)</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5374267</w:t>
            </w:r>
          </w:p>
        </w:tc>
      </w:tr>
      <w:tr>
        <w:trPr>
          <w:trHeight w:val="30" w:hRule="atLeast"/>
        </w:trPr>
        <w:tc>
          <w:tcPr>
            <w:tcW w:w="4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Кредиторская задолженность по сделкам РЕПО</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Кредиторская задолженность и начисленные расходы</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98048596</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(5032075)</w:t>
            </w:r>
          </w:p>
        </w:tc>
      </w:tr>
      <w:tr>
        <w:trPr>
          <w:trHeight w:val="30" w:hRule="atLeast"/>
        </w:trPr>
        <w:tc>
          <w:tcPr>
            <w:tcW w:w="4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Чистое поступление/(использование) денежных средств от/(в) операционной деятельности</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(520324561)</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347784801</w:t>
            </w:r>
          </w:p>
        </w:tc>
      </w:tr>
      <w:tr>
        <w:trPr>
          <w:trHeight w:val="30" w:hRule="atLeast"/>
        </w:trPr>
        <w:tc>
          <w:tcPr>
            <w:tcW w:w="4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Движение денежных средств от инвестиционной деятельности:</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(Приобретение)/реализация или погашение облигаций казахстанских государственных компаний</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28172904</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143489360</w:t>
            </w:r>
          </w:p>
        </w:tc>
      </w:tr>
      <w:tr>
        <w:trPr>
          <w:trHeight w:val="30" w:hRule="atLeast"/>
        </w:trPr>
        <w:tc>
          <w:tcPr>
            <w:tcW w:w="4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Чистое поступление/(использование) денежных средств от/(в) инвестиционной деятельности</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28172904</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143489360</w:t>
            </w:r>
          </w:p>
        </w:tc>
      </w:tr>
      <w:tr>
        <w:trPr>
          <w:trHeight w:val="30" w:hRule="atLeast"/>
        </w:trPr>
        <w:tc>
          <w:tcPr>
            <w:tcW w:w="4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Движение денежных средств от финансовой деятельности:</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Поступления от Министерства финансов Республики Казахстан </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2877611645</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3233271993</w:t>
            </w:r>
          </w:p>
        </w:tc>
      </w:tr>
      <w:tr>
        <w:trPr>
          <w:trHeight w:val="30" w:hRule="atLeast"/>
        </w:trPr>
        <w:tc>
          <w:tcPr>
            <w:tcW w:w="4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Перечисления в республиканский бюджет </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(3070000000)</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(2600000000)</w:t>
            </w:r>
          </w:p>
        </w:tc>
      </w:tr>
      <w:tr>
        <w:trPr>
          <w:trHeight w:val="30" w:hRule="atLeast"/>
        </w:trPr>
        <w:tc>
          <w:tcPr>
            <w:tcW w:w="4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ранее изъятых средств</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25557992</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18553665</w:t>
            </w:r>
          </w:p>
        </w:tc>
      </w:tr>
      <w:tr>
        <w:trPr>
          <w:trHeight w:val="30" w:hRule="atLeast"/>
        </w:trPr>
        <w:tc>
          <w:tcPr>
            <w:tcW w:w="4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поступления</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5822494</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Чистое поступление/(использование) денежных средств от/(в) финансовой деятельности</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(161007869)</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651825658</w:t>
            </w:r>
          </w:p>
        </w:tc>
      </w:tr>
      <w:tr>
        <w:trPr>
          <w:trHeight w:val="30" w:hRule="atLeast"/>
        </w:trPr>
        <w:tc>
          <w:tcPr>
            <w:tcW w:w="4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Чистое увеличение/(уменьшение) денежных средств и их эквивалентов</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(653159526)</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1143099819</w:t>
            </w:r>
          </w:p>
        </w:tc>
      </w:tr>
      <w:tr>
        <w:trPr>
          <w:trHeight w:val="30" w:hRule="atLeast"/>
        </w:trPr>
        <w:tc>
          <w:tcPr>
            <w:tcW w:w="4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средства и их эквиваленты на начало периода</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2018469636</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875369817</w:t>
            </w:r>
          </w:p>
        </w:tc>
      </w:tr>
      <w:tr>
        <w:trPr>
          <w:trHeight w:val="30" w:hRule="atLeast"/>
        </w:trPr>
        <w:tc>
          <w:tcPr>
            <w:tcW w:w="4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средства и их эквиваленты на конец периода</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1365310110</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2018469636</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4</w:t>
            </w:r>
          </w:p>
        </w:tc>
      </w:tr>
    </w:tbl>
    <w:bookmarkStart w:name="z84" w:id="74"/>
    <w:p>
      <w:pPr>
        <w:spacing w:after="0"/>
        <w:ind w:left="0"/>
        <w:jc w:val="left"/>
      </w:pPr>
      <w:r>
        <w:rPr>
          <w:rFonts w:ascii="Times New Roman"/>
          <w:b/>
          <w:i w:val="false"/>
          <w:color w:val="000000"/>
        </w:rPr>
        <w:t xml:space="preserve"> Отчет об изменениях в чистых активах Национального фонда (тысяч тенге)</w:t>
      </w:r>
    </w:p>
    <w:bookmarkEnd w:id="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51"/>
        <w:gridCol w:w="2094"/>
        <w:gridCol w:w="2331"/>
        <w:gridCol w:w="1976"/>
        <w:gridCol w:w="2094"/>
        <w:gridCol w:w="2154"/>
      </w:tblGrid>
      <w:tr>
        <w:trPr>
          <w:trHeight w:val="30" w:hRule="atLeast"/>
        </w:trPr>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Перечисления</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 прибыль/ (убыток)</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по переоценке валюты</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на 31 декабря 2017 года</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26815772863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(21778172695)</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2258525000</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13215988554</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20512113722 </w:t>
            </w:r>
          </w:p>
        </w:tc>
      </w:tr>
      <w:tr>
        <w:trPr>
          <w:trHeight w:val="30" w:hRule="atLeast"/>
        </w:trPr>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Чистая прибыль/(убыток)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(552726668)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(552726668) </w:t>
            </w:r>
          </w:p>
        </w:tc>
      </w:tr>
      <w:tr>
        <w:trPr>
          <w:trHeight w:val="30" w:hRule="atLeast"/>
        </w:trPr>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Прочий совокупный доход</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Статьи, которые не могут быть впоследствии реклассифицированы в состав прибыли или убытка:</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 переоценки валюты на начальное сальдо чистых активов</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3201526611</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3201526611</w:t>
            </w:r>
          </w:p>
        </w:tc>
      </w:tr>
      <w:tr>
        <w:trPr>
          <w:trHeight w:val="30" w:hRule="atLeast"/>
        </w:trPr>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 переоценки валюты на чистую прибыль/(убыток) и прочие перемещения</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(138898463)</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(138898463)</w:t>
            </w:r>
          </w:p>
        </w:tc>
      </w:tr>
      <w:tr>
        <w:trPr>
          <w:trHeight w:val="30" w:hRule="atLeast"/>
        </w:trPr>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статей, которые не могут быть впоследствии реклассифицированы в состав прибыли или убытка</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3062628148</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3062628148</w:t>
            </w:r>
          </w:p>
        </w:tc>
      </w:tr>
      <w:tr>
        <w:trPr>
          <w:trHeight w:val="30" w:hRule="atLeast"/>
        </w:trPr>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прочего совокупного дохода за период</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(552726668)</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3062628148</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2509901480 </w:t>
            </w:r>
          </w:p>
        </w:tc>
      </w:tr>
      <w:tr>
        <w:trPr>
          <w:trHeight w:val="30" w:hRule="atLeast"/>
        </w:trPr>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собственниками, отраженные непосредственно в составе чистых активов</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Поступления от Министерства финансов Республики Казахстан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3233271993</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3233271993 </w:t>
            </w:r>
          </w:p>
        </w:tc>
      </w:tr>
      <w:tr>
        <w:trPr>
          <w:trHeight w:val="30" w:hRule="atLeast"/>
        </w:trPr>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Перечисления в республиканский бюджет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(2600000000)</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(2600000000)</w:t>
            </w:r>
          </w:p>
        </w:tc>
      </w:tr>
      <w:tr>
        <w:trPr>
          <w:trHeight w:val="30" w:hRule="atLeast"/>
        </w:trPr>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ранее изъятых средств</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18553665</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18553665 </w:t>
            </w:r>
          </w:p>
        </w:tc>
      </w:tr>
      <w:tr>
        <w:trPr>
          <w:trHeight w:val="30" w:hRule="atLeast"/>
        </w:trPr>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операций с собственниками, отраженных непосредственно в составе чистых активов</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3251825658</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(2600000000)</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651825658</w:t>
            </w:r>
          </w:p>
        </w:tc>
      </w:tr>
      <w:tr>
        <w:trPr>
          <w:trHeight w:val="30" w:hRule="atLeast"/>
        </w:trPr>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на 31 декабря 2018 года</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30067598521</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(24378172695)</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1705798332</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16278616702</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23673840860</w:t>
            </w:r>
          </w:p>
        </w:tc>
      </w:tr>
      <w:tr>
        <w:trPr>
          <w:trHeight w:val="30" w:hRule="atLeast"/>
        </w:trPr>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Чистая прибыль/(убыток)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1681009683</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1681009683</w:t>
            </w:r>
          </w:p>
        </w:tc>
      </w:tr>
      <w:tr>
        <w:trPr>
          <w:trHeight w:val="30" w:hRule="atLeast"/>
        </w:trPr>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Прочий совокупный доход</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Статьи, которые не могут быть впоследствии реклассифицированы в состав прибыли или убытка:</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 переоценки валюты на начальное сальдо чистых активов</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(99205840) </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(99205840) </w:t>
            </w:r>
          </w:p>
        </w:tc>
      </w:tr>
      <w:tr>
        <w:trPr>
          <w:trHeight w:val="30" w:hRule="atLeast"/>
        </w:trPr>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 переоценки валюты на чистую прибыль/(убыток) и прочие перемещения</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12323344</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12323344</w:t>
            </w:r>
          </w:p>
        </w:tc>
      </w:tr>
      <w:tr>
        <w:trPr>
          <w:trHeight w:val="30" w:hRule="atLeast"/>
        </w:trPr>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статей, которые не могут быть впоследствии реклассифицированы в состав прибыли или убытка</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(86882496) </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(86882496)</w:t>
            </w:r>
          </w:p>
        </w:tc>
      </w:tr>
      <w:tr>
        <w:trPr>
          <w:trHeight w:val="30" w:hRule="atLeast"/>
        </w:trPr>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прочего совокупного дохода за период</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1681009683</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(86882496)</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1594127187</w:t>
            </w:r>
          </w:p>
        </w:tc>
      </w:tr>
      <w:tr>
        <w:trPr>
          <w:trHeight w:val="30" w:hRule="atLeast"/>
        </w:trPr>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собственниками, отраженные непосредственно в составе чистых активов</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Поступления от Министерства финансов Республики Казахстан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2877611645</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2877611645 </w:t>
            </w:r>
          </w:p>
        </w:tc>
      </w:tr>
      <w:tr>
        <w:trPr>
          <w:trHeight w:val="30" w:hRule="atLeast"/>
        </w:trPr>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Перечисления в республиканский бюджет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(3070000000)</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(3070000000)</w:t>
            </w:r>
          </w:p>
        </w:tc>
      </w:tr>
      <w:tr>
        <w:trPr>
          <w:trHeight w:val="30" w:hRule="atLeast"/>
        </w:trPr>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ранее изъятых средств</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25557992</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25557992</w:t>
            </w:r>
          </w:p>
        </w:tc>
      </w:tr>
      <w:tr>
        <w:trPr>
          <w:trHeight w:val="30" w:hRule="atLeast"/>
        </w:trPr>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поступления</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5822494</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5822494</w:t>
            </w:r>
          </w:p>
        </w:tc>
      </w:tr>
      <w:tr>
        <w:trPr>
          <w:trHeight w:val="30" w:hRule="atLeast"/>
        </w:trPr>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операций с собственниками, отраженных непосредственно в составе чистых активов</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2908992131</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(3070000000)</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(161007869)</w:t>
            </w:r>
          </w:p>
        </w:tc>
      </w:tr>
      <w:tr>
        <w:trPr>
          <w:trHeight w:val="30" w:hRule="atLeast"/>
        </w:trPr>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на 31 декабря 2019 года</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32976590652</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(27448172695)</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3386808015</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16191734206</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25106960178</w:t>
            </w:r>
          </w:p>
        </w:tc>
      </w:tr>
    </w:tbl>
    <w:bookmarkStart w:name="z85" w:id="75"/>
    <w:p>
      <w:pPr>
        <w:spacing w:after="0"/>
        <w:ind w:left="0"/>
        <w:jc w:val="both"/>
      </w:pPr>
      <w:r>
        <w:rPr>
          <w:rFonts w:ascii="Times New Roman"/>
          <w:b w:val="false"/>
          <w:i w:val="false"/>
          <w:color w:val="000000"/>
          <w:sz w:val="28"/>
        </w:rPr>
        <w:t xml:space="preserve">
      Чистые активы Национального фонда по состоянию на 31 декабря 2019 года составили 25106960178 тысяч тенге (методом начисления согласно аудированной финансовой отчетности), наблюдается повышение на 6,05 %. </w:t>
      </w:r>
    </w:p>
    <w:bookmarkEnd w:id="75"/>
    <w:bookmarkStart w:name="z86" w:id="76"/>
    <w:p>
      <w:pPr>
        <w:spacing w:after="0"/>
        <w:ind w:left="0"/>
        <w:jc w:val="left"/>
      </w:pPr>
      <w:r>
        <w:rPr>
          <w:rFonts w:ascii="Times New Roman"/>
          <w:b/>
          <w:i w:val="false"/>
          <w:color w:val="000000"/>
        </w:rPr>
        <w:t xml:space="preserve"> Глава 3. Иные данные по управлению Национальным фондом за 2019 год</w:t>
      </w:r>
    </w:p>
    <w:bookmarkEnd w:id="76"/>
    <w:bookmarkStart w:name="z87" w:id="77"/>
    <w:p>
      <w:pPr>
        <w:spacing w:after="0"/>
        <w:ind w:left="0"/>
        <w:jc w:val="both"/>
      </w:pPr>
      <w:r>
        <w:rPr>
          <w:rFonts w:ascii="Times New Roman"/>
          <w:b w:val="false"/>
          <w:i w:val="false"/>
          <w:color w:val="000000"/>
          <w:sz w:val="28"/>
        </w:rPr>
        <w:t>
      Суммарная рыночная стоимость валютного портфеля Национального фонда и тенгового портфеля облигаций казахстанских эмитентов, а также остатка на тенговом счете на 31 декабря 2019 года была равна 65488999833 долларам США, в том числе валютного портфеля - 61751827115 долларов США (94,29 %), тенгового портфеля облигаций - эквивалент 1842899458 долларов США (2,81 %), остатка на тенговом счете - 1894273260 долларов США (2,89 %). Рыночные стоимости стабилизационного и сберегательного портфелей в составе валютного портфеля Национального фонда составили 8901727157 долларов США (14,41 %) и 52850099958 долларов США (85,59 %) соответственно.</w:t>
      </w:r>
    </w:p>
    <w:bookmarkEnd w:id="77"/>
    <w:bookmarkStart w:name="z88" w:id="78"/>
    <w:p>
      <w:pPr>
        <w:spacing w:after="0"/>
        <w:ind w:left="0"/>
        <w:jc w:val="both"/>
      </w:pPr>
      <w:r>
        <w:rPr>
          <w:rFonts w:ascii="Times New Roman"/>
          <w:b w:val="false"/>
          <w:i w:val="false"/>
          <w:color w:val="000000"/>
          <w:sz w:val="28"/>
        </w:rPr>
        <w:t xml:space="preserve">
      Рыночная стоимость ценных бумаг и других финансовых инструментов, входящих в состав валютного портфеля Национального фонда, основывается на данных глобального кастодиана. </w:t>
      </w:r>
    </w:p>
    <w:bookmarkEnd w:id="78"/>
    <w:bookmarkStart w:name="z89" w:id="79"/>
    <w:p>
      <w:pPr>
        <w:spacing w:after="0"/>
        <w:ind w:left="0"/>
        <w:jc w:val="left"/>
      </w:pPr>
      <w:r>
        <w:rPr>
          <w:rFonts w:ascii="Times New Roman"/>
          <w:b/>
          <w:i w:val="false"/>
          <w:color w:val="000000"/>
        </w:rPr>
        <w:t xml:space="preserve"> Структура распределения валютных активов Национального фонда</w:t>
      </w:r>
    </w:p>
    <w:bookmarkEnd w:id="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6"/>
        <w:gridCol w:w="6427"/>
        <w:gridCol w:w="4617"/>
      </w:tblGrid>
      <w:tr>
        <w:trPr>
          <w:trHeight w:val="30" w:hRule="atLeast"/>
        </w:trPr>
        <w:tc>
          <w:tcPr>
            <w:tcW w:w="12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мандата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0" w:type="auto"/>
            <w:vMerge/>
            <w:tcBorders>
              <w:top w:val="nil"/>
              <w:left w:val="single" w:color="cfcfcf" w:sz="5"/>
              <w:bottom w:val="single" w:color="cfcfcf" w:sz="5"/>
              <w:right w:val="single" w:color="cfcfcf" w:sz="5"/>
            </w:tcBorders>
          </w:tcPr>
          <w:p/>
        </w:tc>
        <w:tc>
          <w:tcPr>
            <w:tcW w:w="6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Рыночная стоимость в USD</w:t>
            </w:r>
          </w:p>
        </w:tc>
        <w:tc>
          <w:tcPr>
            <w:tcW w:w="4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облигации развитых стран</w:t>
            </w:r>
          </w:p>
        </w:tc>
        <w:tc>
          <w:tcPr>
            <w:tcW w:w="6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36497072853</w:t>
            </w:r>
          </w:p>
        </w:tc>
        <w:tc>
          <w:tcPr>
            <w:tcW w:w="4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59,10 %</w:t>
            </w:r>
          </w:p>
        </w:tc>
      </w:tr>
      <w:tr>
        <w:trPr>
          <w:trHeight w:val="30" w:hRule="atLeast"/>
        </w:trPr>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облигации развивающихся стран</w:t>
            </w:r>
          </w:p>
        </w:tc>
        <w:tc>
          <w:tcPr>
            <w:tcW w:w="6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1198092314</w:t>
            </w:r>
          </w:p>
        </w:tc>
        <w:tc>
          <w:tcPr>
            <w:tcW w:w="4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w:t>
            </w:r>
          </w:p>
        </w:tc>
      </w:tr>
      <w:tr>
        <w:trPr>
          <w:trHeight w:val="30" w:hRule="atLeast"/>
        </w:trPr>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Корпоративные облигации</w:t>
            </w:r>
          </w:p>
        </w:tc>
        <w:tc>
          <w:tcPr>
            <w:tcW w:w="6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453042051</w:t>
            </w:r>
          </w:p>
        </w:tc>
        <w:tc>
          <w:tcPr>
            <w:tcW w:w="4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0,73 %</w:t>
            </w:r>
          </w:p>
        </w:tc>
      </w:tr>
      <w:tr>
        <w:trPr>
          <w:trHeight w:val="30" w:hRule="atLeast"/>
        </w:trPr>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Денежный рынок</w:t>
            </w:r>
          </w:p>
        </w:tc>
        <w:tc>
          <w:tcPr>
            <w:tcW w:w="6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8901727157</w:t>
            </w:r>
          </w:p>
        </w:tc>
        <w:tc>
          <w:tcPr>
            <w:tcW w:w="4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14,42 %</w:t>
            </w:r>
          </w:p>
        </w:tc>
      </w:tr>
      <w:tr>
        <w:trPr>
          <w:trHeight w:val="30" w:hRule="atLeast"/>
        </w:trPr>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w:t>
            </w:r>
          </w:p>
        </w:tc>
        <w:tc>
          <w:tcPr>
            <w:tcW w:w="6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12814916980</w:t>
            </w:r>
          </w:p>
        </w:tc>
        <w:tc>
          <w:tcPr>
            <w:tcW w:w="4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20,75 %</w:t>
            </w:r>
          </w:p>
        </w:tc>
      </w:tr>
      <w:tr>
        <w:trPr>
          <w:trHeight w:val="30" w:hRule="atLeast"/>
        </w:trPr>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Глобальное тактическое распределение</w:t>
            </w:r>
          </w:p>
        </w:tc>
        <w:tc>
          <w:tcPr>
            <w:tcW w:w="6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868400487</w:t>
            </w:r>
          </w:p>
        </w:tc>
        <w:tc>
          <w:tcPr>
            <w:tcW w:w="4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w:t>
            </w:r>
          </w:p>
        </w:tc>
      </w:tr>
      <w:tr>
        <w:trPr>
          <w:trHeight w:val="30" w:hRule="atLeast"/>
        </w:trPr>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Портфель золота</w:t>
            </w:r>
          </w:p>
        </w:tc>
        <w:tc>
          <w:tcPr>
            <w:tcW w:w="6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1018575272</w:t>
            </w:r>
          </w:p>
        </w:tc>
        <w:tc>
          <w:tcPr>
            <w:tcW w:w="4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w:t>
            </w:r>
          </w:p>
        </w:tc>
      </w:tr>
      <w:tr>
        <w:trPr>
          <w:trHeight w:val="30" w:hRule="atLeast"/>
        </w:trPr>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6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61751827115</w:t>
            </w:r>
          </w:p>
        </w:tc>
        <w:tc>
          <w:tcPr>
            <w:tcW w:w="4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100,00 %</w:t>
            </w:r>
          </w:p>
        </w:tc>
      </w:tr>
    </w:tbl>
    <w:p>
      <w:pPr>
        <w:spacing w:after="0"/>
        <w:ind w:left="0"/>
        <w:jc w:val="left"/>
      </w:pPr>
      <w:r>
        <w:br/>
      </w:r>
      <w:r>
        <w:rPr>
          <w:rFonts w:ascii="Times New Roman"/>
          <w:b w:val="false"/>
          <w:i w:val="false"/>
          <w:color w:val="000000"/>
          <w:sz w:val="28"/>
        </w:rPr>
        <w:t>
</w:t>
      </w:r>
    </w:p>
    <w:bookmarkStart w:name="z90" w:id="80"/>
    <w:p>
      <w:pPr>
        <w:spacing w:after="0"/>
        <w:ind w:left="0"/>
        <w:jc w:val="left"/>
      </w:pPr>
      <w:r>
        <w:rPr>
          <w:rFonts w:ascii="Times New Roman"/>
          <w:b/>
          <w:i w:val="false"/>
          <w:color w:val="000000"/>
        </w:rPr>
        <w:t xml:space="preserve"> Динамика распределения активов стабилизационного портфеля</w:t>
      </w:r>
    </w:p>
    <w:bookmarkEnd w:id="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0"/>
        <w:gridCol w:w="2840"/>
        <w:gridCol w:w="2840"/>
        <w:gridCol w:w="2840"/>
        <w:gridCol w:w="2840"/>
      </w:tblGrid>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Классы активов</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и инструменты денежного рынка</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68,15 %</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77,58 %</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87,11 %</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88,48 %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с фиксированным доходом</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31,85 %</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22,42 %</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12,89 %</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стабилизационный портфель</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100,00 %</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100,00 %</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100,00 %</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100,00 %</w:t>
            </w:r>
          </w:p>
        </w:tc>
      </w:tr>
    </w:tbl>
    <w:p>
      <w:pPr>
        <w:spacing w:after="0"/>
        <w:ind w:left="0"/>
        <w:jc w:val="left"/>
      </w:pPr>
      <w:r>
        <w:br/>
      </w:r>
      <w:r>
        <w:rPr>
          <w:rFonts w:ascii="Times New Roman"/>
          <w:b w:val="false"/>
          <w:i w:val="false"/>
          <w:color w:val="000000"/>
          <w:sz w:val="28"/>
        </w:rPr>
        <w:t>
</w:t>
      </w:r>
    </w:p>
    <w:bookmarkStart w:name="z91" w:id="81"/>
    <w:p>
      <w:pPr>
        <w:spacing w:after="0"/>
        <w:ind w:left="0"/>
        <w:jc w:val="both"/>
      </w:pPr>
      <w:r>
        <w:rPr>
          <w:rFonts w:ascii="Times New Roman"/>
          <w:b w:val="false"/>
          <w:i w:val="false"/>
          <w:color w:val="000000"/>
          <w:sz w:val="28"/>
        </w:rPr>
        <w:t>
      На конец отчетного периода доля наличной валюты и ГЦБ стран, входящих в эталонный индекс, в составе стабилизационного портфеля была равна порядка 85,12 % от объема стабилизационного портфеля.</w:t>
      </w:r>
    </w:p>
    <w:bookmarkEnd w:id="81"/>
    <w:bookmarkStart w:name="z92" w:id="82"/>
    <w:p>
      <w:pPr>
        <w:spacing w:after="0"/>
        <w:ind w:left="0"/>
        <w:jc w:val="left"/>
      </w:pPr>
      <w:r>
        <w:rPr>
          <w:rFonts w:ascii="Times New Roman"/>
          <w:b/>
          <w:i w:val="false"/>
          <w:color w:val="000000"/>
        </w:rPr>
        <w:t xml:space="preserve"> Динамика распределения активов сберегательного портфеля</w:t>
      </w:r>
    </w:p>
    <w:bookmarkEnd w:id="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0"/>
        <w:gridCol w:w="2840"/>
        <w:gridCol w:w="2840"/>
        <w:gridCol w:w="2840"/>
        <w:gridCol w:w="2840"/>
      </w:tblGrid>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Классы активов</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с фиксированным доходом</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77,23 %</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75,06 %</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71,79 %</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70,54 %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21,19 %</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23,49 %</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20.96 %</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24,29 %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и инструменты денежного рынка</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7,24 %</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Золото</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сберегательный портфель</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100,00 %</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100,00 %</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100,00 %</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100,00 %</w:t>
            </w:r>
          </w:p>
        </w:tc>
      </w:tr>
    </w:tbl>
    <w:p>
      <w:pPr>
        <w:spacing w:after="0"/>
        <w:ind w:left="0"/>
        <w:jc w:val="left"/>
      </w:pPr>
      <w:r>
        <w:br/>
      </w:r>
      <w:r>
        <w:rPr>
          <w:rFonts w:ascii="Times New Roman"/>
          <w:b w:val="false"/>
          <w:i w:val="false"/>
          <w:color w:val="000000"/>
          <w:sz w:val="28"/>
        </w:rPr>
        <w:t>
</w:t>
      </w:r>
    </w:p>
    <w:bookmarkStart w:name="z93" w:id="83"/>
    <w:p>
      <w:pPr>
        <w:spacing w:after="0"/>
        <w:ind w:left="0"/>
        <w:jc w:val="both"/>
      </w:pPr>
      <w:r>
        <w:rPr>
          <w:rFonts w:ascii="Times New Roman"/>
          <w:b w:val="false"/>
          <w:i w:val="false"/>
          <w:color w:val="000000"/>
          <w:sz w:val="28"/>
        </w:rPr>
        <w:t>
      Наибольшая доля на 31 декабря 2019 года в распределении активов сберегательного портфеля Национального фонда в страновом соотношении приходится на: США (46 %), страны Еврозоны (14,42 %), Великобританию (7,87 %), Японию (7,29 %), Канаду (5,14 %), Южную Корею (5,53 %), Австралию (4,52 %) и другие страны (7,30 %).</w:t>
      </w:r>
    </w:p>
    <w:bookmarkEnd w:id="83"/>
    <w:bookmarkStart w:name="z94" w:id="84"/>
    <w:p>
      <w:pPr>
        <w:spacing w:after="0"/>
        <w:ind w:left="0"/>
        <w:jc w:val="both"/>
      </w:pPr>
      <w:r>
        <w:rPr>
          <w:rFonts w:ascii="Times New Roman"/>
          <w:b w:val="false"/>
          <w:i w:val="false"/>
          <w:color w:val="000000"/>
          <w:sz w:val="28"/>
        </w:rPr>
        <w:t>
      По итогам 2019 года доходность Национального фонда составила 7,42 %.</w:t>
      </w:r>
    </w:p>
    <w:bookmarkEnd w:id="84"/>
    <w:bookmarkStart w:name="z95" w:id="85"/>
    <w:p>
      <w:pPr>
        <w:spacing w:after="0"/>
        <w:ind w:left="0"/>
        <w:jc w:val="both"/>
      </w:pPr>
      <w:r>
        <w:rPr>
          <w:rFonts w:ascii="Times New Roman"/>
          <w:b w:val="false"/>
          <w:i w:val="false"/>
          <w:color w:val="000000"/>
          <w:sz w:val="28"/>
        </w:rPr>
        <w:t>
      Инвестиционный доход, полученный в результате осуществления инвестиционных операций с валютными активами Национального фонда в 2019 году, составил 4265 миллионов долларов США.</w:t>
      </w:r>
    </w:p>
    <w:bookmarkEnd w:id="85"/>
    <w:bookmarkStart w:name="z96" w:id="86"/>
    <w:p>
      <w:pPr>
        <w:spacing w:after="0"/>
        <w:ind w:left="0"/>
        <w:jc w:val="both"/>
      </w:pPr>
      <w:r>
        <w:rPr>
          <w:rFonts w:ascii="Times New Roman"/>
          <w:b w:val="false"/>
          <w:i w:val="false"/>
          <w:color w:val="000000"/>
          <w:sz w:val="28"/>
        </w:rPr>
        <w:t>
      Доходность Фонда с начала создания по 31 декабря 2019 года составила 89,14 %, что в годовом выражении составляет 3,49 %.</w:t>
      </w:r>
    </w:p>
    <w:bookmarkEnd w:id="86"/>
    <w:p>
      <w:pPr>
        <w:spacing w:after="0"/>
        <w:ind w:left="0"/>
        <w:jc w:val="left"/>
      </w:pPr>
    </w:p>
    <w:bookmarkStart w:name="z97" w:id="87"/>
    <w:p>
      <w:pPr>
        <w:spacing w:after="0"/>
        <w:ind w:left="0"/>
        <w:jc w:val="left"/>
      </w:pPr>
      <w:r>
        <w:rPr>
          <w:rFonts w:ascii="Times New Roman"/>
          <w:b/>
          <w:i w:val="false"/>
          <w:color w:val="000000"/>
        </w:rPr>
        <w:t xml:space="preserve"> Историческая доходность Национального фонда (долл. США)</w:t>
      </w:r>
    </w:p>
    <w:bookmarkEnd w:id="87"/>
    <w:bookmarkStart w:name="z98" w:id="88"/>
    <w:p>
      <w:pPr>
        <w:spacing w:after="0"/>
        <w:ind w:left="0"/>
        <w:jc w:val="both"/>
      </w:pPr>
      <w:r>
        <w:rPr>
          <w:rFonts w:ascii="Times New Roman"/>
          <w:b w:val="false"/>
          <w:i w:val="false"/>
          <w:color w:val="000000"/>
          <w:sz w:val="28"/>
        </w:rPr>
        <w:t xml:space="preserve">
      </w:t>
      </w:r>
    </w:p>
    <w:bookmarkEnd w:id="88"/>
    <w:p>
      <w:pPr>
        <w:spacing w:after="0"/>
        <w:ind w:left="0"/>
        <w:jc w:val="both"/>
      </w:pPr>
      <w:r>
        <w:drawing>
          <wp:inline distT="0" distB="0" distL="0" distR="0">
            <wp:extent cx="7810500" cy="3835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3835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9" w:id="89"/>
    <w:p>
      <w:pPr>
        <w:spacing w:after="0"/>
        <w:ind w:left="0"/>
        <w:jc w:val="both"/>
      </w:pPr>
      <w:r>
        <w:rPr>
          <w:rFonts w:ascii="Times New Roman"/>
          <w:b w:val="false"/>
          <w:i w:val="false"/>
          <w:color w:val="000000"/>
          <w:sz w:val="28"/>
        </w:rPr>
        <w:t>
      Чистые активы Национального фонда были классифицированы по следующим категориям (видам инвестиционного портфеля):</w:t>
      </w:r>
    </w:p>
    <w:bookmarkEnd w:id="89"/>
    <w:bookmarkStart w:name="z100" w:id="90"/>
    <w:p>
      <w:pPr>
        <w:spacing w:after="0"/>
        <w:ind w:left="0"/>
        <w:jc w:val="both"/>
      </w:pPr>
      <w:r>
        <w:rPr>
          <w:rFonts w:ascii="Times New Roman"/>
          <w:b w:val="false"/>
          <w:i w:val="false"/>
          <w:color w:val="000000"/>
          <w:sz w:val="28"/>
        </w:rPr>
        <w:t>
      1) стабилизационный портфель;</w:t>
      </w:r>
    </w:p>
    <w:bookmarkEnd w:id="90"/>
    <w:bookmarkStart w:name="z101" w:id="91"/>
    <w:p>
      <w:pPr>
        <w:spacing w:after="0"/>
        <w:ind w:left="0"/>
        <w:jc w:val="both"/>
      </w:pPr>
      <w:r>
        <w:rPr>
          <w:rFonts w:ascii="Times New Roman"/>
          <w:b w:val="false"/>
          <w:i w:val="false"/>
          <w:color w:val="000000"/>
          <w:sz w:val="28"/>
        </w:rPr>
        <w:t>
      2) сберегательный портфель:</w:t>
      </w:r>
    </w:p>
    <w:bookmarkEnd w:id="91"/>
    <w:bookmarkStart w:name="z102" w:id="92"/>
    <w:p>
      <w:pPr>
        <w:spacing w:after="0"/>
        <w:ind w:left="0"/>
        <w:jc w:val="both"/>
      </w:pPr>
      <w:r>
        <w:rPr>
          <w:rFonts w:ascii="Times New Roman"/>
          <w:b w:val="false"/>
          <w:i w:val="false"/>
          <w:color w:val="000000"/>
          <w:sz w:val="28"/>
        </w:rPr>
        <w:t>
      портфель ценных бумаг с фиксированным доходом;</w:t>
      </w:r>
    </w:p>
    <w:bookmarkEnd w:id="92"/>
    <w:bookmarkStart w:name="z103" w:id="93"/>
    <w:p>
      <w:pPr>
        <w:spacing w:after="0"/>
        <w:ind w:left="0"/>
        <w:jc w:val="both"/>
      </w:pPr>
      <w:r>
        <w:rPr>
          <w:rFonts w:ascii="Times New Roman"/>
          <w:b w:val="false"/>
          <w:i w:val="false"/>
          <w:color w:val="000000"/>
          <w:sz w:val="28"/>
        </w:rPr>
        <w:t>
      портфель акций;</w:t>
      </w:r>
    </w:p>
    <w:bookmarkEnd w:id="93"/>
    <w:bookmarkStart w:name="z104" w:id="94"/>
    <w:p>
      <w:pPr>
        <w:spacing w:after="0"/>
        <w:ind w:left="0"/>
        <w:jc w:val="both"/>
      </w:pPr>
      <w:r>
        <w:rPr>
          <w:rFonts w:ascii="Times New Roman"/>
          <w:b w:val="false"/>
          <w:i w:val="false"/>
          <w:color w:val="000000"/>
          <w:sz w:val="28"/>
        </w:rPr>
        <w:t>
      портфель тактического распределения активов.</w:t>
      </w:r>
    </w:p>
    <w:bookmarkEnd w:id="94"/>
    <w:bookmarkStart w:name="z105" w:id="95"/>
    <w:p>
      <w:pPr>
        <w:spacing w:after="0"/>
        <w:ind w:left="0"/>
        <w:jc w:val="both"/>
      </w:pPr>
      <w:r>
        <w:rPr>
          <w:rFonts w:ascii="Times New Roman"/>
          <w:b w:val="false"/>
          <w:i w:val="false"/>
          <w:color w:val="000000"/>
          <w:sz w:val="28"/>
        </w:rPr>
        <w:t>
      В соответствии с инвестиционной стратегией каждый класс активов Национального фонда управляется относительно эталонного портфеля (индекса), на основании которого оценивается их доходность. Эталонные портфели (индексы) определены Правилами осуществления инвестиционных операций Национального фонда, утвержденными постановлением правления Национального Банка Республики Казахстан от 25 июля 2006 года № 65.</w:t>
      </w:r>
    </w:p>
    <w:bookmarkEnd w:id="95"/>
    <w:bookmarkStart w:name="z106" w:id="96"/>
    <w:p>
      <w:pPr>
        <w:spacing w:after="0"/>
        <w:ind w:left="0"/>
        <w:jc w:val="both"/>
      </w:pPr>
      <w:r>
        <w:rPr>
          <w:rFonts w:ascii="Times New Roman"/>
          <w:b w:val="false"/>
          <w:i w:val="false"/>
          <w:color w:val="000000"/>
          <w:sz w:val="28"/>
        </w:rPr>
        <w:t>
      Доходность стабилизационного портфеля с 1 января по 31 декабря 2019 года составила 2,60 %, за этот же период доходность эталонного портфеля (Merrill Lynch 6-month US Treasury Bill Index) составила 2,57 %. Таким образом, в результате управления активами стабилизационного портфеля в 2019 году была получена положительная сверхдоходность, которая составила 0,04 %.</w:t>
      </w:r>
    </w:p>
    <w:bookmarkEnd w:id="96"/>
    <w:bookmarkStart w:name="z107" w:id="97"/>
    <w:p>
      <w:pPr>
        <w:spacing w:after="0"/>
        <w:ind w:left="0"/>
        <w:jc w:val="both"/>
      </w:pPr>
      <w:r>
        <w:rPr>
          <w:rFonts w:ascii="Times New Roman"/>
          <w:b w:val="false"/>
          <w:i w:val="false"/>
          <w:color w:val="000000"/>
          <w:sz w:val="28"/>
        </w:rPr>
        <w:t>
      Доходность сберегательного портфеля с 1 января по 31 декабря 2019 года составила 8,26 %.</w:t>
      </w:r>
    </w:p>
    <w:bookmarkEnd w:id="97"/>
    <w:bookmarkStart w:name="z108" w:id="98"/>
    <w:p>
      <w:pPr>
        <w:spacing w:after="0"/>
        <w:ind w:left="0"/>
        <w:jc w:val="both"/>
      </w:pPr>
      <w:r>
        <w:rPr>
          <w:rFonts w:ascii="Times New Roman"/>
          <w:b w:val="false"/>
          <w:i w:val="false"/>
          <w:color w:val="000000"/>
          <w:sz w:val="28"/>
        </w:rPr>
        <w:t>
      Доходность управления субпортфелем государственных облигаций развитых стран с начала года по 31 декабря 2019 года составила 3,13 %. Доходность эталонного портфеля данного субпортфеля составила 3,11 %. Таким образом, сверхдоходность, полученная в результате управления данным типом мандата, составила 0,02 %. По состоянию на 31 декабря 2019 года управление по данному типу мандата осуществлялось 6 внешними управляющими и Национальным Банком.</w:t>
      </w:r>
    </w:p>
    <w:bookmarkEnd w:id="98"/>
    <w:bookmarkStart w:name="z109" w:id="99"/>
    <w:p>
      <w:pPr>
        <w:spacing w:after="0"/>
        <w:ind w:left="0"/>
        <w:jc w:val="both"/>
      </w:pPr>
      <w:r>
        <w:rPr>
          <w:rFonts w:ascii="Times New Roman"/>
          <w:b w:val="false"/>
          <w:i w:val="false"/>
          <w:color w:val="000000"/>
          <w:sz w:val="28"/>
        </w:rPr>
        <w:t xml:space="preserve">
      Доходность от управления активами по типу мандата "Глобальные акции" составила 27,60 %, тогда как доходность бенчмарка составила 28,45 %. </w:t>
      </w:r>
    </w:p>
    <w:bookmarkEnd w:id="99"/>
    <w:bookmarkStart w:name="z110" w:id="100"/>
    <w:p>
      <w:pPr>
        <w:spacing w:after="0"/>
        <w:ind w:left="0"/>
        <w:jc w:val="both"/>
      </w:pPr>
      <w:r>
        <w:rPr>
          <w:rFonts w:ascii="Times New Roman"/>
          <w:b w:val="false"/>
          <w:i w:val="false"/>
          <w:color w:val="000000"/>
          <w:sz w:val="28"/>
        </w:rPr>
        <w:t xml:space="preserve">
      Таким образом, сверхдоходность, полученная в результате управления данным типом мандата составила (-)0,86 %. </w:t>
      </w:r>
    </w:p>
    <w:bookmarkEnd w:id="100"/>
    <w:bookmarkStart w:name="z111" w:id="101"/>
    <w:p>
      <w:pPr>
        <w:spacing w:after="0"/>
        <w:ind w:left="0"/>
        <w:jc w:val="both"/>
      </w:pPr>
      <w:r>
        <w:rPr>
          <w:rFonts w:ascii="Times New Roman"/>
          <w:b w:val="false"/>
          <w:i w:val="false"/>
          <w:color w:val="000000"/>
          <w:sz w:val="28"/>
        </w:rPr>
        <w:t>
      Доходность управления активами сберегательного портфеля по типу мандата "Глобальное тактическое распределение активов" составила 8,56 %, тогда как доходность бенчмарка составила 7,91 %. Таким образом, в результате управления активами сберегательного портфеля по данному типу мандата относительно эталонного портфеля сверхдоходность составила 0,65 %.</w:t>
      </w:r>
    </w:p>
    <w:bookmarkEnd w:id="101"/>
    <w:bookmarkStart w:name="z112" w:id="102"/>
    <w:p>
      <w:pPr>
        <w:spacing w:after="0"/>
        <w:ind w:left="0"/>
        <w:jc w:val="left"/>
      </w:pPr>
      <w:r>
        <w:rPr>
          <w:rFonts w:ascii="Times New Roman"/>
          <w:b/>
          <w:i w:val="false"/>
          <w:color w:val="000000"/>
        </w:rPr>
        <w:t xml:space="preserve"> Доходность сберегательного портфеля в 2019 году</w:t>
      </w:r>
    </w:p>
    <w:bookmarkEnd w:id="102"/>
    <w:bookmarkStart w:name="z113" w:id="103"/>
    <w:p>
      <w:pPr>
        <w:spacing w:after="0"/>
        <w:ind w:left="0"/>
        <w:jc w:val="both"/>
      </w:pPr>
      <w:r>
        <w:rPr>
          <w:rFonts w:ascii="Times New Roman"/>
          <w:b w:val="false"/>
          <w:i w:val="false"/>
          <w:color w:val="000000"/>
          <w:sz w:val="28"/>
        </w:rPr>
        <w:t xml:space="preserve">
      </w:t>
      </w:r>
    </w:p>
    <w:bookmarkEnd w:id="103"/>
    <w:p>
      <w:pPr>
        <w:spacing w:after="0"/>
        <w:ind w:left="0"/>
        <w:jc w:val="both"/>
      </w:pPr>
      <w:r>
        <w:drawing>
          <wp:inline distT="0" distB="0" distL="0" distR="0">
            <wp:extent cx="7632700" cy="458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632700" cy="4584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14" w:id="104"/>
    <w:p>
      <w:pPr>
        <w:spacing w:after="0"/>
        <w:ind w:left="0"/>
        <w:jc w:val="left"/>
      </w:pPr>
      <w:r>
        <w:rPr>
          <w:rFonts w:ascii="Times New Roman"/>
          <w:b/>
          <w:i w:val="false"/>
          <w:color w:val="000000"/>
        </w:rPr>
        <w:t xml:space="preserve"> Доходность стабилизационного портфеля в 2019 году</w:t>
      </w:r>
    </w:p>
    <w:bookmarkEnd w:id="104"/>
    <w:bookmarkStart w:name="z115" w:id="105"/>
    <w:p>
      <w:pPr>
        <w:spacing w:after="0"/>
        <w:ind w:left="0"/>
        <w:jc w:val="both"/>
      </w:pPr>
      <w:r>
        <w:rPr>
          <w:rFonts w:ascii="Times New Roman"/>
          <w:b w:val="false"/>
          <w:i w:val="false"/>
          <w:color w:val="000000"/>
          <w:sz w:val="28"/>
        </w:rPr>
        <w:t xml:space="preserve">
      </w:t>
      </w:r>
    </w:p>
    <w:bookmarkEnd w:id="105"/>
    <w:p>
      <w:pPr>
        <w:spacing w:after="0"/>
        <w:ind w:left="0"/>
        <w:jc w:val="both"/>
      </w:pPr>
      <w:r>
        <w:drawing>
          <wp:inline distT="0" distB="0" distL="0" distR="0">
            <wp:extent cx="7810500" cy="5092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5092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116" w:id="106"/>
    <w:p>
      <w:pPr>
        <w:spacing w:after="0"/>
        <w:ind w:left="0"/>
        <w:jc w:val="left"/>
      </w:pPr>
      <w:r>
        <w:rPr>
          <w:rFonts w:ascii="Times New Roman"/>
          <w:b/>
          <w:i w:val="false"/>
          <w:color w:val="000000"/>
        </w:rPr>
        <w:t xml:space="preserve"> Дополнительная информация о проведенных мероприятиях в 2019 году по управлению Национальным фондом</w:t>
      </w:r>
    </w:p>
    <w:bookmarkEnd w:id="106"/>
    <w:bookmarkStart w:name="z117" w:id="107"/>
    <w:p>
      <w:pPr>
        <w:spacing w:after="0"/>
        <w:ind w:left="0"/>
        <w:jc w:val="both"/>
      </w:pPr>
      <w:r>
        <w:rPr>
          <w:rFonts w:ascii="Times New Roman"/>
          <w:b w:val="false"/>
          <w:i w:val="false"/>
          <w:color w:val="000000"/>
          <w:sz w:val="28"/>
        </w:rPr>
        <w:t xml:space="preserve">
      Национальный Банк Республики Казахстан в 2019 году продолжил работу по дальнейшему совершенствованию процесса управления активами Национального фонда. </w:t>
      </w:r>
    </w:p>
    <w:bookmarkEnd w:id="107"/>
    <w:bookmarkStart w:name="z118" w:id="108"/>
    <w:p>
      <w:pPr>
        <w:spacing w:after="0"/>
        <w:ind w:left="0"/>
        <w:jc w:val="both"/>
      </w:pPr>
      <w:r>
        <w:rPr>
          <w:rFonts w:ascii="Times New Roman"/>
          <w:b w:val="false"/>
          <w:i w:val="false"/>
          <w:color w:val="000000"/>
          <w:sz w:val="28"/>
        </w:rPr>
        <w:t xml:space="preserve">
      В связи с принятием решения по инвестированию активов Национального фонда в золото Национальным Банком Республики Казахстан были инициированы изменения в Концепцию формирования и использования средств Национального фонда. </w:t>
      </w:r>
    </w:p>
    <w:bookmarkEnd w:id="108"/>
    <w:bookmarkStart w:name="z119" w:id="109"/>
    <w:p>
      <w:pPr>
        <w:spacing w:after="0"/>
        <w:ind w:left="0"/>
        <w:jc w:val="both"/>
      </w:pPr>
      <w:r>
        <w:rPr>
          <w:rFonts w:ascii="Times New Roman"/>
          <w:b w:val="false"/>
          <w:i w:val="false"/>
          <w:color w:val="000000"/>
          <w:sz w:val="28"/>
        </w:rPr>
        <w:t xml:space="preserve">
      Таким образом, согласно Концепции формирования и использования средств Национального фонда стратегическое распределение активов сберегательного портфеля Национального фонда предусматривает инвестиции в облигации развитых стран (30 %), развивающихся стран (20 %), корпоративные облигации (10 %), глобальные акции (30 % и выше), альтернативные инструменты и золото (каждый до 5 %). </w:t>
      </w:r>
    </w:p>
    <w:bookmarkEnd w:id="109"/>
    <w:bookmarkStart w:name="z120" w:id="110"/>
    <w:p>
      <w:pPr>
        <w:spacing w:after="0"/>
        <w:ind w:left="0"/>
        <w:jc w:val="both"/>
      </w:pPr>
      <w:r>
        <w:rPr>
          <w:rFonts w:ascii="Times New Roman"/>
          <w:b w:val="false"/>
          <w:i w:val="false"/>
          <w:color w:val="000000"/>
          <w:sz w:val="28"/>
        </w:rPr>
        <w:t>
      В целях перехода на сбалансированное распределение по мандату "Глобальные корпоративные облигации инвестиционного уровня" были утверждены 3 внешних управляющих и 4 внешних управляющих по мандату "Облигации развивающихся рынков".</w:t>
      </w:r>
    </w:p>
    <w:bookmarkEnd w:id="110"/>
    <w:bookmarkStart w:name="z121" w:id="111"/>
    <w:p>
      <w:pPr>
        <w:spacing w:after="0"/>
        <w:ind w:left="0"/>
        <w:jc w:val="both"/>
      </w:pPr>
      <w:r>
        <w:rPr>
          <w:rFonts w:ascii="Times New Roman"/>
          <w:b w:val="false"/>
          <w:i w:val="false"/>
          <w:color w:val="000000"/>
          <w:sz w:val="28"/>
        </w:rPr>
        <w:t>
      Постановлением правления Национального Банка Республики Казахстан от 21 августа 2019 года № 144 (далее - Постановление № 144) были внесены изменения в Правила осуществления инвестиционных операций Национального фонда, предусматривающие включение портфеля золота и изменение целевого стратегического распределения активов сберегательного портфеля.</w:t>
      </w:r>
    </w:p>
    <w:bookmarkEnd w:id="111"/>
    <w:bookmarkStart w:name="z122" w:id="112"/>
    <w:p>
      <w:pPr>
        <w:spacing w:after="0"/>
        <w:ind w:left="0"/>
        <w:jc w:val="both"/>
      </w:pPr>
      <w:r>
        <w:rPr>
          <w:rFonts w:ascii="Times New Roman"/>
          <w:b w:val="false"/>
          <w:i w:val="false"/>
          <w:color w:val="000000"/>
          <w:sz w:val="28"/>
        </w:rPr>
        <w:t>
      В целях реализации Постановления № 144 была произведена поэтапная покупка золота из золотовалютных активов в портфель золота Национального фонда. В результате, в период с августа по декабрь 2019 года в Национальный фонд было приобретено 668,8 тысяч унций золота на сумму порядка 1,0 миллиарда долларов США.</w:t>
      </w:r>
    </w:p>
    <w:bookmarkEnd w:id="112"/>
    <w:bookmarkStart w:name="z123" w:id="113"/>
    <w:p>
      <w:pPr>
        <w:spacing w:after="0"/>
        <w:ind w:left="0"/>
        <w:jc w:val="both"/>
      </w:pPr>
      <w:r>
        <w:rPr>
          <w:rFonts w:ascii="Times New Roman"/>
          <w:b w:val="false"/>
          <w:i w:val="false"/>
          <w:color w:val="000000"/>
          <w:sz w:val="28"/>
        </w:rPr>
        <w:t>
      Таким образом, по состоянию на 31 декабря 2019 года рыночная стоимость портфеля золота составила 1018,6 миллионов долларов США или 1,93 % от сберегательного портфеля.</w:t>
      </w:r>
    </w:p>
    <w:bookmarkEnd w:id="113"/>
    <w:bookmarkStart w:name="z124" w:id="114"/>
    <w:p>
      <w:pPr>
        <w:spacing w:after="0"/>
        <w:ind w:left="0"/>
        <w:jc w:val="both"/>
      </w:pPr>
      <w:r>
        <w:rPr>
          <w:rFonts w:ascii="Times New Roman"/>
          <w:b w:val="false"/>
          <w:i w:val="false"/>
          <w:color w:val="000000"/>
          <w:sz w:val="28"/>
        </w:rPr>
        <w:t>
      В рамках проведения систематической работы по разъяснению среди населения целей и задач Национального фонда информация об отчете о формировании и использовании Национального фонда за 2018 год и результатах проведения внешнего аудита была опубликована 19 июля 2019 года в газете "Казахстанская правда" № 137 (29014), а также размещена на веб-сайте Министерства финансов Республики Казахстан.</w:t>
      </w:r>
    </w:p>
    <w:bookmarkEnd w:id="114"/>
    <w:bookmarkStart w:name="z125" w:id="115"/>
    <w:p>
      <w:pPr>
        <w:spacing w:after="0"/>
        <w:ind w:left="0"/>
        <w:jc w:val="both"/>
      </w:pPr>
      <w:r>
        <w:rPr>
          <w:rFonts w:ascii="Times New Roman"/>
          <w:b w:val="false"/>
          <w:i w:val="false"/>
          <w:color w:val="000000"/>
          <w:sz w:val="28"/>
        </w:rPr>
        <w:t>
      Необходимая информация о деятельности Национального фонда, отчеты, нормативные правовые акты, регулирующие деятельность Национального фонда, размещены на веб-сайте Министерства финансов Республики Казахстан (www.minfin.gov.kz), а также на Единой платформе интернет-ресурса для государственных органов (www.gov.kz).</w:t>
      </w:r>
    </w:p>
    <w:bookmarkEnd w:id="11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