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bbb6" w14:textId="f5db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свободной торговле между Евразийским экономическим союзом и его государствами-членами, с одной стороны, и Республикой Сербия, с другой стороны"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2020 года № 319.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свободной торговле между Евразийским экономическим союзом и его государствами- членами, с одной стороны, и Республикой Сербия, с другой стороны".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свободной торговле между Евразийским экономическим союзом н его государствами-членами, с одной стороны, и Республикой Сербия, с другой стороны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свободной торговле между Евразийским 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союзом и его государствами-членами, с одной стороны, </w:t>
      </w:r>
      <w:r>
        <w:rPr>
          <w:rFonts w:ascii="Times New Roman"/>
          <w:b/>
          <w:i w:val="false"/>
          <w:color w:val="000000"/>
          <w:sz w:val="28"/>
        </w:rPr>
        <w:t xml:space="preserve">и Республикой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Сербия,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другой стороны, совершенное в Москве 25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