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0ecc" w14:textId="c4b0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программно-целевом финансировании вне конкурсных процедур на 2021 –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2020 года № 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28.06.2021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февраля 2011 года "О науке"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программно-целевое финансирование вне конкурсных процедур на 2021 – 2023 годы из республиканского бюджета осуществляется по научно-технической программе "Интеллектуальные криптографические системы: разработка аппаратно-программного комплекса" Комитета национальной безопасности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28.06.2021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