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b8e2" w14:textId="179b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2020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2020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– фонд) не более 1,47 процента от размера активов, поступивших на счет фонда за отчетный месяц.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2020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