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f8f0" w14:textId="144f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здравоохранения Республики Казахстан на 2020 – 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2019 года № 982. Утратило силу постановлением Правительства Республики Казахстан от 12 октября 2021 года № 725.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12.10.2021 </w:t>
      </w:r>
      <w:r>
        <w:rPr>
          <w:rFonts w:ascii="Times New Roman"/>
          <w:b w:val="false"/>
          <w:i w:val="false"/>
          <w:color w:val="ff0000"/>
          <w:sz w:val="28"/>
        </w:rPr>
        <w:t>№ 725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здравоохранения Республики Казахстан на 2020 – 2025 годы (далее – Программа).</w:t>
      </w:r>
    </w:p>
    <w:bookmarkEnd w:id="1"/>
    <w:bookmarkStart w:name="z6" w:id="2"/>
    <w:p>
      <w:pPr>
        <w:spacing w:after="0"/>
        <w:ind w:left="0"/>
        <w:jc w:val="both"/>
      </w:pPr>
      <w:r>
        <w:rPr>
          <w:rFonts w:ascii="Times New Roman"/>
          <w:b w:val="false"/>
          <w:i w:val="false"/>
          <w:color w:val="000000"/>
          <w:sz w:val="28"/>
        </w:rPr>
        <w:t>
      2. Центральным и местным исполнительным органам, иным организациям (по согласованию), ответственным за реализацию Программы:</w:t>
      </w:r>
    </w:p>
    <w:bookmarkEnd w:id="2"/>
    <w:bookmarkStart w:name="z7" w:id="3"/>
    <w:p>
      <w:pPr>
        <w:spacing w:after="0"/>
        <w:ind w:left="0"/>
        <w:jc w:val="both"/>
      </w:pPr>
      <w:r>
        <w:rPr>
          <w:rFonts w:ascii="Times New Roman"/>
          <w:b w:val="false"/>
          <w:i w:val="false"/>
          <w:color w:val="000000"/>
          <w:sz w:val="28"/>
        </w:rPr>
        <w:t>
      1) принять меры по реализации Программы;</w:t>
      </w:r>
    </w:p>
    <w:bookmarkEnd w:id="3"/>
    <w:bookmarkStart w:name="z8" w:id="4"/>
    <w:p>
      <w:pPr>
        <w:spacing w:after="0"/>
        <w:ind w:left="0"/>
        <w:jc w:val="both"/>
      </w:pPr>
      <w:r>
        <w:rPr>
          <w:rFonts w:ascii="Times New Roman"/>
          <w:b w:val="false"/>
          <w:i w:val="false"/>
          <w:color w:val="000000"/>
          <w:sz w:val="28"/>
        </w:rPr>
        <w:t xml:space="preserve">
      2) представлять в Правительство Республики Казахстан информацию о ходе исполнения Программы в порядке и сроки, определенные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2019 года № 982</w:t>
            </w:r>
          </w:p>
        </w:tc>
      </w:tr>
    </w:tbl>
    <w:bookmarkStart w:name="z13" w:id="7"/>
    <w:p>
      <w:pPr>
        <w:spacing w:after="0"/>
        <w:ind w:left="0"/>
        <w:jc w:val="left"/>
      </w:pPr>
      <w:r>
        <w:rPr>
          <w:rFonts w:ascii="Times New Roman"/>
          <w:b/>
          <w:i w:val="false"/>
          <w:color w:val="000000"/>
        </w:rPr>
        <w:t xml:space="preserve"> Государственная программа развития здравоохранения Республики Казахстан на 2020 – 2025 годы</w:t>
      </w:r>
    </w:p>
    <w:bookmarkEnd w:id="7"/>
    <w:bookmarkStart w:name="z14" w:id="8"/>
    <w:p>
      <w:pPr>
        <w:spacing w:after="0"/>
        <w:ind w:left="0"/>
        <w:jc w:val="left"/>
      </w:pPr>
      <w:r>
        <w:rPr>
          <w:rFonts w:ascii="Times New Roman"/>
          <w:b/>
          <w:i w:val="false"/>
          <w:color w:val="000000"/>
        </w:rPr>
        <w:t xml:space="preserve"> Содержание</w:t>
      </w:r>
    </w:p>
    <w:bookmarkEnd w:id="8"/>
    <w:bookmarkStart w:name="z15"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Паспорт Программы</w:t>
      </w:r>
    </w:p>
    <w:bookmarkEnd w:id="9"/>
    <w:bookmarkStart w:name="z16"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Введение</w:t>
      </w:r>
    </w:p>
    <w:bookmarkEnd w:id="10"/>
    <w:bookmarkStart w:name="z17"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Анализ текущей ситуации</w:t>
      </w:r>
    </w:p>
    <w:bookmarkEnd w:id="11"/>
    <w:bookmarkStart w:name="z18"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Цели, задачи, целевые индикаторы и показатели результатов реализации Программы</w:t>
      </w:r>
      <w:r>
        <w:rPr>
          <w:rFonts w:ascii="Times New Roman"/>
          <w:b w:val="false"/>
          <w:i w:val="false"/>
          <w:color w:val="000000"/>
          <w:sz w:val="28"/>
        </w:rPr>
        <w:t xml:space="preserve"> </w:t>
      </w:r>
    </w:p>
    <w:bookmarkEnd w:id="12"/>
    <w:bookmarkStart w:name="z19"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Основные направления, пути достижения поставленных целей Программы и соответствующие меры</w:t>
      </w:r>
    </w:p>
    <w:bookmarkEnd w:id="13"/>
    <w:bookmarkStart w:name="z20"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Необходимые ресурсы</w:t>
      </w:r>
    </w:p>
    <w:bookmarkEnd w:id="14"/>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1. Паспорт Программы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13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развития здравоохранения Республики Казахстан на 2020-2025 годы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Послание Первого Президента Республики Казахстан – Елбасы Назарбаева Н.А. народу Казахстана от 14 декабря 2012 года "Стратегия "Казахстан-2050":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Стратегический план развития Республики Казахстан до 2025 года, утвержденный Указом Президента Республики Казахстан от 15 февраля 2018 года № 636;</w:t>
            </w:r>
            <w:r>
              <w:br/>
            </w:r>
            <w:r>
              <w:rPr>
                <w:rFonts w:ascii="Times New Roman"/>
                <w:b w:val="false"/>
                <w:i w:val="false"/>
                <w:color w:val="000000"/>
                <w:sz w:val="20"/>
              </w:rPr>
              <w:t>
</w:t>
            </w:r>
            <w:r>
              <w:rPr>
                <w:rFonts w:ascii="Times New Roman"/>
                <w:b w:val="false"/>
                <w:i w:val="false"/>
                <w:color w:val="000000"/>
                <w:sz w:val="20"/>
              </w:rPr>
              <w:t>Национальный план Президента Республики Казахстан "100 конкретных шагов по реализации пяти институциональных реформ";</w:t>
            </w:r>
            <w:r>
              <w:br/>
            </w:r>
            <w:r>
              <w:rPr>
                <w:rFonts w:ascii="Times New Roman"/>
                <w:b w:val="false"/>
                <w:i w:val="false"/>
                <w:color w:val="000000"/>
                <w:sz w:val="20"/>
              </w:rPr>
              <w:t>
</w:t>
            </w:r>
            <w:r>
              <w:rPr>
                <w:rFonts w:ascii="Times New Roman"/>
                <w:b w:val="false"/>
                <w:i w:val="false"/>
                <w:color w:val="000000"/>
                <w:sz w:val="20"/>
              </w:rPr>
              <w:t>Послания Президента Республики Казахстан Назарбаева Н.А. народу Казахстана от 10 января 2018 года "Новые возможности развития в условиях четвертой промышленной революции" и 5 октября 2018 года "Рост благосостояния казахстанцев: повышение доходов и качества жизни";</w:t>
            </w:r>
            <w:r>
              <w:br/>
            </w:r>
            <w:r>
              <w:rPr>
                <w:rFonts w:ascii="Times New Roman"/>
                <w:b w:val="false"/>
                <w:i w:val="false"/>
                <w:color w:val="000000"/>
                <w:sz w:val="20"/>
              </w:rPr>
              <w:t>
Послание Президента Республики Казахстан Токаева К.К. народу Казахстана от 2 сентября 2019 года "Конструктивный общественный диалог – основа стабильности и процветания Казахстана".</w:t>
            </w:r>
          </w:p>
          <w:bookmarkEnd w:id="16"/>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xml:space="preserve">
Министерство здравоохранения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Министерство внутренних дел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Министерство культуры и спорта Республики Казахстан, </w:t>
            </w:r>
            <w:r>
              <w:br/>
            </w: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образования и науки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Министерство индустрии и инфраструктурного развития Республики Казахстан, </w:t>
            </w:r>
            <w:r>
              <w:br/>
            </w: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Министерство финансов Республики Казахстан, </w:t>
            </w:r>
            <w:r>
              <w:br/>
            </w:r>
            <w:r>
              <w:rPr>
                <w:rFonts w:ascii="Times New Roman"/>
                <w:b w:val="false"/>
                <w:i w:val="false"/>
                <w:color w:val="000000"/>
                <w:sz w:val="20"/>
              </w:rPr>
              <w:t>
</w:t>
            </w:r>
            <w:r>
              <w:rPr>
                <w:rFonts w:ascii="Times New Roman"/>
                <w:b w:val="false"/>
                <w:i w:val="false"/>
                <w:color w:val="000000"/>
                <w:sz w:val="20"/>
              </w:rPr>
              <w:t>Министерство информации и общественного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экологии, геологии и природных ресурсов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торговли и интеграции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обороны Республики Казахстан,</w:t>
            </w:r>
            <w:r>
              <w:br/>
            </w:r>
            <w:r>
              <w:rPr>
                <w:rFonts w:ascii="Times New Roman"/>
                <w:b w:val="false"/>
                <w:i w:val="false"/>
                <w:color w:val="000000"/>
                <w:sz w:val="20"/>
              </w:rPr>
              <w:t>
акиматы областей, городов Нур-Султан, Алматы и Шымкент</w:t>
            </w:r>
          </w:p>
          <w:bookmarkEnd w:id="17"/>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xml:space="preserve">
Цель </w:t>
            </w:r>
            <w:r>
              <w:br/>
            </w:r>
            <w:r>
              <w:rPr>
                <w:rFonts w:ascii="Times New Roman"/>
                <w:b w:val="false"/>
                <w:i w:val="false"/>
                <w:color w:val="000000"/>
                <w:sz w:val="20"/>
              </w:rPr>
              <w:t>
Программы</w:t>
            </w:r>
          </w:p>
          <w:bookmarkEnd w:id="18"/>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качественного и доступного здравоохранения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населения приверженности к здоровому образу жизни и развитие службы общественного здоровья; повышение качества медицинской помощи; устойчивое развитие системы здравоохранения</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В 2025 году:</w:t>
            </w:r>
            <w:r>
              <w:br/>
            </w:r>
            <w:r>
              <w:rPr>
                <w:rFonts w:ascii="Times New Roman"/>
                <w:b w:val="false"/>
                <w:i w:val="false"/>
                <w:color w:val="000000"/>
                <w:sz w:val="20"/>
              </w:rPr>
              <w:t>
</w:t>
            </w:r>
            <w:r>
              <w:rPr>
                <w:rFonts w:ascii="Times New Roman"/>
                <w:b w:val="false"/>
                <w:i w:val="false"/>
                <w:color w:val="000000"/>
                <w:sz w:val="20"/>
              </w:rPr>
              <w:t>- рост ожидаемой продолжительности жизни граждан до 75 лет;</w:t>
            </w:r>
            <w:r>
              <w:br/>
            </w:r>
            <w:r>
              <w:rPr>
                <w:rFonts w:ascii="Times New Roman"/>
                <w:b w:val="false"/>
                <w:i w:val="false"/>
                <w:color w:val="000000"/>
                <w:sz w:val="20"/>
              </w:rPr>
              <w:t>
</w:t>
            </w:r>
            <w:r>
              <w:rPr>
                <w:rFonts w:ascii="Times New Roman"/>
                <w:b w:val="false"/>
                <w:i w:val="false"/>
                <w:color w:val="000000"/>
                <w:sz w:val="20"/>
              </w:rPr>
              <w:t>- снижение уровня риска преждевременной смертности от 30 до 70 лет от сердечно-сосудистых, онкологических, хронических респираторных заболеваний и диабета до 15,43%.</w:t>
            </w:r>
            <w:r>
              <w:br/>
            </w:r>
            <w:r>
              <w:rPr>
                <w:rFonts w:ascii="Times New Roman"/>
                <w:b w:val="false"/>
                <w:i w:val="false"/>
                <w:color w:val="000000"/>
                <w:sz w:val="20"/>
              </w:rPr>
              <w:t>
</w:t>
            </w:r>
            <w:r>
              <w:rPr>
                <w:rFonts w:ascii="Times New Roman"/>
                <w:b w:val="false"/>
                <w:i w:val="false"/>
                <w:color w:val="000000"/>
                <w:sz w:val="20"/>
              </w:rPr>
              <w:t>- снижение материнской смертности до 14,5 на 100 тысяч живорожденных (по данным конфиденциального аудита);</w:t>
            </w:r>
            <w:r>
              <w:br/>
            </w:r>
            <w:r>
              <w:rPr>
                <w:rFonts w:ascii="Times New Roman"/>
                <w:b w:val="false"/>
                <w:i w:val="false"/>
                <w:color w:val="000000"/>
                <w:sz w:val="20"/>
              </w:rPr>
              <w:t>
- снижение младенческой смертности до 8,3 на 1000 живорожденных (по данным конфиденциального аудита).</w:t>
            </w:r>
          </w:p>
          <w:bookmarkEnd w:id="19"/>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Программы в 2020-2025 годах будут направлены средства республиканского и местных бюджетов, активы фонда социального медицинского страхования (далее – ФСМС), а также другие средства, не запрещенные законодательством Республики Казахстан. Общие затраты на реализацию Программы составят 3,2 трлн.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в 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3611"/>
        <w:gridCol w:w="3493"/>
        <w:gridCol w:w="3493"/>
      </w:tblGrid>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годам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Другие источники финансирования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101 479 659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79 758 902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21 720 757</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190 302 331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112 473 864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77 828 467</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283 529 037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171 364 273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112 164 764</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712 064 057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483 520 916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228 543 141</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892 247 182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580 797 471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311 449 711</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1 000 696 116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616 975 228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383 720 888</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3 180 318 382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2 044 890 654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1 135 427 728
</w:t>
            </w:r>
          </w:p>
        </w:tc>
      </w:tr>
    </w:tbl>
    <w:bookmarkStart w:name="z46" w:id="20"/>
    <w:p>
      <w:pPr>
        <w:spacing w:after="0"/>
        <w:ind w:left="0"/>
        <w:jc w:val="both"/>
      </w:pPr>
      <w:r>
        <w:rPr>
          <w:rFonts w:ascii="Times New Roman"/>
          <w:b w:val="false"/>
          <w:i w:val="false"/>
          <w:color w:val="000000"/>
          <w:sz w:val="28"/>
        </w:rPr>
        <w:t>
      Объем финансирования Государственной программы развития здравоохранения Республики Казахстан на 2020 – 2025 годы (далее – Программа)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возможностей доходной части республиканского и местных бюджетов, активов ФСМС, а также привлечением альтернативных источников финансирования, не запрещенных законодательством.</w:t>
      </w:r>
    </w:p>
    <w:bookmarkEnd w:id="20"/>
    <w:bookmarkStart w:name="z47" w:id="21"/>
    <w:p>
      <w:pPr>
        <w:spacing w:after="0"/>
        <w:ind w:left="0"/>
        <w:jc w:val="both"/>
      </w:pPr>
      <w:r>
        <w:rPr>
          <w:rFonts w:ascii="Times New Roman"/>
          <w:b w:val="false"/>
          <w:i w:val="false"/>
          <w:color w:val="000000"/>
          <w:sz w:val="28"/>
        </w:rPr>
        <w:t xml:space="preserve">
      </w:t>
      </w:r>
      <w:r>
        <w:rPr>
          <w:rFonts w:ascii="Times New Roman"/>
          <w:b/>
          <w:i w:val="false"/>
          <w:color w:val="000000"/>
          <w:sz w:val="28"/>
        </w:rPr>
        <w:t>2. Введение</w:t>
      </w:r>
    </w:p>
    <w:bookmarkEnd w:id="21"/>
    <w:bookmarkStart w:name="z48" w:id="22"/>
    <w:p>
      <w:pPr>
        <w:spacing w:after="0"/>
        <w:ind w:left="0"/>
        <w:jc w:val="both"/>
      </w:pPr>
      <w:r>
        <w:rPr>
          <w:rFonts w:ascii="Times New Roman"/>
          <w:b w:val="false"/>
          <w:i w:val="false"/>
          <w:color w:val="000000"/>
          <w:sz w:val="28"/>
        </w:rPr>
        <w:t>
      В долгосрочной Стратегии "Казахстан – 2050" была определена стратегическая цель войти в 30-ку самых развитых стран мира, что также подразумевает доведение ожидаемой продолжительности жизни (далее – ОПЖ) казахстанцев до среднего уровня развитых государств. В качестве одного из семи долгосрочных приоритетов определено обеспечение реализации новых принципов социальной политики – социальные гарантии и личная ответственность граждан.</w:t>
      </w:r>
    </w:p>
    <w:bookmarkEnd w:id="22"/>
    <w:bookmarkStart w:name="z49" w:id="23"/>
    <w:p>
      <w:pPr>
        <w:spacing w:after="0"/>
        <w:ind w:left="0"/>
        <w:jc w:val="both"/>
      </w:pPr>
      <w:r>
        <w:rPr>
          <w:rFonts w:ascii="Times New Roman"/>
          <w:b w:val="false"/>
          <w:i w:val="false"/>
          <w:color w:val="000000"/>
          <w:sz w:val="28"/>
        </w:rPr>
        <w:t>
      Казахстан поддерживает определение Организации Объединенных Наций (далее – ООН) о том, что ключевой элемент устойчивого развития – это обеспечение здорового образа жизни и содействие благополучию для всех людей в любом возрасте. В среднесрочном Стратегическом плане развития Республики Казахстан до 2025 года Правительство Республики Казахстан определило Цели устойчивого развития ООН (далее – ЦУР) важным ориентиром, где третьей целью указаны хорошее здоровье и благополучие населения.</w:t>
      </w:r>
    </w:p>
    <w:bookmarkEnd w:id="23"/>
    <w:bookmarkStart w:name="z50" w:id="24"/>
    <w:p>
      <w:pPr>
        <w:spacing w:after="0"/>
        <w:ind w:left="0"/>
        <w:jc w:val="both"/>
      </w:pPr>
      <w:r>
        <w:rPr>
          <w:rFonts w:ascii="Times New Roman"/>
          <w:b w:val="false"/>
          <w:i w:val="false"/>
          <w:color w:val="000000"/>
          <w:sz w:val="28"/>
        </w:rPr>
        <w:t>
      Согласно рейтинговой оценке международного агентства Блумберг Казахстан по показателю эффективности расходов на здравоохранение в 2012 году занимал 111 позицию среди стран участников рейтинга, в 2018 году поднялся до 44 позиции. Это свидетельствует о повышении эффективности системы здравоохранения Казахстана за указанный период.</w:t>
      </w:r>
    </w:p>
    <w:bookmarkEnd w:id="24"/>
    <w:bookmarkStart w:name="z51" w:id="25"/>
    <w:p>
      <w:pPr>
        <w:spacing w:after="0"/>
        <w:ind w:left="0"/>
        <w:jc w:val="both"/>
      </w:pPr>
      <w:r>
        <w:rPr>
          <w:rFonts w:ascii="Times New Roman"/>
          <w:b w:val="false"/>
          <w:i w:val="false"/>
          <w:color w:val="000000"/>
          <w:sz w:val="28"/>
        </w:rPr>
        <w:t>
      Для улучшения системы здравоохранения, по инициативе Правительства Казахстана Организация экономического сотрудничества и развития (далее – ОЭСР) провела обзор системы здравоохранения Республики Казахстан, представив ряд рекомендаций, которые были учтены при разработке настоящей Программы.</w:t>
      </w:r>
    </w:p>
    <w:bookmarkEnd w:id="25"/>
    <w:bookmarkStart w:name="z52" w:id="26"/>
    <w:p>
      <w:pPr>
        <w:spacing w:after="0"/>
        <w:ind w:left="0"/>
        <w:jc w:val="both"/>
      </w:pPr>
      <w:r>
        <w:rPr>
          <w:rFonts w:ascii="Times New Roman"/>
          <w:b w:val="false"/>
          <w:i w:val="false"/>
          <w:color w:val="000000"/>
          <w:sz w:val="28"/>
        </w:rPr>
        <w:t>
      Дополнительно рекомендации на основе оценки были даны Всемирной организацией здравоохранения (далее – ВОЗ) для Казахстана в области общественного здоровья, по борьбе с неинфекционными заболеваниями, по первичной медико-санитарной помощи и другим направлениям.</w:t>
      </w:r>
    </w:p>
    <w:bookmarkEnd w:id="26"/>
    <w:bookmarkStart w:name="z53" w:id="27"/>
    <w:p>
      <w:pPr>
        <w:spacing w:after="0"/>
        <w:ind w:left="0"/>
        <w:jc w:val="both"/>
      </w:pPr>
      <w:r>
        <w:rPr>
          <w:rFonts w:ascii="Times New Roman"/>
          <w:b w:val="false"/>
          <w:i w:val="false"/>
          <w:color w:val="000000"/>
          <w:sz w:val="28"/>
        </w:rPr>
        <w:t>
      Настоящая Программа обеспечит преемственность основных направлений и ключевых проектов предыдущей программы развития здравоохранения Республики Казахстан на 2016 – 2019 годы.</w:t>
      </w:r>
    </w:p>
    <w:bookmarkEnd w:id="27"/>
    <w:bookmarkStart w:name="z54" w:id="28"/>
    <w:p>
      <w:pPr>
        <w:spacing w:after="0"/>
        <w:ind w:left="0"/>
        <w:jc w:val="both"/>
      </w:pPr>
      <w:r>
        <w:rPr>
          <w:rFonts w:ascii="Times New Roman"/>
          <w:b w:val="false"/>
          <w:i w:val="false"/>
          <w:color w:val="000000"/>
          <w:sz w:val="28"/>
        </w:rPr>
        <w:t>
      Одним из главных акцентов Программы станет укрепление здоровья детей, подростков и молодежи путем предупреждения заболеваний, оказания своевременной помощи и полноценной реабилитации с учетом лучшей международной практики, в соответствии с подходами в Стратегии здоровья на 2016 – 2030 годы ЮНИСЕФ.</w:t>
      </w:r>
    </w:p>
    <w:bookmarkEnd w:id="28"/>
    <w:bookmarkStart w:name="z55" w:id="29"/>
    <w:p>
      <w:pPr>
        <w:spacing w:after="0"/>
        <w:ind w:left="0"/>
        <w:jc w:val="both"/>
      </w:pPr>
      <w:r>
        <w:rPr>
          <w:rFonts w:ascii="Times New Roman"/>
          <w:b w:val="false"/>
          <w:i w:val="false"/>
          <w:color w:val="000000"/>
          <w:sz w:val="28"/>
        </w:rPr>
        <w:t>
      В реализацию долгосрочного и среднесрочных стратегических документов Республики Казахстан, ЦУР ООН и рекомендаций международных организаций в настоящей Программе определен курс развития системы здравоохранения до 2026 года.</w:t>
      </w:r>
    </w:p>
    <w:bookmarkEnd w:id="29"/>
    <w:bookmarkStart w:name="z56" w:id="30"/>
    <w:p>
      <w:pPr>
        <w:spacing w:after="0"/>
        <w:ind w:left="0"/>
        <w:jc w:val="both"/>
      </w:pPr>
      <w:r>
        <w:rPr>
          <w:rFonts w:ascii="Times New Roman"/>
          <w:b w:val="false"/>
          <w:i w:val="false"/>
          <w:color w:val="000000"/>
          <w:sz w:val="28"/>
        </w:rPr>
        <w:t xml:space="preserve">
      </w:t>
      </w:r>
      <w:r>
        <w:rPr>
          <w:rFonts w:ascii="Times New Roman"/>
          <w:b/>
          <w:i w:val="false"/>
          <w:color w:val="000000"/>
          <w:sz w:val="28"/>
        </w:rPr>
        <w:t>3. Анализ текущей ситуации</w:t>
      </w:r>
    </w:p>
    <w:bookmarkEnd w:id="30"/>
    <w:bookmarkStart w:name="z57" w:id="31"/>
    <w:p>
      <w:pPr>
        <w:spacing w:after="0"/>
        <w:ind w:left="0"/>
        <w:jc w:val="both"/>
      </w:pPr>
      <w:r>
        <w:rPr>
          <w:rFonts w:ascii="Times New Roman"/>
          <w:b w:val="false"/>
          <w:i w:val="false"/>
          <w:color w:val="000000"/>
          <w:sz w:val="28"/>
        </w:rPr>
        <w:t>
      В 2019 году ВОЗ обозначила десять основных вызовов, стоящих перед системами здравоохранения всего мира. Сохраняются угрозы быстрого распространения инфекций (пандемия гриппа, эпидемия Эболы, эпидемия вируса иммунодефицита человека – ВИЧ), а интеграция экономики Республики Казахстан в торгово-туристические отношения повышает риск ввоза и распространения инфекций. Отказ от вакцинации, антибактериальная резистентность как следствие нерационального использования антибиотиков влекут повышение смертности от инфекционных заболеваний. Нарастает бремя таких неинфекционных заболеваний, как болезни системы кровообращения, новообразования, сахарный диабет и болезни органов дыхания. Из внешних угроз здоровья населения наиболее актуальны техногенное загрязнение воздуха и изменение климата.</w:t>
      </w:r>
    </w:p>
    <w:bookmarkEnd w:id="31"/>
    <w:bookmarkStart w:name="z58" w:id="32"/>
    <w:p>
      <w:pPr>
        <w:spacing w:after="0"/>
        <w:ind w:left="0"/>
        <w:jc w:val="both"/>
      </w:pPr>
      <w:r>
        <w:rPr>
          <w:rFonts w:ascii="Times New Roman"/>
          <w:b w:val="false"/>
          <w:i w:val="false"/>
          <w:color w:val="000000"/>
          <w:sz w:val="28"/>
        </w:rPr>
        <w:t xml:space="preserve">
      </w:t>
      </w:r>
      <w:r>
        <w:rPr>
          <w:rFonts w:ascii="Times New Roman"/>
          <w:b w:val="false"/>
          <w:i/>
          <w:color w:val="000000"/>
          <w:sz w:val="28"/>
        </w:rPr>
        <w:t>Факторы риска неинфекционных заболеваний</w:t>
      </w:r>
    </w:p>
    <w:bookmarkEnd w:id="32"/>
    <w:bookmarkStart w:name="z59" w:id="33"/>
    <w:p>
      <w:pPr>
        <w:spacing w:after="0"/>
        <w:ind w:left="0"/>
        <w:jc w:val="both"/>
      </w:pPr>
      <w:r>
        <w:rPr>
          <w:rFonts w:ascii="Times New Roman"/>
          <w:b w:val="false"/>
          <w:i w:val="false"/>
          <w:color w:val="000000"/>
          <w:sz w:val="28"/>
        </w:rPr>
        <w:t>
      В Казахстане основное бремя неинфекционных заболеваний приходится на 7 ведущих факторов риска: повышенное кровяное давление, табак, алкоголь, повышенное содержание холестерина в крови, избыточная масса тела, недостаточное потребление овощей и фруктов, малоподвижный образ жизни. Так среди казахстанских подростков (дети от 10 до 19 лет) 5% имеют ожирение и 20% детей имеют избыточный вес. Потребление соли в Казахстане превышает рекомендуемый показатель ВОЗ, по некоторым данным в четыре раза. Ежедневное потребление казахстанцами фруктов и овощей ниже, чем среднеевропейский показатель.</w:t>
      </w:r>
    </w:p>
    <w:bookmarkEnd w:id="33"/>
    <w:bookmarkStart w:name="z60" w:id="34"/>
    <w:p>
      <w:pPr>
        <w:spacing w:after="0"/>
        <w:ind w:left="0"/>
        <w:jc w:val="both"/>
      </w:pPr>
      <w:r>
        <w:rPr>
          <w:rFonts w:ascii="Times New Roman"/>
          <w:b w:val="false"/>
          <w:i w:val="false"/>
          <w:color w:val="000000"/>
          <w:sz w:val="28"/>
        </w:rPr>
        <w:t>
      По результатам оценок в 2015 году 28% мужчин и 25% женщин старше 18 лет имели повышенное артериальное давление. Последние данные оценки уровня холестерина показывают, что 46% граждан в возрасте 25 лет и старше имеют повышенный уровень общего холестерина.</w:t>
      </w:r>
    </w:p>
    <w:bookmarkEnd w:id="34"/>
    <w:bookmarkStart w:name="z61" w:id="35"/>
    <w:p>
      <w:pPr>
        <w:spacing w:after="0"/>
        <w:ind w:left="0"/>
        <w:jc w:val="both"/>
      </w:pPr>
      <w:r>
        <w:rPr>
          <w:rFonts w:ascii="Times New Roman"/>
          <w:b w:val="false"/>
          <w:i w:val="false"/>
          <w:color w:val="000000"/>
          <w:sz w:val="28"/>
        </w:rPr>
        <w:t xml:space="preserve">
      В Казахстане распространенность табакокурения составляет 42,4% среди мужчин и 4,5% среди женщин. </w:t>
      </w:r>
    </w:p>
    <w:bookmarkEnd w:id="35"/>
    <w:bookmarkStart w:name="z62" w:id="36"/>
    <w:p>
      <w:pPr>
        <w:spacing w:after="0"/>
        <w:ind w:left="0"/>
        <w:jc w:val="both"/>
      </w:pPr>
      <w:r>
        <w:rPr>
          <w:rFonts w:ascii="Times New Roman"/>
          <w:b w:val="false"/>
          <w:i w:val="false"/>
          <w:color w:val="000000"/>
          <w:sz w:val="28"/>
        </w:rPr>
        <w:t>
      Употребление алкоголя остается одним из основных факторов риска в общем бремени болезней в Казахстане. В 2016 году почти 74% мужской смертности от цирроза печени и 34% от травматизма было обусловлено употреблением алкоголя, для женщин эти показатели составили 45% и 31% соответственно.</w:t>
      </w:r>
    </w:p>
    <w:bookmarkEnd w:id="36"/>
    <w:bookmarkStart w:name="z63" w:id="37"/>
    <w:p>
      <w:pPr>
        <w:spacing w:after="0"/>
        <w:ind w:left="0"/>
        <w:jc w:val="both"/>
      </w:pPr>
      <w:r>
        <w:rPr>
          <w:rFonts w:ascii="Times New Roman"/>
          <w:b w:val="false"/>
          <w:i w:val="false"/>
          <w:color w:val="000000"/>
          <w:sz w:val="28"/>
        </w:rPr>
        <w:t>
      В целом текущий ущерб, наносимый неинфекционными заболеваниями экономике Казахстана, составляет 2,3 трлн. тенге в год, что эквивалентно 4,5% годового валового внутреннего продукта страны за 2017 год. Прогресса в снижении смертности основными неинфекционными заболеваниями (далее – НИЗ) удалось добиться в странах ОЭСР благодаря рекомендациям ВОЗ и отдельным проектам, таким как сокращение потребления соли за счет улучшения состава пищевых продуктов; проведение информационных кампаний в средствах массовой информации и внедрение упоминаний на упаковках; запрещение использования транс-жиров в пищевой промышленности, повышение акцизов на табачные изделия и алкоголь, принятие и реализация законов о запрете выкладки табачных изделий, запрет курения в общественных местах, введение налогообложения сахаросодержащих напитков.</w:t>
      </w:r>
    </w:p>
    <w:bookmarkEnd w:id="37"/>
    <w:bookmarkStart w:name="z64" w:id="38"/>
    <w:p>
      <w:pPr>
        <w:spacing w:after="0"/>
        <w:ind w:left="0"/>
        <w:jc w:val="both"/>
      </w:pPr>
      <w:r>
        <w:rPr>
          <w:rFonts w:ascii="Times New Roman"/>
          <w:b w:val="false"/>
          <w:i w:val="false"/>
          <w:color w:val="000000"/>
          <w:sz w:val="28"/>
        </w:rPr>
        <w:t xml:space="preserve">
      </w:t>
      </w:r>
      <w:r>
        <w:rPr>
          <w:rFonts w:ascii="Times New Roman"/>
          <w:b w:val="false"/>
          <w:i/>
          <w:color w:val="000000"/>
          <w:sz w:val="28"/>
        </w:rPr>
        <w:t>Медико-демографические показатели здоровья</w:t>
      </w:r>
    </w:p>
    <w:bookmarkEnd w:id="38"/>
    <w:bookmarkStart w:name="z65" w:id="39"/>
    <w:p>
      <w:pPr>
        <w:spacing w:after="0"/>
        <w:ind w:left="0"/>
        <w:jc w:val="both"/>
      </w:pPr>
      <w:r>
        <w:rPr>
          <w:rFonts w:ascii="Times New Roman"/>
          <w:b w:val="false"/>
          <w:i w:val="false"/>
          <w:color w:val="000000"/>
          <w:sz w:val="28"/>
        </w:rPr>
        <w:t>
      За десятилетний период в стране ОПЖ выросла почти на 5 лет (с 68,41 в 2010 году до 73,15 лет в 2018 году), однако в ряде стран ОЭСР (Чили, Турция и другие) с таким же уровнем ВВП как в Республике Казахстан ОПЖ составляет около 80 лет. В 2018 году в возрасте от 0 до 35 лет каждый третий умерший был младенцем. В возрасте 0-18 лет на первом месте была смертность детей до года с тенденцией снижения на 28% за 5 лет, на втором месте подростковая смертность (15-19 лет) со снижением на 25%, на третьем месте смертность детей до 5 лет со снижением на 24%. Среди взрослых преобладает смертность среди мужчин. Максимальная разница смертности между мужчинами и женщинами наблюдается в возрасте 25-29 лет, в соотношении 1 к 2,8, что связано с высоким уровнем травм, дорожно-транспортных происшествий и суицидов.</w:t>
      </w:r>
    </w:p>
    <w:bookmarkEnd w:id="39"/>
    <w:bookmarkStart w:name="z66" w:id="40"/>
    <w:p>
      <w:pPr>
        <w:spacing w:after="0"/>
        <w:ind w:left="0"/>
        <w:jc w:val="both"/>
      </w:pPr>
      <w:r>
        <w:rPr>
          <w:rFonts w:ascii="Times New Roman"/>
          <w:b w:val="false"/>
          <w:i w:val="false"/>
          <w:color w:val="000000"/>
          <w:sz w:val="28"/>
        </w:rPr>
        <w:t>
      В структуре заболеваний среди причин смертности первое место занимают болезни системы кровообращения (далее – БСК). В 2018 году от БСК умерло 167,38 на 100 тыс. человек, что на 13% ниже, чем в 2015 году. Среди умерших от БСК в стационарах пациентов 40,4% были трудоспособного возраста (от 15 до 64 лет). Среди БСК лидируют ишемическая болезнь сердца (далее – ИБС) от которой в Казахстане в год умирает 11,3 тыс. человек (71,7 на 100 тыс. населения); а также острые нарушения мозгового кровообращения (далее – ОНМК), в год умирает 11,1 тыс. пациентов (71,8 на 100 тыс. населения). Из числа лиц, перенесших острый инфаркт миокарда (далее – ОИМ), на диспансерный учет берется 69%, из числа пролеченных пациентов с ОНМК на диспансерный учет берется 24%, тогда как целью является наблюдение всех лиц, перенесших инсульт.</w:t>
      </w:r>
    </w:p>
    <w:bookmarkEnd w:id="40"/>
    <w:bookmarkStart w:name="z67" w:id="41"/>
    <w:p>
      <w:pPr>
        <w:spacing w:after="0"/>
        <w:ind w:left="0"/>
        <w:jc w:val="both"/>
      </w:pPr>
      <w:r>
        <w:rPr>
          <w:rFonts w:ascii="Times New Roman"/>
          <w:b w:val="false"/>
          <w:i w:val="false"/>
          <w:color w:val="000000"/>
          <w:sz w:val="28"/>
        </w:rPr>
        <w:t>
      После БСК на втором месте по смертности (15,7%) в 2018 году занимают заболевания нервной системы (причиной смерти большинства пожилых лиц указывается данная категория заболеваний). На третьем месте – болезни органов дыхания (11,6%). На четвертом месте причин смертности – новообразования (8,8%). Реализуется Комплексный план по борьбе с онкологическими заболеваниями на 2018 – 2022 годы, начато строительство Национального онкологического центра в столице. Раннее выявление рака на I-II стадиях составляет 60,5%.</w:t>
      </w:r>
    </w:p>
    <w:bookmarkEnd w:id="41"/>
    <w:bookmarkStart w:name="z68" w:id="42"/>
    <w:p>
      <w:pPr>
        <w:spacing w:after="0"/>
        <w:ind w:left="0"/>
        <w:jc w:val="both"/>
      </w:pPr>
      <w:r>
        <w:rPr>
          <w:rFonts w:ascii="Times New Roman"/>
          <w:b w:val="false"/>
          <w:i w:val="false"/>
          <w:color w:val="000000"/>
          <w:sz w:val="28"/>
        </w:rPr>
        <w:t>
      Смертность от травм, несчастных случаев и отравлений имеет тенденцию к снижению: с 82,5 тыс. человек в 2015 году до 66,59 на 100 тыс. человек в 2018 году. Остается высоким количество умерших от дорожно-транспортных происшествий (в 2015 году – 2439 человек, в 2018 году – 2413 человек) – один из самых высоких показателей в Европейском регионе ВОЗ.</w:t>
      </w:r>
    </w:p>
    <w:bookmarkEnd w:id="42"/>
    <w:bookmarkStart w:name="z69" w:id="43"/>
    <w:p>
      <w:pPr>
        <w:spacing w:after="0"/>
        <w:ind w:left="0"/>
        <w:jc w:val="both"/>
      </w:pPr>
      <w:r>
        <w:rPr>
          <w:rFonts w:ascii="Times New Roman"/>
          <w:b w:val="false"/>
          <w:i w:val="false"/>
          <w:color w:val="000000"/>
          <w:sz w:val="28"/>
        </w:rPr>
        <w:t xml:space="preserve">
      </w:t>
      </w:r>
      <w:r>
        <w:rPr>
          <w:rFonts w:ascii="Times New Roman"/>
          <w:b w:val="false"/>
          <w:i/>
          <w:color w:val="000000"/>
          <w:sz w:val="28"/>
        </w:rPr>
        <w:t>Здоровье детей</w:t>
      </w:r>
    </w:p>
    <w:bookmarkEnd w:id="43"/>
    <w:bookmarkStart w:name="z70" w:id="44"/>
    <w:p>
      <w:pPr>
        <w:spacing w:after="0"/>
        <w:ind w:left="0"/>
        <w:jc w:val="both"/>
      </w:pPr>
      <w:r>
        <w:rPr>
          <w:rFonts w:ascii="Times New Roman"/>
          <w:b w:val="false"/>
          <w:i w:val="false"/>
          <w:color w:val="000000"/>
          <w:sz w:val="28"/>
        </w:rPr>
        <w:t>
      По данным ВОЗ основными рисками для здоровья детей в Казахстане до 5 лет являются недостаточный уход за ребенком и незнание родителями тревожных признаков у детей и факторов риска. Самыми весомыми внешними причинами в смертности детей до 5 лет являются травмы, утопления и случайные удушения.</w:t>
      </w:r>
    </w:p>
    <w:bookmarkEnd w:id="44"/>
    <w:bookmarkStart w:name="z71" w:id="45"/>
    <w:p>
      <w:pPr>
        <w:spacing w:after="0"/>
        <w:ind w:left="0"/>
        <w:jc w:val="both"/>
      </w:pPr>
      <w:r>
        <w:rPr>
          <w:rFonts w:ascii="Times New Roman"/>
          <w:b w:val="false"/>
          <w:i w:val="false"/>
          <w:color w:val="000000"/>
          <w:sz w:val="28"/>
        </w:rPr>
        <w:t>
      В 2018 году количество детей до 6 лет с особыми образовательными потребностями из-за состояния здоровья (врожденные аномалии, травмы и иные заболевания) превысило 46 тыс. человек. С 2015 года ежегодный прирост данной категории детей составил 6 тысяч детей. Имеет тенденцию роста детская инвалидность, основные причины инвалидизации: врожденные аномалии (32,5%), заболевания нервной системы (22,9%), психические расстройства (12,5%).</w:t>
      </w:r>
    </w:p>
    <w:bookmarkEnd w:id="45"/>
    <w:bookmarkStart w:name="z72" w:id="46"/>
    <w:p>
      <w:pPr>
        <w:spacing w:after="0"/>
        <w:ind w:left="0"/>
        <w:jc w:val="both"/>
      </w:pPr>
      <w:r>
        <w:rPr>
          <w:rFonts w:ascii="Times New Roman"/>
          <w:b w:val="false"/>
          <w:i w:val="false"/>
          <w:color w:val="000000"/>
          <w:sz w:val="28"/>
        </w:rPr>
        <w:t>
      Растет количество детей в возрасте 6-9 лет, страдающих избыточной массой тела из-за малоподвижного образа жизни и несбалансированного питания. Среди детей школьного возраста преобладают заболевания желудочно-кишечного тракта (24%).</w:t>
      </w:r>
    </w:p>
    <w:bookmarkEnd w:id="46"/>
    <w:bookmarkStart w:name="z73" w:id="47"/>
    <w:p>
      <w:pPr>
        <w:spacing w:after="0"/>
        <w:ind w:left="0"/>
        <w:jc w:val="both"/>
      </w:pPr>
      <w:r>
        <w:rPr>
          <w:rFonts w:ascii="Times New Roman"/>
          <w:b w:val="false"/>
          <w:i w:val="false"/>
          <w:color w:val="000000"/>
          <w:sz w:val="28"/>
        </w:rPr>
        <w:t>
      По результатам профилактических осмотров детей школьного возраста до 14 лет больше всего дети страдают нарушениями зрения, что связано с бесконтрольным пользованием детьми гаджетов.</w:t>
      </w:r>
    </w:p>
    <w:bookmarkEnd w:id="47"/>
    <w:bookmarkStart w:name="z74" w:id="48"/>
    <w:p>
      <w:pPr>
        <w:spacing w:after="0"/>
        <w:ind w:left="0"/>
        <w:jc w:val="both"/>
      </w:pPr>
      <w:r>
        <w:rPr>
          <w:rFonts w:ascii="Times New Roman"/>
          <w:b w:val="false"/>
          <w:i w:val="false"/>
          <w:color w:val="000000"/>
          <w:sz w:val="28"/>
        </w:rPr>
        <w:t>
      По индексу прогрессивности молодежи Казахстан занял в 2017 году 63 позицию среди 102 стран, по показателю "Питание и базовое медицинское обслуживание" дана оценка 96 баллов из 100. По данным Национального доклада "Молодежь Казахстана – 2018" ежегодно чаще всего молодежь умирает от несчастных случаев, отравлений и травм (62,3%).</w:t>
      </w:r>
    </w:p>
    <w:bookmarkEnd w:id="48"/>
    <w:bookmarkStart w:name="z75" w:id="49"/>
    <w:p>
      <w:pPr>
        <w:spacing w:after="0"/>
        <w:ind w:left="0"/>
        <w:jc w:val="both"/>
      </w:pPr>
      <w:r>
        <w:rPr>
          <w:rFonts w:ascii="Times New Roman"/>
          <w:b w:val="false"/>
          <w:i w:val="false"/>
          <w:color w:val="000000"/>
          <w:sz w:val="28"/>
        </w:rPr>
        <w:t>
      Уровень смертности по всем возрастным группам молодежи за 2015 – 2017 годы снизился. Среди мужского пола смертность выше за счет рискованного поведения (самоубийства, дорожно-транспортные происшествия, убийства, прием наркотических средств).</w:t>
      </w:r>
    </w:p>
    <w:bookmarkEnd w:id="49"/>
    <w:bookmarkStart w:name="z76" w:id="50"/>
    <w:p>
      <w:pPr>
        <w:spacing w:after="0"/>
        <w:ind w:left="0"/>
        <w:jc w:val="both"/>
      </w:pPr>
      <w:r>
        <w:rPr>
          <w:rFonts w:ascii="Times New Roman"/>
          <w:b w:val="false"/>
          <w:i w:val="false"/>
          <w:color w:val="000000"/>
          <w:sz w:val="28"/>
        </w:rPr>
        <w:t>
      Наиболее важной социальной проблемой среди молодежи Казахстана является распространенность суицидов. По данным ВОЗ Казахстан входит в лидирующую десятку стран по уровню самоубийств среди населения. Количество зарегистрированных суицидов в 2018 году составило 3471 случай. В возрастной группе подростков 15-17 лет количество завершенных суицидов снизилось за 5 лет на 50,9% и суицидальных попыток на 49,3%.</w:t>
      </w:r>
    </w:p>
    <w:bookmarkEnd w:id="50"/>
    <w:bookmarkStart w:name="z77" w:id="51"/>
    <w:p>
      <w:pPr>
        <w:spacing w:after="0"/>
        <w:ind w:left="0"/>
        <w:jc w:val="both"/>
      </w:pPr>
      <w:r>
        <w:rPr>
          <w:rFonts w:ascii="Times New Roman"/>
          <w:b w:val="false"/>
          <w:i w:val="false"/>
          <w:color w:val="000000"/>
          <w:sz w:val="28"/>
        </w:rPr>
        <w:t>
      В 2018 году в Казахстане было зарегистрировано 3,4 тыс. случаев беременностей и 1237 абортов у девушек в возрасте 15-18 лет. По данным социологического опроса Центра изучения общественного мнения, в котором участвовали 4,3 тыс. подростков в возрасте 15-19 лет со всех регионов страны, треть молодежи сексуально активна. Среди подростков городского населения больше выражено рискованное поведение (среднее количество половых партнеров – 4). Только 10% опрошенных обследовалось на ВИЧ. 73,5% опрошенных не знают, где можно анонимно обследоваться на ВИЧ и большинство молодых людей в возрасте от 15 до 24 лет (91%) в должной мере не осведомлены об основных путях передачи ВИЧ.</w:t>
      </w:r>
    </w:p>
    <w:bookmarkEnd w:id="51"/>
    <w:bookmarkStart w:name="z78" w:id="52"/>
    <w:p>
      <w:pPr>
        <w:spacing w:after="0"/>
        <w:ind w:left="0"/>
        <w:jc w:val="both"/>
      </w:pPr>
      <w:r>
        <w:rPr>
          <w:rFonts w:ascii="Times New Roman"/>
          <w:b w:val="false"/>
          <w:i w:val="false"/>
          <w:color w:val="000000"/>
          <w:sz w:val="28"/>
        </w:rPr>
        <w:t xml:space="preserve">
      </w:t>
      </w:r>
      <w:r>
        <w:rPr>
          <w:rFonts w:ascii="Times New Roman"/>
          <w:b w:val="false"/>
          <w:i/>
          <w:color w:val="000000"/>
          <w:sz w:val="28"/>
        </w:rPr>
        <w:t>Инфекционные заболевания</w:t>
      </w:r>
    </w:p>
    <w:bookmarkEnd w:id="52"/>
    <w:bookmarkStart w:name="z79" w:id="53"/>
    <w:p>
      <w:pPr>
        <w:spacing w:after="0"/>
        <w:ind w:left="0"/>
        <w:jc w:val="both"/>
      </w:pPr>
      <w:r>
        <w:rPr>
          <w:rFonts w:ascii="Times New Roman"/>
          <w:b w:val="false"/>
          <w:i w:val="false"/>
          <w:color w:val="000000"/>
          <w:sz w:val="28"/>
        </w:rPr>
        <w:t xml:space="preserve">
      Эпидемиологическая ситуация по инфекционным заболеваниям в Республике Казахстан за 2018 год стабильная. Достигнуто снижение заболеваемости по 34 инфекционным и паразитарным заболеваниям. Отмечен рост заболеваемости корью, коклюшем, менингококковой инфекцией. </w:t>
      </w:r>
    </w:p>
    <w:bookmarkEnd w:id="53"/>
    <w:bookmarkStart w:name="z80" w:id="54"/>
    <w:p>
      <w:pPr>
        <w:spacing w:after="0"/>
        <w:ind w:left="0"/>
        <w:jc w:val="both"/>
      </w:pPr>
      <w:r>
        <w:rPr>
          <w:rFonts w:ascii="Times New Roman"/>
          <w:b w:val="false"/>
          <w:i w:val="false"/>
          <w:color w:val="000000"/>
          <w:sz w:val="28"/>
        </w:rPr>
        <w:t>
      В Казахстане удерживается распространенность ВИЧ-инфекции в концентрированной стадии. В рейтинге ГИК ВЭФ Казахстан в течение последних трех лет входил группу стран с низкой распространенностью ВИЧ. В возрастной группе 15-49 лет число лиц, живущих с ВИЧ-инфекцией, составило 22,7 тыс., распространенность ВИЧ-инфекции по итогам 2018 года – 0,23%. В стране созданы условия для эффективной реализации международных рекомендаций по борьбе с ВИЧ, в том числе стратегии ЮНЭЙДС "90-90-90: амбициозные цели, приближающие победу над эпидемией СПИДа".</w:t>
      </w:r>
    </w:p>
    <w:bookmarkEnd w:id="54"/>
    <w:bookmarkStart w:name="z81" w:id="55"/>
    <w:p>
      <w:pPr>
        <w:spacing w:after="0"/>
        <w:ind w:left="0"/>
        <w:jc w:val="both"/>
      </w:pPr>
      <w:r>
        <w:rPr>
          <w:rFonts w:ascii="Times New Roman"/>
          <w:b w:val="false"/>
          <w:i w:val="false"/>
          <w:color w:val="000000"/>
          <w:sz w:val="28"/>
        </w:rPr>
        <w:t>
      В Казахстане за счет государства обеспечивается 95% финансирования службы по борьбе с туберкулезом, в том числе для выявления и лечения туберкулеза у иностранцев и лиц без гражданства. Ежегодно выявляется около 12 тыс. новых случаев и рецидивов. Показатель успешности лечения среди новых случаев и рецидивов составляет 88%.</w:t>
      </w:r>
    </w:p>
    <w:bookmarkEnd w:id="55"/>
    <w:bookmarkStart w:name="z82" w:id="56"/>
    <w:p>
      <w:pPr>
        <w:spacing w:after="0"/>
        <w:ind w:left="0"/>
        <w:jc w:val="both"/>
      </w:pPr>
      <w:r>
        <w:rPr>
          <w:rFonts w:ascii="Times New Roman"/>
          <w:b w:val="false"/>
          <w:i w:val="false"/>
          <w:color w:val="000000"/>
          <w:sz w:val="28"/>
        </w:rPr>
        <w:t xml:space="preserve">
      </w:t>
      </w:r>
      <w:r>
        <w:rPr>
          <w:rFonts w:ascii="Times New Roman"/>
          <w:b w:val="false"/>
          <w:i/>
          <w:color w:val="000000"/>
          <w:sz w:val="28"/>
        </w:rPr>
        <w:t>Первичная медико-санитарная помощь</w:t>
      </w:r>
    </w:p>
    <w:bookmarkEnd w:id="56"/>
    <w:bookmarkStart w:name="z83" w:id="57"/>
    <w:p>
      <w:pPr>
        <w:spacing w:after="0"/>
        <w:ind w:left="0"/>
        <w:jc w:val="both"/>
      </w:pPr>
      <w:r>
        <w:rPr>
          <w:rFonts w:ascii="Times New Roman"/>
          <w:b w:val="false"/>
          <w:i w:val="false"/>
          <w:color w:val="000000"/>
          <w:sz w:val="28"/>
        </w:rPr>
        <w:t>
      Казахстан является страной-участницей ВОЗ, с именем которой связано развитие первичной медико-санитарной помощи в мире, после принятия в 1978 году Алма-Атинской декларации ВОЗ по ПМСП. В 2018 году в Астане проведена юбилейная конференция ВОЗ и ЮНИСЕФ, принята Астанинская декларация по ПМСП.</w:t>
      </w:r>
    </w:p>
    <w:bookmarkEnd w:id="57"/>
    <w:bookmarkStart w:name="z84" w:id="58"/>
    <w:p>
      <w:pPr>
        <w:spacing w:after="0"/>
        <w:ind w:left="0"/>
        <w:jc w:val="both"/>
      </w:pPr>
      <w:r>
        <w:rPr>
          <w:rFonts w:ascii="Times New Roman"/>
          <w:b w:val="false"/>
          <w:i w:val="false"/>
          <w:color w:val="000000"/>
          <w:sz w:val="28"/>
        </w:rPr>
        <w:t>
      В годы независимости ПМСП являлась приоритетом в развитии здравоохранения страны. Реализуется План мероприятий по развитию первичной медико-санитарной помощи в Республике Казахстан на 2019 – 2020 годы, утвержденный распоряжением Премьер-Министра Республики Казахстан от 10 июня 2019 года №103-р.</w:t>
      </w:r>
    </w:p>
    <w:bookmarkEnd w:id="58"/>
    <w:bookmarkStart w:name="z85" w:id="59"/>
    <w:p>
      <w:pPr>
        <w:spacing w:after="0"/>
        <w:ind w:left="0"/>
        <w:jc w:val="both"/>
      </w:pPr>
      <w:r>
        <w:rPr>
          <w:rFonts w:ascii="Times New Roman"/>
          <w:b w:val="false"/>
          <w:i w:val="false"/>
          <w:color w:val="000000"/>
          <w:sz w:val="28"/>
        </w:rPr>
        <w:t>
      Успешно внедрена скрининговая программа ключевых неинфекционных заболеваний на уровне ПМСП. Предпринимаются меры по стимулированию врачей общей практики и снижению количества прикрепленного населения на одного врача до 1 700 человек. Растет заинтересованность бизнеса в оказании услуг ПМСП. Доля частных поставщиков услуг ПМСП в 2019 году составляет 36,2% от всех поставщиков.</w:t>
      </w:r>
    </w:p>
    <w:bookmarkEnd w:id="59"/>
    <w:bookmarkStart w:name="z86" w:id="60"/>
    <w:p>
      <w:pPr>
        <w:spacing w:after="0"/>
        <w:ind w:left="0"/>
        <w:jc w:val="both"/>
      </w:pPr>
      <w:r>
        <w:rPr>
          <w:rFonts w:ascii="Times New Roman"/>
          <w:b w:val="false"/>
          <w:i w:val="false"/>
          <w:color w:val="000000"/>
          <w:sz w:val="28"/>
        </w:rPr>
        <w:t>
      Внедряются программы управления заболеваниями (далее – ПУЗ) по трем заболеваниям: артериальная гипертензия, хроническая сердечная недостаточность, сахарный диабет. ПУЗ позволяет формировать солидарную ответственность людей за свое здоровье и управлять болезнью с целью профилактики осложнений и необоснованных госпитализаций. Динамическим наблюдением охвачено более полутора миллионов человек, из них в ПУЗ вовлечены 462,5 тыс. человек (28,4%).</w:t>
      </w:r>
    </w:p>
    <w:bookmarkEnd w:id="60"/>
    <w:bookmarkStart w:name="z87" w:id="61"/>
    <w:p>
      <w:pPr>
        <w:spacing w:after="0"/>
        <w:ind w:left="0"/>
        <w:jc w:val="both"/>
      </w:pPr>
      <w:r>
        <w:rPr>
          <w:rFonts w:ascii="Times New Roman"/>
          <w:b w:val="false"/>
          <w:i w:val="false"/>
          <w:color w:val="000000"/>
          <w:sz w:val="28"/>
        </w:rPr>
        <w:t>
      Для повышения доступности ПМСП, кроме увеличения числа врачей общей практики в отрасли, проводится разукрупнение субъектов здравоохранения. Привлекаются частные инвесторы для обеспечения шаговой доступности малых практик ПМСП в городах. В сельской местности услуги ПМСП интегрированы с районными больницами, в штате которых состоят врачи общей практики, фельдшера и медицинские сестры, работающие в медицинских пунктах, фельдшерско-акушерских пунктах и врачебных амбулаториях.</w:t>
      </w:r>
    </w:p>
    <w:bookmarkEnd w:id="61"/>
    <w:bookmarkStart w:name="z88" w:id="62"/>
    <w:p>
      <w:pPr>
        <w:spacing w:after="0"/>
        <w:ind w:left="0"/>
        <w:jc w:val="both"/>
      </w:pPr>
      <w:r>
        <w:rPr>
          <w:rFonts w:ascii="Times New Roman"/>
          <w:b w:val="false"/>
          <w:i w:val="false"/>
          <w:color w:val="000000"/>
          <w:sz w:val="28"/>
        </w:rPr>
        <w:t>
      Для улучшения качества подготовки врачей первичного звена с 2019 года введена резидентура по специальности "семейная медицина".</w:t>
      </w:r>
    </w:p>
    <w:bookmarkEnd w:id="62"/>
    <w:bookmarkStart w:name="z89" w:id="63"/>
    <w:p>
      <w:pPr>
        <w:spacing w:after="0"/>
        <w:ind w:left="0"/>
        <w:jc w:val="both"/>
      </w:pPr>
      <w:r>
        <w:rPr>
          <w:rFonts w:ascii="Times New Roman"/>
          <w:b w:val="false"/>
          <w:i w:val="false"/>
          <w:color w:val="000000"/>
          <w:sz w:val="28"/>
        </w:rPr>
        <w:t xml:space="preserve">
      </w:t>
      </w:r>
      <w:r>
        <w:rPr>
          <w:rFonts w:ascii="Times New Roman"/>
          <w:b w:val="false"/>
          <w:i/>
          <w:color w:val="000000"/>
          <w:sz w:val="28"/>
        </w:rPr>
        <w:t>Кадровые ресурсы в здравоохранении</w:t>
      </w:r>
    </w:p>
    <w:bookmarkEnd w:id="63"/>
    <w:bookmarkStart w:name="z90" w:id="64"/>
    <w:p>
      <w:pPr>
        <w:spacing w:after="0"/>
        <w:ind w:left="0"/>
        <w:jc w:val="both"/>
      </w:pPr>
      <w:r>
        <w:rPr>
          <w:rFonts w:ascii="Times New Roman"/>
          <w:b w:val="false"/>
          <w:i w:val="false"/>
          <w:color w:val="000000"/>
          <w:sz w:val="28"/>
        </w:rPr>
        <w:t xml:space="preserve">
      В Казахстане работает более 248 тысяч медицинских работников, в том числе врачей – 72 877, средних медицинских работников – 175 705. Обеспеченность врачами в Казахстане составляет 39,6, в ОЭСР – 33, обеспеченность средним медицинским персоналам в Казахстане – 95,5, в ОЭСР – 91 на 10 тысяч населения. </w:t>
      </w:r>
    </w:p>
    <w:bookmarkEnd w:id="64"/>
    <w:bookmarkStart w:name="z91" w:id="65"/>
    <w:p>
      <w:pPr>
        <w:spacing w:after="0"/>
        <w:ind w:left="0"/>
        <w:jc w:val="both"/>
      </w:pPr>
      <w:r>
        <w:rPr>
          <w:rFonts w:ascii="Times New Roman"/>
          <w:b w:val="false"/>
          <w:i w:val="false"/>
          <w:color w:val="000000"/>
          <w:sz w:val="28"/>
        </w:rPr>
        <w:t xml:space="preserve">
      Имеется дисбаланс в обеспечении кадрами между городским и сельским здравоохранением. В городе работает 56,8 врачей на 10 тыс. населения, в сельской местности – 16,1 на 10 тыс. населения. 83% всех врачей работают в городской местности, 17% – в сельской. </w:t>
      </w:r>
    </w:p>
    <w:bookmarkEnd w:id="65"/>
    <w:bookmarkStart w:name="z92" w:id="66"/>
    <w:p>
      <w:pPr>
        <w:spacing w:after="0"/>
        <w:ind w:left="0"/>
        <w:jc w:val="both"/>
      </w:pPr>
      <w:r>
        <w:rPr>
          <w:rFonts w:ascii="Times New Roman"/>
          <w:b w:val="false"/>
          <w:i w:val="false"/>
          <w:color w:val="000000"/>
          <w:sz w:val="28"/>
        </w:rPr>
        <w:t>
      В 2018 году дефицит врачей составил 2482 по незанятым штатным единицам. Наибольший дефицит отмечается по специальностям анестезиология-реаниматология, психиатрия, общая врачебная практика, акушерство и гинекология, педиатрия. С целью обеспечения потребности во врачебных кадрах введена обязательная трехлетняя отработка в государственных организациях здравоохранения; выделяются государственные образовательные заказы за счет средств республиканского и местного бюджетов.</w:t>
      </w:r>
    </w:p>
    <w:bookmarkEnd w:id="66"/>
    <w:bookmarkStart w:name="z93" w:id="67"/>
    <w:p>
      <w:pPr>
        <w:spacing w:after="0"/>
        <w:ind w:left="0"/>
        <w:jc w:val="both"/>
      </w:pPr>
      <w:r>
        <w:rPr>
          <w:rFonts w:ascii="Times New Roman"/>
          <w:b w:val="false"/>
          <w:i w:val="false"/>
          <w:color w:val="000000"/>
          <w:sz w:val="28"/>
        </w:rPr>
        <w:t xml:space="preserve">
      Соотношение средней заработной платы врача к средней зарплате в экономике в 2018 году составило 0,93:1 в Казахстане, тогда как в странах ОЭСР это соотношение 2,6:1. Разница в ценности заработных плат врача РК и врача ОЭСР составляла в 6,9 раз: казахстанский врач на свою месячную заработную плату может купить 2,4 потребительские корзины, тогда как врач в странах ОЭСР может купить 16,4 потребительские корзины 2017 году. Для повышения заработной платы медработников в рамках реализации новых социальных мер Елбасы "Әлеуметтік қамқорлық" с 1 июня 2019 года заработная плата работникам здравоохранения повышена на 30%. В 2019 году 100% государственных медицинских организаций переведены в форму предприятия на праве хозяйственного ведения, что позволяет в рамках возможностей организации дополнительно повышать заработную плату на основе положения об оплате труда организации, не применяя ставки заработной платы из постановления Правительства от 31 декабря 2015 года № 1193, регулирующего зарплату государственных служащих. </w:t>
      </w:r>
    </w:p>
    <w:bookmarkEnd w:id="67"/>
    <w:bookmarkStart w:name="z94" w:id="68"/>
    <w:p>
      <w:pPr>
        <w:spacing w:after="0"/>
        <w:ind w:left="0"/>
        <w:jc w:val="both"/>
      </w:pPr>
      <w:r>
        <w:rPr>
          <w:rFonts w:ascii="Times New Roman"/>
          <w:b w:val="false"/>
          <w:i w:val="false"/>
          <w:color w:val="000000"/>
          <w:sz w:val="28"/>
        </w:rPr>
        <w:t>
      Подготовка кадров для системы здравоохранения ведется в 13 ВУЗах и 83 медицинских колледжах. Ежегодный выпуск ВУЗов составляет более 3 тыс. специалистов. В ВУЗах внедрена практика привлечения преподавателей и менеджеров из крупных зарубежных медицинских университетов, совместно с которыми реализуются стратегическое партнерство и академическая мобильность.</w:t>
      </w:r>
    </w:p>
    <w:bookmarkEnd w:id="68"/>
    <w:bookmarkStart w:name="z95" w:id="69"/>
    <w:p>
      <w:pPr>
        <w:spacing w:after="0"/>
        <w:ind w:left="0"/>
        <w:jc w:val="both"/>
      </w:pPr>
      <w:r>
        <w:rPr>
          <w:rFonts w:ascii="Times New Roman"/>
          <w:b w:val="false"/>
          <w:i w:val="false"/>
          <w:color w:val="000000"/>
          <w:sz w:val="28"/>
        </w:rPr>
        <w:t>
      Образовательные программы медицинских ВУЗов аккредитуются независимыми аккредитационными агентствами, которые являются членами Европейской ассоциации по гарантии качества высшего образования (ESG ENQA). Казахстан является членом Европейского пространства высшего образования (EHEA), что способствует улучшению качества высшего образования в Республике Казахстан.</w:t>
      </w:r>
    </w:p>
    <w:bookmarkEnd w:id="69"/>
    <w:bookmarkStart w:name="z96" w:id="70"/>
    <w:p>
      <w:pPr>
        <w:spacing w:after="0"/>
        <w:ind w:left="0"/>
        <w:jc w:val="both"/>
      </w:pPr>
      <w:r>
        <w:rPr>
          <w:rFonts w:ascii="Times New Roman"/>
          <w:b w:val="false"/>
          <w:i w:val="false"/>
          <w:color w:val="000000"/>
          <w:sz w:val="28"/>
        </w:rPr>
        <w:t xml:space="preserve">
      </w:t>
      </w:r>
      <w:r>
        <w:rPr>
          <w:rFonts w:ascii="Times New Roman"/>
          <w:b w:val="false"/>
          <w:i/>
          <w:color w:val="000000"/>
          <w:sz w:val="28"/>
        </w:rPr>
        <w:t>Внедрение обязательного социального медицинского страхования</w:t>
      </w:r>
    </w:p>
    <w:bookmarkEnd w:id="70"/>
    <w:bookmarkStart w:name="z97" w:id="71"/>
    <w:p>
      <w:pPr>
        <w:spacing w:after="0"/>
        <w:ind w:left="0"/>
        <w:jc w:val="both"/>
      </w:pPr>
      <w:r>
        <w:rPr>
          <w:rFonts w:ascii="Times New Roman"/>
          <w:b w:val="false"/>
          <w:i w:val="false"/>
          <w:color w:val="000000"/>
          <w:sz w:val="28"/>
        </w:rPr>
        <w:t>
      С 2017 года аккумулируются средства на ОСМС, с 2018 года Фонд социального медицинского страхования выступает в роли стратегического закупщика медицинской помощи в рамках гарантированного объема бесплатной медицинской помощи (далее – ГОБМП). В одной из областей пилотируется внедрение ОСМС с целью реализации реформы ОСМС на национальном уровне с 1 января 2020 года.</w:t>
      </w:r>
    </w:p>
    <w:bookmarkEnd w:id="71"/>
    <w:bookmarkStart w:name="z98" w:id="72"/>
    <w:p>
      <w:pPr>
        <w:spacing w:after="0"/>
        <w:ind w:left="0"/>
        <w:jc w:val="both"/>
      </w:pPr>
      <w:r>
        <w:rPr>
          <w:rFonts w:ascii="Times New Roman"/>
          <w:b w:val="false"/>
          <w:i w:val="false"/>
          <w:color w:val="000000"/>
          <w:sz w:val="28"/>
        </w:rPr>
        <w:t xml:space="preserve">
      Изменена инфраструктура сети здравоохранения. В рамках реализации государственного норматива сети организаций здравоохранения утверждены перспективные планы регионов на период до 2025 года. В среднем по республике более половины медицинских объектов (59,7%) изношены. </w:t>
      </w:r>
    </w:p>
    <w:bookmarkEnd w:id="72"/>
    <w:bookmarkStart w:name="z99" w:id="73"/>
    <w:p>
      <w:pPr>
        <w:spacing w:after="0"/>
        <w:ind w:left="0"/>
        <w:jc w:val="both"/>
      </w:pPr>
      <w:r>
        <w:rPr>
          <w:rFonts w:ascii="Times New Roman"/>
          <w:b w:val="false"/>
          <w:i w:val="false"/>
          <w:color w:val="000000"/>
          <w:sz w:val="28"/>
        </w:rPr>
        <w:t>
      Реализованы механизмы по повышению самостоятельности управления государственных медицинских организаций. В государственных медицинских организациях внедрены элементы корпоративного управления: созданы наблюдательные советы с участием независимых директоров, внедрены практики самостоятельного определения уровня заработной платы медицинских работников и самостоятельного определения штатного расписания. Ведется рейтинг государственных медицинских организаций по показателям менеджмента, клинической и научной деятельности, а также уровня корпоративного управления.</w:t>
      </w:r>
    </w:p>
    <w:bookmarkEnd w:id="73"/>
    <w:bookmarkStart w:name="z100" w:id="74"/>
    <w:p>
      <w:pPr>
        <w:spacing w:after="0"/>
        <w:ind w:left="0"/>
        <w:jc w:val="both"/>
      </w:pPr>
      <w:r>
        <w:rPr>
          <w:rFonts w:ascii="Times New Roman"/>
          <w:b w:val="false"/>
          <w:i w:val="false"/>
          <w:color w:val="000000"/>
          <w:sz w:val="28"/>
        </w:rPr>
        <w:t>
      С введением ОСМС повышается роль медицинского сообщества в обеспечении качества медицинской помощи. Реализован институциональный механизм повышения качества медицинских услуг путем создания консультативно-совещательного органа – Объединенной комиссии по качеству медицинских услуг. Внедрено более 30 стандартов организации медицинской помощи, утверждено свыше 1300 клинических протоколов, основанных на доказательной медицине. Проводится оценка технологий здравоохранения.</w:t>
      </w:r>
    </w:p>
    <w:bookmarkEnd w:id="74"/>
    <w:bookmarkStart w:name="z101" w:id="75"/>
    <w:p>
      <w:pPr>
        <w:spacing w:after="0"/>
        <w:ind w:left="0"/>
        <w:jc w:val="both"/>
      </w:pPr>
      <w:r>
        <w:rPr>
          <w:rFonts w:ascii="Times New Roman"/>
          <w:b w:val="false"/>
          <w:i w:val="false"/>
          <w:color w:val="000000"/>
          <w:sz w:val="28"/>
        </w:rPr>
        <w:t>
      С целью непрерывной системы менеджмента качества внедрена национальная система аккредитации медицинских организаций, соответствующая международным стандартам (Международное общество по качеству в здравоохранении, ISQua). На сегодня 30% медицинских организаций – поставщиков у ФСМС – имеют национальную аккредитацию. Семь ведущих медицинских организаций страны имеют международную аккредитацию JCI.</w:t>
      </w:r>
    </w:p>
    <w:bookmarkEnd w:id="75"/>
    <w:bookmarkStart w:name="z102" w:id="76"/>
    <w:p>
      <w:pPr>
        <w:spacing w:after="0"/>
        <w:ind w:left="0"/>
        <w:jc w:val="both"/>
      </w:pPr>
      <w:r>
        <w:rPr>
          <w:rFonts w:ascii="Times New Roman"/>
          <w:b w:val="false"/>
          <w:i w:val="false"/>
          <w:color w:val="000000"/>
          <w:sz w:val="28"/>
        </w:rPr>
        <w:t>
      На законодательном уровне закреплено государственное регулирование цен на лекарственные средства, осуществлен переход на референтное ценообразование. Для достижения стратегической цели по повышению доступности и качества лекарственных средств процедура закупа лекарственных средств в рамках ГОБМП претерпела ряд организационных новшеств: закуп проводится в режиме онлайн-трансляции в открытом доступе для всего населения. Заключено 49 долгосрочных договоров с 30 отечественными производителями на более чем 1500 наименований лекарственных средств и медицинских изделий, что позволило сэкономить средства на дорогостоящей логистике и расширить объемы закупа. С целью рационального использования лекарственных средств поддерживается казахстанский национальный формуляр, разработанный при участии казахстанских и международных экспертов и содержащий лекарственные средства с доказанной клинической эффективностью.</w:t>
      </w:r>
    </w:p>
    <w:bookmarkEnd w:id="76"/>
    <w:bookmarkStart w:name="z103" w:id="77"/>
    <w:p>
      <w:pPr>
        <w:spacing w:after="0"/>
        <w:ind w:left="0"/>
        <w:jc w:val="both"/>
      </w:pPr>
      <w:r>
        <w:rPr>
          <w:rFonts w:ascii="Times New Roman"/>
          <w:b w:val="false"/>
          <w:i w:val="false"/>
          <w:color w:val="000000"/>
          <w:sz w:val="28"/>
        </w:rPr>
        <w:t>
      В ходе подготовки к ОСМС внедрены медицинские информационные системы, внедряется безбумажное ведение медицинской документации. Сформированы электронные паспорта здоровья для населения страны. Сформированы централизованные регистры, необходимые для обмена данными об оказанной медицинской помощи. Утверждены стандарты для обеспечения единых подходов к формированию ИТ-архитектуры цифрового здравоохранения. Завершена разработка интеграционной платформы здравоохранения. Развитие информационных систем расширило спектр автоматизированных государственных услуг, снизило бумажный документооборот в медицинских организациях, повысило качество информации о медицинских и фармацевтических услугах.</w:t>
      </w:r>
    </w:p>
    <w:bookmarkEnd w:id="77"/>
    <w:bookmarkStart w:name="z104" w:id="78"/>
    <w:p>
      <w:pPr>
        <w:spacing w:after="0"/>
        <w:ind w:left="0"/>
        <w:jc w:val="both"/>
      </w:pPr>
      <w:r>
        <w:rPr>
          <w:rFonts w:ascii="Times New Roman"/>
          <w:b w:val="false"/>
          <w:i w:val="false"/>
          <w:color w:val="000000"/>
          <w:sz w:val="28"/>
        </w:rPr>
        <w:t>
      Частные расходы в 2018 году составили 679,5 млрд. тенге или 1,2% к ВВП или 38,5% от текущих расходов на здравоохранение. По сравнению со странами ОЭСР, где доля частных расходов от текущих расходов на здравоохранение составляет 26,8%, этот показатель является высоким. По сравнению с 2017 годом частные расходы возросли на 8,4% в 2018 году. Непосредственно платежи населения за услуги здравоохранения составляют 33% от текущих расходов (86% в составе частных расходов). Большую долю платежей населения за услуги здравоохранения составляют расходы на лекарственное обеспечение 353 млрд. тенге (60,7%).</w:t>
      </w:r>
    </w:p>
    <w:bookmarkEnd w:id="78"/>
    <w:bookmarkStart w:name="z105" w:id="79"/>
    <w:p>
      <w:pPr>
        <w:spacing w:after="0"/>
        <w:ind w:left="0"/>
        <w:jc w:val="both"/>
      </w:pPr>
      <w:r>
        <w:rPr>
          <w:rFonts w:ascii="Times New Roman"/>
          <w:b w:val="false"/>
          <w:i w:val="false"/>
          <w:color w:val="000000"/>
          <w:sz w:val="28"/>
        </w:rPr>
        <w:t xml:space="preserve">
      </w:t>
      </w:r>
      <w:r>
        <w:rPr>
          <w:rFonts w:ascii="Times New Roman"/>
          <w:b w:val="false"/>
          <w:i/>
          <w:color w:val="000000"/>
          <w:sz w:val="28"/>
        </w:rPr>
        <w:t>Инфраструктура сферы здравоохранения</w:t>
      </w:r>
    </w:p>
    <w:bookmarkEnd w:id="79"/>
    <w:bookmarkStart w:name="z106" w:id="80"/>
    <w:p>
      <w:pPr>
        <w:spacing w:after="0"/>
        <w:ind w:left="0"/>
        <w:jc w:val="both"/>
      </w:pPr>
      <w:r>
        <w:rPr>
          <w:rFonts w:ascii="Times New Roman"/>
          <w:b w:val="false"/>
          <w:i w:val="false"/>
          <w:color w:val="000000"/>
          <w:sz w:val="28"/>
        </w:rPr>
        <w:t>
      По итогам 2018 года процент оснащенности государственных организаций здравоохранения медицинской техникой составил 72,5%. 272 организации здравоохранения требуют капитального ремонта. Износ медицинской техники составил 37%, только 55% всей медицинской техники используются на 100%.</w:t>
      </w:r>
    </w:p>
    <w:bookmarkEnd w:id="80"/>
    <w:bookmarkStart w:name="z107" w:id="81"/>
    <w:p>
      <w:pPr>
        <w:spacing w:after="0"/>
        <w:ind w:left="0"/>
        <w:jc w:val="both"/>
      </w:pPr>
      <w:r>
        <w:rPr>
          <w:rFonts w:ascii="Times New Roman"/>
          <w:b w:val="false"/>
          <w:i w:val="false"/>
          <w:color w:val="000000"/>
          <w:sz w:val="28"/>
        </w:rPr>
        <w:t xml:space="preserve">
      </w:t>
      </w:r>
      <w:r>
        <w:rPr>
          <w:rFonts w:ascii="Times New Roman"/>
          <w:b w:val="false"/>
          <w:i/>
          <w:color w:val="000000"/>
          <w:sz w:val="28"/>
        </w:rPr>
        <w:t>Цифровизация здравоохранения</w:t>
      </w:r>
    </w:p>
    <w:bookmarkEnd w:id="81"/>
    <w:bookmarkStart w:name="z108" w:id="82"/>
    <w:p>
      <w:pPr>
        <w:spacing w:after="0"/>
        <w:ind w:left="0"/>
        <w:jc w:val="both"/>
      </w:pPr>
      <w:r>
        <w:rPr>
          <w:rFonts w:ascii="Times New Roman"/>
          <w:b w:val="false"/>
          <w:i w:val="false"/>
          <w:color w:val="000000"/>
          <w:sz w:val="28"/>
        </w:rPr>
        <w:t xml:space="preserve">
      На начало 2019 года оснащҰнность компьютерами организаций здравоохранения составляет 94,1%. На уровне городов и районных центров 65,8% организаций здравоохранения обеспечены доступом к сети интернет. </w:t>
      </w:r>
    </w:p>
    <w:bookmarkEnd w:id="82"/>
    <w:bookmarkStart w:name="z109" w:id="83"/>
    <w:p>
      <w:pPr>
        <w:spacing w:after="0"/>
        <w:ind w:left="0"/>
        <w:jc w:val="both"/>
      </w:pPr>
      <w:r>
        <w:rPr>
          <w:rFonts w:ascii="Times New Roman"/>
          <w:b w:val="false"/>
          <w:i w:val="false"/>
          <w:color w:val="000000"/>
          <w:sz w:val="28"/>
        </w:rPr>
        <w:t>
      В организациях здравоохранения республики внедрение медицинских информационных систем (далее – МИС) составило 65,1%.</w:t>
      </w:r>
    </w:p>
    <w:bookmarkEnd w:id="83"/>
    <w:bookmarkStart w:name="z110" w:id="84"/>
    <w:p>
      <w:pPr>
        <w:spacing w:after="0"/>
        <w:ind w:left="0"/>
        <w:jc w:val="both"/>
      </w:pPr>
      <w:r>
        <w:rPr>
          <w:rFonts w:ascii="Times New Roman"/>
          <w:b w:val="false"/>
          <w:i w:val="false"/>
          <w:color w:val="000000"/>
          <w:sz w:val="28"/>
        </w:rPr>
        <w:t>
      На региональном уровне в МИС созданы и заполнены 16,3 млн. электронных паспортов здоровья, что составляет 89% от общего количества населения.</w:t>
      </w:r>
    </w:p>
    <w:bookmarkEnd w:id="84"/>
    <w:bookmarkStart w:name="z111" w:id="85"/>
    <w:p>
      <w:pPr>
        <w:spacing w:after="0"/>
        <w:ind w:left="0"/>
        <w:jc w:val="both"/>
      </w:pPr>
      <w:r>
        <w:rPr>
          <w:rFonts w:ascii="Times New Roman"/>
          <w:b w:val="false"/>
          <w:i w:val="false"/>
          <w:color w:val="000000"/>
          <w:sz w:val="28"/>
        </w:rPr>
        <w:t xml:space="preserve">
      </w:t>
      </w:r>
      <w:r>
        <w:rPr>
          <w:rFonts w:ascii="Times New Roman"/>
          <w:b/>
          <w:i w:val="false"/>
          <w:color w:val="000000"/>
          <w:sz w:val="28"/>
        </w:rPr>
        <w:t>SWOT-анализ системы здравоохранения</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7"/>
        <w:gridCol w:w="5653"/>
      </w:tblGrid>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1) широкий охват населения услугами здравоохранения;</w:t>
            </w:r>
            <w:r>
              <w:br/>
            </w:r>
            <w:r>
              <w:rPr>
                <w:rFonts w:ascii="Times New Roman"/>
                <w:b w:val="false"/>
                <w:i w:val="false"/>
                <w:color w:val="000000"/>
                <w:sz w:val="20"/>
              </w:rPr>
              <w:t>
</w:t>
            </w:r>
            <w:r>
              <w:rPr>
                <w:rFonts w:ascii="Times New Roman"/>
                <w:b w:val="false"/>
                <w:i w:val="false"/>
                <w:color w:val="000000"/>
                <w:sz w:val="20"/>
              </w:rPr>
              <w:t>2) эффективный контроль расходов в сфере здравоохранения;</w:t>
            </w:r>
            <w:r>
              <w:br/>
            </w:r>
            <w:r>
              <w:rPr>
                <w:rFonts w:ascii="Times New Roman"/>
                <w:b w:val="false"/>
                <w:i w:val="false"/>
                <w:color w:val="000000"/>
                <w:sz w:val="20"/>
              </w:rPr>
              <w:t>
</w:t>
            </w:r>
            <w:r>
              <w:rPr>
                <w:rFonts w:ascii="Times New Roman"/>
                <w:b w:val="false"/>
                <w:i w:val="false"/>
                <w:color w:val="000000"/>
                <w:sz w:val="20"/>
              </w:rPr>
              <w:t>3) стандартизация клинической деятельности;</w:t>
            </w:r>
            <w:r>
              <w:br/>
            </w:r>
            <w:r>
              <w:rPr>
                <w:rFonts w:ascii="Times New Roman"/>
                <w:b w:val="false"/>
                <w:i w:val="false"/>
                <w:color w:val="000000"/>
                <w:sz w:val="20"/>
              </w:rPr>
              <w:t>
</w:t>
            </w:r>
            <w:r>
              <w:rPr>
                <w:rFonts w:ascii="Times New Roman"/>
                <w:b w:val="false"/>
                <w:i w:val="false"/>
                <w:color w:val="000000"/>
                <w:sz w:val="20"/>
              </w:rPr>
              <w:t>4) единые закупки лекарственных средств и медицинских изделий (снижение закупочной стоимости лекарственных средств и медицинских изделий в рамках ГОБМП);</w:t>
            </w:r>
            <w:r>
              <w:br/>
            </w:r>
            <w:r>
              <w:rPr>
                <w:rFonts w:ascii="Times New Roman"/>
                <w:b w:val="false"/>
                <w:i w:val="false"/>
                <w:color w:val="000000"/>
                <w:sz w:val="20"/>
              </w:rPr>
              <w:t>
</w:t>
            </w:r>
            <w:r>
              <w:rPr>
                <w:rFonts w:ascii="Times New Roman"/>
                <w:b w:val="false"/>
                <w:i w:val="false"/>
                <w:color w:val="000000"/>
                <w:sz w:val="20"/>
              </w:rPr>
              <w:t>5) цифровизация здравоохранения;</w:t>
            </w:r>
            <w:r>
              <w:br/>
            </w:r>
            <w:r>
              <w:rPr>
                <w:rFonts w:ascii="Times New Roman"/>
                <w:b w:val="false"/>
                <w:i w:val="false"/>
                <w:color w:val="000000"/>
                <w:sz w:val="20"/>
              </w:rPr>
              <w:t>
6) стратегическое партнерство медицинских ВУЗов с ведущими зарубежными университетами.</w:t>
            </w:r>
          </w:p>
          <w:bookmarkEnd w:id="86"/>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7"/>
          <w:p>
            <w:pPr>
              <w:spacing w:after="20"/>
              <w:ind w:left="20"/>
              <w:jc w:val="both"/>
            </w:pPr>
            <w:r>
              <w:rPr>
                <w:rFonts w:ascii="Times New Roman"/>
                <w:b w:val="false"/>
                <w:i w:val="false"/>
                <w:color w:val="000000"/>
                <w:sz w:val="20"/>
              </w:rPr>
              <w:t>
1) недостаточный уровень грамотности населения по вопросам здоровья (степень влияния поведенческих факторов риска на здоровье);</w:t>
            </w:r>
            <w:r>
              <w:br/>
            </w:r>
            <w:r>
              <w:rPr>
                <w:rFonts w:ascii="Times New Roman"/>
                <w:b w:val="false"/>
                <w:i w:val="false"/>
                <w:color w:val="000000"/>
                <w:sz w:val="20"/>
              </w:rPr>
              <w:t>
</w:t>
            </w:r>
            <w:r>
              <w:rPr>
                <w:rFonts w:ascii="Times New Roman"/>
                <w:b w:val="false"/>
                <w:i w:val="false"/>
                <w:color w:val="000000"/>
                <w:sz w:val="20"/>
              </w:rPr>
              <w:t>2) неконкурентоспособная заработная плата медицинских работников государственного сектора здравоохранения;</w:t>
            </w:r>
            <w:r>
              <w:br/>
            </w:r>
            <w:r>
              <w:rPr>
                <w:rFonts w:ascii="Times New Roman"/>
                <w:b w:val="false"/>
                <w:i w:val="false"/>
                <w:color w:val="000000"/>
                <w:sz w:val="20"/>
              </w:rPr>
              <w:t>
</w:t>
            </w:r>
            <w:r>
              <w:rPr>
                <w:rFonts w:ascii="Times New Roman"/>
                <w:b w:val="false"/>
                <w:i w:val="false"/>
                <w:color w:val="000000"/>
                <w:sz w:val="20"/>
              </w:rPr>
              <w:t>3) устаревающая инфраструктура медицинских организаций и недостаточная оснащенность медицинской техникой;</w:t>
            </w:r>
            <w:r>
              <w:br/>
            </w:r>
            <w:r>
              <w:rPr>
                <w:rFonts w:ascii="Times New Roman"/>
                <w:b w:val="false"/>
                <w:i w:val="false"/>
                <w:color w:val="000000"/>
                <w:sz w:val="20"/>
              </w:rPr>
              <w:t>
</w:t>
            </w:r>
            <w:r>
              <w:rPr>
                <w:rFonts w:ascii="Times New Roman"/>
                <w:b w:val="false"/>
                <w:i w:val="false"/>
                <w:color w:val="000000"/>
                <w:sz w:val="20"/>
              </w:rPr>
              <w:t>4) дисбаланс кадров в системе здравоохранения;</w:t>
            </w:r>
            <w:r>
              <w:br/>
            </w:r>
            <w:r>
              <w:rPr>
                <w:rFonts w:ascii="Times New Roman"/>
                <w:b w:val="false"/>
                <w:i w:val="false"/>
                <w:color w:val="000000"/>
                <w:sz w:val="20"/>
              </w:rPr>
              <w:t>
</w:t>
            </w:r>
            <w:r>
              <w:rPr>
                <w:rFonts w:ascii="Times New Roman"/>
                <w:b w:val="false"/>
                <w:i w:val="false"/>
                <w:color w:val="000000"/>
                <w:sz w:val="20"/>
              </w:rPr>
              <w:t>5) неоднородный уровень сервиса и качества медицинской помощи;</w:t>
            </w:r>
            <w:r>
              <w:br/>
            </w:r>
            <w:r>
              <w:rPr>
                <w:rFonts w:ascii="Times New Roman"/>
                <w:b w:val="false"/>
                <w:i w:val="false"/>
                <w:color w:val="000000"/>
                <w:sz w:val="20"/>
              </w:rPr>
              <w:t>
6) несовершенство информационных технологий.</w:t>
            </w:r>
          </w:p>
          <w:bookmarkEnd w:id="87"/>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8"/>
          <w:p>
            <w:pPr>
              <w:spacing w:after="20"/>
              <w:ind w:left="20"/>
              <w:jc w:val="both"/>
            </w:pPr>
            <w:r>
              <w:rPr>
                <w:rFonts w:ascii="Times New Roman"/>
                <w:b w:val="false"/>
                <w:i w:val="false"/>
                <w:color w:val="000000"/>
                <w:sz w:val="20"/>
              </w:rPr>
              <w:t>
1) внедрение искусственного интеллекта и полная цифровизация;</w:t>
            </w:r>
            <w:r>
              <w:br/>
            </w:r>
            <w:r>
              <w:rPr>
                <w:rFonts w:ascii="Times New Roman"/>
                <w:b w:val="false"/>
                <w:i w:val="false"/>
                <w:color w:val="000000"/>
                <w:sz w:val="20"/>
              </w:rPr>
              <w:t>
</w:t>
            </w:r>
            <w:r>
              <w:rPr>
                <w:rFonts w:ascii="Times New Roman"/>
                <w:b w:val="false"/>
                <w:i w:val="false"/>
                <w:color w:val="000000"/>
                <w:sz w:val="20"/>
              </w:rPr>
              <w:t>2) мобильные и веб-приложения для информирования и вовлечения населения в охрану собственного здоровья;</w:t>
            </w:r>
            <w:r>
              <w:br/>
            </w:r>
            <w:r>
              <w:rPr>
                <w:rFonts w:ascii="Times New Roman"/>
                <w:b w:val="false"/>
                <w:i w:val="false"/>
                <w:color w:val="000000"/>
                <w:sz w:val="20"/>
              </w:rPr>
              <w:t>
</w:t>
            </w:r>
            <w:r>
              <w:rPr>
                <w:rFonts w:ascii="Times New Roman"/>
                <w:b w:val="false"/>
                <w:i w:val="false"/>
                <w:color w:val="000000"/>
                <w:sz w:val="20"/>
              </w:rPr>
              <w:t>3) инициатива ВОЗ "Здоровые города";</w:t>
            </w:r>
            <w:r>
              <w:br/>
            </w:r>
            <w:r>
              <w:rPr>
                <w:rFonts w:ascii="Times New Roman"/>
                <w:b w:val="false"/>
                <w:i w:val="false"/>
                <w:color w:val="000000"/>
                <w:sz w:val="20"/>
              </w:rPr>
              <w:t>
</w:t>
            </w:r>
            <w:r>
              <w:rPr>
                <w:rFonts w:ascii="Times New Roman"/>
                <w:b w:val="false"/>
                <w:i w:val="false"/>
                <w:color w:val="000000"/>
                <w:sz w:val="20"/>
              </w:rPr>
              <w:t>4) повышение уровня грамотности населения по вопросам здоровья и снижение поведенческих факторов риска;</w:t>
            </w:r>
            <w:r>
              <w:br/>
            </w:r>
            <w:r>
              <w:rPr>
                <w:rFonts w:ascii="Times New Roman"/>
                <w:b w:val="false"/>
                <w:i w:val="false"/>
                <w:color w:val="000000"/>
                <w:sz w:val="20"/>
              </w:rPr>
              <w:t>
</w:t>
            </w:r>
            <w:r>
              <w:rPr>
                <w:rFonts w:ascii="Times New Roman"/>
                <w:b w:val="false"/>
                <w:i w:val="false"/>
                <w:color w:val="000000"/>
                <w:sz w:val="20"/>
              </w:rPr>
              <w:t>5) развитие персонализированной медицины;</w:t>
            </w:r>
            <w:r>
              <w:br/>
            </w:r>
            <w:r>
              <w:rPr>
                <w:rFonts w:ascii="Times New Roman"/>
                <w:b w:val="false"/>
                <w:i w:val="false"/>
                <w:color w:val="000000"/>
                <w:sz w:val="20"/>
              </w:rPr>
              <w:t>
</w:t>
            </w:r>
            <w:r>
              <w:rPr>
                <w:rFonts w:ascii="Times New Roman"/>
                <w:b w:val="false"/>
                <w:i w:val="false"/>
                <w:color w:val="000000"/>
                <w:sz w:val="20"/>
              </w:rPr>
              <w:t>6) внедрение инновационных методов лечения и технологий, в том числе в области биофармацевтики;</w:t>
            </w:r>
            <w:r>
              <w:br/>
            </w:r>
            <w:r>
              <w:rPr>
                <w:rFonts w:ascii="Times New Roman"/>
                <w:b w:val="false"/>
                <w:i w:val="false"/>
                <w:color w:val="000000"/>
                <w:sz w:val="20"/>
              </w:rPr>
              <w:t>
</w:t>
            </w:r>
            <w:r>
              <w:rPr>
                <w:rFonts w:ascii="Times New Roman"/>
                <w:b w:val="false"/>
                <w:i w:val="false"/>
                <w:color w:val="000000"/>
                <w:sz w:val="20"/>
              </w:rPr>
              <w:t>7) государственно-частное партнерство в здравоохранении;</w:t>
            </w:r>
            <w:r>
              <w:br/>
            </w:r>
            <w:r>
              <w:rPr>
                <w:rFonts w:ascii="Times New Roman"/>
                <w:b w:val="false"/>
                <w:i w:val="false"/>
                <w:color w:val="000000"/>
                <w:sz w:val="20"/>
              </w:rPr>
              <w:t>
8) увеличение финансирования здравоохранения.</w:t>
            </w:r>
          </w:p>
          <w:bookmarkEnd w:id="88"/>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9"/>
          <w:p>
            <w:pPr>
              <w:spacing w:after="20"/>
              <w:ind w:left="20"/>
              <w:jc w:val="both"/>
            </w:pPr>
            <w:r>
              <w:rPr>
                <w:rFonts w:ascii="Times New Roman"/>
                <w:b w:val="false"/>
                <w:i w:val="false"/>
                <w:color w:val="000000"/>
                <w:sz w:val="20"/>
              </w:rPr>
              <w:t>
1) отток высококвалифицированных кадров из страны;</w:t>
            </w:r>
            <w:r>
              <w:br/>
            </w:r>
            <w:r>
              <w:rPr>
                <w:rFonts w:ascii="Times New Roman"/>
                <w:b w:val="false"/>
                <w:i w:val="false"/>
                <w:color w:val="000000"/>
                <w:sz w:val="20"/>
              </w:rPr>
              <w:t>
</w:t>
            </w:r>
            <w:r>
              <w:rPr>
                <w:rFonts w:ascii="Times New Roman"/>
                <w:b w:val="false"/>
                <w:i w:val="false"/>
                <w:color w:val="000000"/>
                <w:sz w:val="20"/>
              </w:rPr>
              <w:t>2) загрязнение воздуха, почвы и воды;</w:t>
            </w:r>
            <w:r>
              <w:br/>
            </w:r>
            <w:r>
              <w:rPr>
                <w:rFonts w:ascii="Times New Roman"/>
                <w:b w:val="false"/>
                <w:i w:val="false"/>
                <w:color w:val="000000"/>
                <w:sz w:val="20"/>
              </w:rPr>
              <w:t>
</w:t>
            </w:r>
            <w:r>
              <w:rPr>
                <w:rFonts w:ascii="Times New Roman"/>
                <w:b w:val="false"/>
                <w:i w:val="false"/>
                <w:color w:val="000000"/>
                <w:sz w:val="20"/>
              </w:rPr>
              <w:t>3) пандемии инфекций и их быстрое распространение;</w:t>
            </w:r>
            <w:r>
              <w:br/>
            </w:r>
            <w:r>
              <w:rPr>
                <w:rFonts w:ascii="Times New Roman"/>
                <w:b w:val="false"/>
                <w:i w:val="false"/>
                <w:color w:val="000000"/>
                <w:sz w:val="20"/>
              </w:rPr>
              <w:t>
</w:t>
            </w:r>
            <w:r>
              <w:rPr>
                <w:rFonts w:ascii="Times New Roman"/>
                <w:b w:val="false"/>
                <w:i w:val="false"/>
                <w:color w:val="000000"/>
                <w:sz w:val="20"/>
              </w:rPr>
              <w:t>4) рост бремени неинфекционных заболеваний;</w:t>
            </w:r>
            <w:r>
              <w:br/>
            </w:r>
            <w:r>
              <w:rPr>
                <w:rFonts w:ascii="Times New Roman"/>
                <w:b w:val="false"/>
                <w:i w:val="false"/>
                <w:color w:val="000000"/>
                <w:sz w:val="20"/>
              </w:rPr>
              <w:t>
</w:t>
            </w:r>
            <w:r>
              <w:rPr>
                <w:rFonts w:ascii="Times New Roman"/>
                <w:b w:val="false"/>
                <w:i w:val="false"/>
                <w:color w:val="000000"/>
                <w:sz w:val="20"/>
              </w:rPr>
              <w:t>5) нерациональное использование лекарственных средств, антимикробная резистентность;</w:t>
            </w:r>
            <w:r>
              <w:br/>
            </w:r>
            <w:r>
              <w:rPr>
                <w:rFonts w:ascii="Times New Roman"/>
                <w:b w:val="false"/>
                <w:i w:val="false"/>
                <w:color w:val="000000"/>
                <w:sz w:val="20"/>
              </w:rPr>
              <w:t>
</w:t>
            </w:r>
            <w:r>
              <w:rPr>
                <w:rFonts w:ascii="Times New Roman"/>
                <w:b w:val="false"/>
                <w:i w:val="false"/>
                <w:color w:val="000000"/>
                <w:sz w:val="20"/>
              </w:rPr>
              <w:t>6) дезинформация населения через недостоверные источники, отказ населения от вакцинации;</w:t>
            </w:r>
            <w:r>
              <w:br/>
            </w:r>
            <w:r>
              <w:rPr>
                <w:rFonts w:ascii="Times New Roman"/>
                <w:b w:val="false"/>
                <w:i w:val="false"/>
                <w:color w:val="000000"/>
                <w:sz w:val="20"/>
              </w:rPr>
              <w:t>
7) снижение комплаентности пациентов (несоблюдение рекомендаций медицинских работников).</w:t>
            </w:r>
          </w:p>
          <w:bookmarkEnd w:id="89"/>
        </w:tc>
      </w:tr>
    </w:tbl>
    <w:bookmarkStart w:name="z135" w:id="90"/>
    <w:p>
      <w:pPr>
        <w:spacing w:after="0"/>
        <w:ind w:left="0"/>
        <w:jc w:val="both"/>
      </w:pPr>
      <w:r>
        <w:rPr>
          <w:rFonts w:ascii="Times New Roman"/>
          <w:b w:val="false"/>
          <w:i w:val="false"/>
          <w:color w:val="000000"/>
          <w:sz w:val="28"/>
        </w:rPr>
        <w:t xml:space="preserve">
      </w:t>
      </w:r>
      <w:r>
        <w:rPr>
          <w:rFonts w:ascii="Times New Roman"/>
          <w:b/>
          <w:i w:val="false"/>
          <w:color w:val="000000"/>
          <w:sz w:val="28"/>
        </w:rPr>
        <w:t>4. Цель, задачи, целевые индикаторы и показатели результатов реализации Государственной программы</w:t>
      </w:r>
    </w:p>
    <w:bookmarkEnd w:id="90"/>
    <w:bookmarkStart w:name="z136" w:id="91"/>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Обеспечение качественного и доступного здравоохранения.</w:t>
      </w:r>
    </w:p>
    <w:bookmarkEnd w:id="91"/>
    <w:bookmarkStart w:name="z137" w:id="92"/>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2386"/>
        <w:gridCol w:w="956"/>
        <w:gridCol w:w="627"/>
        <w:gridCol w:w="1123"/>
        <w:gridCol w:w="873"/>
        <w:gridCol w:w="873"/>
        <w:gridCol w:w="873"/>
        <w:gridCol w:w="790"/>
        <w:gridCol w:w="873"/>
        <w:gridCol w:w="873"/>
        <w:gridCol w:w="873"/>
        <w:gridCol w:w="874"/>
      </w:tblGrid>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3"/>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факт</w:t>
            </w:r>
          </w:p>
          <w:bookmarkEnd w:id="93"/>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оценка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 Комитета по статистике МНЭ</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МОН, МНЭ, МСХ, МКС, МИО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 преждевременной смертности от 30 до 70 лет от сердечно-сосудистых, онкологических, хронических респираторных заболеваний и диабета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Комитета по статистике МНЭ</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МОН, МНЭ, МСХ, МКС, МИО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материнской смертности*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 живорожденных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младенческой смертности*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живорожденных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 Комитета по статистике МНЭ</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bookmarkStart w:name="z139" w:id="94"/>
    <w:p>
      <w:pPr>
        <w:spacing w:after="0"/>
        <w:ind w:left="0"/>
        <w:jc w:val="both"/>
      </w:pPr>
      <w:r>
        <w:rPr>
          <w:rFonts w:ascii="Times New Roman"/>
          <w:b w:val="false"/>
          <w:i w:val="false"/>
          <w:color w:val="000000"/>
          <w:sz w:val="28"/>
        </w:rPr>
        <w:t xml:space="preserve">
      </w:t>
      </w:r>
      <w:r>
        <w:rPr>
          <w:rFonts w:ascii="Times New Roman"/>
          <w:b w:val="false"/>
          <w:i/>
          <w:color w:val="000000"/>
          <w:sz w:val="28"/>
        </w:rPr>
        <w:t>* по данным конфиденциального аудита</w:t>
      </w:r>
    </w:p>
    <w:bookmarkEnd w:id="94"/>
    <w:bookmarkStart w:name="z140" w:id="95"/>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bookmarkEnd w:id="95"/>
    <w:bookmarkStart w:name="z141" w:id="96"/>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 Формирование у населения приверженности здоровому образу жизни и развитие службы общественного здоровья</w:t>
      </w:r>
    </w:p>
    <w:bookmarkEnd w:id="96"/>
    <w:bookmarkStart w:name="z142" w:id="97"/>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533"/>
        <w:gridCol w:w="1241"/>
        <w:gridCol w:w="1496"/>
        <w:gridCol w:w="765"/>
        <w:gridCol w:w="842"/>
        <w:gridCol w:w="842"/>
        <w:gridCol w:w="842"/>
        <w:gridCol w:w="843"/>
        <w:gridCol w:w="843"/>
        <w:gridCol w:w="843"/>
        <w:gridCol w:w="843"/>
        <w:gridCol w:w="843"/>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прогноз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людей в пользу здоровья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потребления соли среди населения</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8"/>
          <w:p>
            <w:pPr>
              <w:spacing w:after="20"/>
              <w:ind w:left="20"/>
              <w:jc w:val="both"/>
            </w:pPr>
            <w:r>
              <w:rPr>
                <w:rFonts w:ascii="Times New Roman"/>
                <w:b w:val="false"/>
                <w:i w:val="false"/>
                <w:color w:val="000000"/>
                <w:sz w:val="20"/>
              </w:rPr>
              <w:t>
грамм/</w:t>
            </w:r>
            <w:r>
              <w:br/>
            </w:r>
            <w:r>
              <w:rPr>
                <w:rFonts w:ascii="Times New Roman"/>
                <w:b w:val="false"/>
                <w:i w:val="false"/>
                <w:color w:val="000000"/>
                <w:sz w:val="20"/>
              </w:rPr>
              <w:t>
день</w:t>
            </w:r>
          </w:p>
          <w:bookmarkEnd w:id="98"/>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Национального исследования (STEPS)</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Распространенность табакокурения среди населения Казахстана в возрасте от 15 лет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Национального исследования (GATS)</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МНЭ,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Зарегистрированное употребление алкоголя лицами старше 18 лет в литрах чистого спирта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9"/>
          <w:p>
            <w:pPr>
              <w:spacing w:after="20"/>
              <w:ind w:left="20"/>
              <w:jc w:val="both"/>
            </w:pPr>
            <w:r>
              <w:rPr>
                <w:rFonts w:ascii="Times New Roman"/>
                <w:b w:val="false"/>
                <w:i w:val="false"/>
                <w:color w:val="000000"/>
                <w:sz w:val="20"/>
              </w:rPr>
              <w:t>
литр/</w:t>
            </w:r>
            <w:r>
              <w:br/>
            </w:r>
            <w:r>
              <w:rPr>
                <w:rFonts w:ascii="Times New Roman"/>
                <w:b w:val="false"/>
                <w:i w:val="false"/>
                <w:color w:val="000000"/>
                <w:sz w:val="20"/>
              </w:rPr>
              <w:t>
год</w:t>
            </w:r>
          </w:p>
          <w:bookmarkEnd w:id="99"/>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Национального исследования (STEPS)</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МНЭ,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граждан, занимающихся физической культурой и спортом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МКС</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ожирением среди детей (0 – 14 лет)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 населения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МКС,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служба общественного здоровья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антиретровирусной терапией (АРВ) лиц, страдающих ВИЧ</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в результате дорожно-транспортных происшествий</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 населения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 Комитета по статистике МНЭ</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туберкулезом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 населения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 неумышленного отравления</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 населения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Комитета по статистике МНЭ</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Всестороннее поддержание здоровья на уровне ПМСП</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посещений организаций здравоохранения, оказывающих ПМСП, на одного жителя в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одного жителя в год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0"/>
          <w:p>
            <w:pPr>
              <w:spacing w:after="20"/>
              <w:ind w:left="20"/>
              <w:jc w:val="both"/>
            </w:pPr>
            <w:r>
              <w:rPr>
                <w:rFonts w:ascii="Times New Roman"/>
                <w:b w:val="false"/>
                <w:i w:val="false"/>
                <w:color w:val="000000"/>
                <w:sz w:val="20"/>
              </w:rPr>
              <w:t>
Смертность от самоубийств подростков</w:t>
            </w:r>
            <w:r>
              <w:br/>
            </w:r>
            <w:r>
              <w:rPr>
                <w:rFonts w:ascii="Times New Roman"/>
                <w:b w:val="false"/>
                <w:i w:val="false"/>
                <w:color w:val="000000"/>
                <w:sz w:val="20"/>
              </w:rPr>
              <w:t>
(15-17 лет)</w:t>
            </w:r>
          </w:p>
          <w:bookmarkEnd w:id="100"/>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1"/>
          <w:p>
            <w:pPr>
              <w:spacing w:after="20"/>
              <w:ind w:left="20"/>
              <w:jc w:val="both"/>
            </w:pPr>
            <w:r>
              <w:rPr>
                <w:rFonts w:ascii="Times New Roman"/>
                <w:b w:val="false"/>
                <w:i w:val="false"/>
                <w:color w:val="000000"/>
                <w:sz w:val="20"/>
              </w:rPr>
              <w:t>
на</w:t>
            </w:r>
            <w:r>
              <w:br/>
            </w:r>
            <w:r>
              <w:rPr>
                <w:rFonts w:ascii="Times New Roman"/>
                <w:b w:val="false"/>
                <w:i w:val="false"/>
                <w:color w:val="000000"/>
                <w:sz w:val="20"/>
              </w:rPr>
              <w:t>
100 000 населения</w:t>
            </w:r>
          </w:p>
          <w:bookmarkEnd w:id="101"/>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правовой статистике и специальным учетам ГП РК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МИОР, МВД, МЗ,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Рождаемость среди подростков в возрасте 10-14 лет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1 000 соответствующего населения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Комитета по статистике МНЭ</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2"/>
          <w:p>
            <w:pPr>
              <w:spacing w:after="20"/>
              <w:ind w:left="20"/>
              <w:jc w:val="both"/>
            </w:pPr>
            <w:r>
              <w:rPr>
                <w:rFonts w:ascii="Times New Roman"/>
                <w:b w:val="false"/>
                <w:i w:val="false"/>
                <w:color w:val="000000"/>
                <w:sz w:val="20"/>
              </w:rPr>
              <w:t>
Рождаемость среди подростков</w:t>
            </w:r>
            <w:r>
              <w:br/>
            </w:r>
            <w:r>
              <w:rPr>
                <w:rFonts w:ascii="Times New Roman"/>
                <w:b w:val="false"/>
                <w:i w:val="false"/>
                <w:color w:val="000000"/>
                <w:sz w:val="20"/>
              </w:rPr>
              <w:t>
в возрасте 15-19 лет</w:t>
            </w:r>
          </w:p>
          <w:bookmarkEnd w:id="102"/>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1 000 соответствующего населения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Комитета по статистике МНЭ</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bl>
    <w:bookmarkStart w:name="z148" w:id="10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 Повышение качества медицинской помощи</w:t>
      </w:r>
    </w:p>
    <w:bookmarkEnd w:id="103"/>
    <w:bookmarkStart w:name="z149" w:id="104"/>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2337"/>
        <w:gridCol w:w="1386"/>
        <w:gridCol w:w="676"/>
        <w:gridCol w:w="498"/>
        <w:gridCol w:w="941"/>
        <w:gridCol w:w="941"/>
        <w:gridCol w:w="852"/>
        <w:gridCol w:w="852"/>
        <w:gridCol w:w="852"/>
        <w:gridCol w:w="852"/>
        <w:gridCol w:w="852"/>
        <w:gridCol w:w="852"/>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прогноз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человеческого капитала</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средней заработной платы врача к средней зарплате в экономике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5"/>
          <w:p>
            <w:pPr>
              <w:spacing w:after="20"/>
              <w:ind w:left="20"/>
              <w:jc w:val="both"/>
            </w:pPr>
            <w:r>
              <w:rPr>
                <w:rFonts w:ascii="Times New Roman"/>
                <w:b w:val="false"/>
                <w:i w:val="false"/>
                <w:color w:val="000000"/>
                <w:sz w:val="20"/>
              </w:rPr>
              <w:t>
МЗ,</w:t>
            </w:r>
            <w:r>
              <w:br/>
            </w:r>
            <w:r>
              <w:rPr>
                <w:rFonts w:ascii="Times New Roman"/>
                <w:b w:val="false"/>
                <w:i w:val="false"/>
                <w:color w:val="000000"/>
                <w:sz w:val="20"/>
              </w:rPr>
              <w:t>
МИО</w:t>
            </w:r>
          </w:p>
          <w:bookmarkEnd w:id="105"/>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сестер расширенной практики ПМСП (подготовленных по программам прикладного и академического бакалавриата) в общем количестве сестринских кадров в системе здравоохранения Республики Казахстан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медицинскими работниками сельского населения в соответствии с минимальным нормативом обеспеченности медицинскими работниками регионов</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10 000 сельского населения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клинических исследований, проводимых в РК, в расчете на миллион населения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млн. населения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оказания медицинской помощи</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пациентов качеством медицинской помощи</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неонатальной смертности</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живорожденных</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 Комитета по статистике МНЭ</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детской смертности в возрасте до 5 лет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живорожденных</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 Комитета по статистике МНЭ</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первичного выхода на инвалидность</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тыс. населения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МТСЗН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 МИО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цифрового пространства здравоохранения</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с внедренными МИС, обеспечивающими обмен электронными медицинскими документами с интеграционной платформой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МИО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bookmarkStart w:name="z151" w:id="106"/>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 Устойчивое развитие системы здравоохранения.</w:t>
      </w:r>
    </w:p>
    <w:bookmarkEnd w:id="106"/>
    <w:bookmarkStart w:name="z152" w:id="107"/>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655"/>
        <w:gridCol w:w="522"/>
        <w:gridCol w:w="700"/>
        <w:gridCol w:w="594"/>
        <w:gridCol w:w="1122"/>
        <w:gridCol w:w="1122"/>
        <w:gridCol w:w="1016"/>
        <w:gridCol w:w="1016"/>
        <w:gridCol w:w="1016"/>
        <w:gridCol w:w="1016"/>
        <w:gridCol w:w="1016"/>
        <w:gridCol w:w="1017"/>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прогноз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ОСМС и продвижение добровольного медицинского страхования для достижения всеобщего охвата услугами здравоохранения</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расходов на здравоохранение от ВВП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Комитета по статистике МНЭ</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8"/>
          <w:p>
            <w:pPr>
              <w:spacing w:after="20"/>
              <w:ind w:left="20"/>
              <w:jc w:val="both"/>
            </w:pPr>
            <w:r>
              <w:rPr>
                <w:rFonts w:ascii="Times New Roman"/>
                <w:b w:val="false"/>
                <w:i w:val="false"/>
                <w:color w:val="000000"/>
                <w:sz w:val="20"/>
              </w:rPr>
              <w:t>
МЗ,</w:t>
            </w:r>
            <w:r>
              <w:br/>
            </w:r>
            <w:r>
              <w:rPr>
                <w:rFonts w:ascii="Times New Roman"/>
                <w:b w:val="false"/>
                <w:i w:val="false"/>
                <w:color w:val="000000"/>
                <w:sz w:val="20"/>
              </w:rPr>
              <w:t>
</w:t>
            </w:r>
            <w:r>
              <w:rPr>
                <w:rFonts w:ascii="Times New Roman"/>
                <w:b w:val="false"/>
                <w:i w:val="false"/>
                <w:color w:val="000000"/>
                <w:sz w:val="20"/>
              </w:rPr>
              <w:t>МНЭ,</w:t>
            </w:r>
            <w:r>
              <w:br/>
            </w:r>
            <w:r>
              <w:rPr>
                <w:rFonts w:ascii="Times New Roman"/>
                <w:b w:val="false"/>
                <w:i w:val="false"/>
                <w:color w:val="000000"/>
                <w:sz w:val="20"/>
              </w:rPr>
              <w:t>
</w:t>
            </w:r>
            <w:r>
              <w:rPr>
                <w:rFonts w:ascii="Times New Roman"/>
                <w:b w:val="false"/>
                <w:i w:val="false"/>
                <w:color w:val="000000"/>
                <w:sz w:val="20"/>
              </w:rPr>
              <w:t>МФ,</w:t>
            </w:r>
            <w:r>
              <w:br/>
            </w:r>
            <w:r>
              <w:rPr>
                <w:rFonts w:ascii="Times New Roman"/>
                <w:b w:val="false"/>
                <w:i w:val="false"/>
                <w:color w:val="000000"/>
                <w:sz w:val="20"/>
              </w:rPr>
              <w:t>
МИО</w:t>
            </w:r>
          </w:p>
          <w:bookmarkEnd w:id="10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в здравоохранение за счет ОСМС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частных расходов домашних хозяйств от общих расходов на здравоохранение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Комитета по статистике МНЭ</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АПП и ОЗ в рамках ГОБМП и ОСМС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инвестиционного климата в медицинской отрасли</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оснащенности медицинских организаций медицинской техникой</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износа зданий медицинских организаций</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частных инвестиций в здравоохранении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 здравоохранении</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аккредитованных в области здравоохранения поставщиков медицинских услуг ФСМС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получивших не менее 4 звезд в рейтинге по менеджменту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56" w:id="109"/>
    <w:p>
      <w:pPr>
        <w:spacing w:after="0"/>
        <w:ind w:left="0"/>
        <w:jc w:val="both"/>
      </w:pPr>
      <w:r>
        <w:rPr>
          <w:rFonts w:ascii="Times New Roman"/>
          <w:b w:val="false"/>
          <w:i w:val="false"/>
          <w:color w:val="000000"/>
          <w:sz w:val="28"/>
        </w:rPr>
        <w:t>
      Цели, задачи, индикаторы и показатели результатов будут достигаться путем реализации Плана мероприятий согласно приложению к Программе.</w:t>
      </w:r>
    </w:p>
    <w:bookmarkEnd w:id="109"/>
    <w:bookmarkStart w:name="z157" w:id="110"/>
    <w:p>
      <w:pPr>
        <w:spacing w:after="0"/>
        <w:ind w:left="0"/>
        <w:jc w:val="both"/>
      </w:pPr>
      <w:r>
        <w:rPr>
          <w:rFonts w:ascii="Times New Roman"/>
          <w:b w:val="false"/>
          <w:i w:val="false"/>
          <w:color w:val="000000"/>
          <w:sz w:val="28"/>
        </w:rPr>
        <w:t xml:space="preserve">
      </w:t>
      </w:r>
      <w:r>
        <w:rPr>
          <w:rFonts w:ascii="Times New Roman"/>
          <w:b/>
          <w:i w:val="false"/>
          <w:color w:val="000000"/>
          <w:sz w:val="28"/>
        </w:rPr>
        <w:t>5. Основные направления, пути достижения цели и меры</w:t>
      </w:r>
    </w:p>
    <w:bookmarkEnd w:id="110"/>
    <w:bookmarkStart w:name="z158" w:id="111"/>
    <w:p>
      <w:pPr>
        <w:spacing w:after="0"/>
        <w:ind w:left="0"/>
        <w:jc w:val="both"/>
      </w:pPr>
      <w:r>
        <w:rPr>
          <w:rFonts w:ascii="Times New Roman"/>
          <w:b w:val="false"/>
          <w:i w:val="false"/>
          <w:color w:val="000000"/>
          <w:sz w:val="28"/>
        </w:rPr>
        <w:t>
      Основными направлениями данной Программы являются:</w:t>
      </w:r>
    </w:p>
    <w:bookmarkEnd w:id="111"/>
    <w:bookmarkStart w:name="z159" w:id="112"/>
    <w:p>
      <w:pPr>
        <w:spacing w:after="0"/>
        <w:ind w:left="0"/>
        <w:jc w:val="both"/>
      </w:pPr>
      <w:r>
        <w:rPr>
          <w:rFonts w:ascii="Times New Roman"/>
          <w:b w:val="false"/>
          <w:i w:val="false"/>
          <w:color w:val="000000"/>
          <w:sz w:val="28"/>
        </w:rPr>
        <w:t>
      1) выбор людей в пользу здоровья;</w:t>
      </w:r>
    </w:p>
    <w:bookmarkEnd w:id="112"/>
    <w:bookmarkStart w:name="z160" w:id="113"/>
    <w:p>
      <w:pPr>
        <w:spacing w:after="0"/>
        <w:ind w:left="0"/>
        <w:jc w:val="both"/>
      </w:pPr>
      <w:r>
        <w:rPr>
          <w:rFonts w:ascii="Times New Roman"/>
          <w:b w:val="false"/>
          <w:i w:val="false"/>
          <w:color w:val="000000"/>
          <w:sz w:val="28"/>
        </w:rPr>
        <w:t>
      2) современная служба общественного здоровья;</w:t>
      </w:r>
    </w:p>
    <w:bookmarkEnd w:id="113"/>
    <w:bookmarkStart w:name="z161" w:id="114"/>
    <w:p>
      <w:pPr>
        <w:spacing w:after="0"/>
        <w:ind w:left="0"/>
        <w:jc w:val="both"/>
      </w:pPr>
      <w:r>
        <w:rPr>
          <w:rFonts w:ascii="Times New Roman"/>
          <w:b w:val="false"/>
          <w:i w:val="false"/>
          <w:color w:val="000000"/>
          <w:sz w:val="28"/>
        </w:rPr>
        <w:t>
      3) всестороннее поддержание здоровья на уровне ПМСП;</w:t>
      </w:r>
    </w:p>
    <w:bookmarkEnd w:id="114"/>
    <w:bookmarkStart w:name="z162" w:id="115"/>
    <w:p>
      <w:pPr>
        <w:spacing w:after="0"/>
        <w:ind w:left="0"/>
        <w:jc w:val="both"/>
      </w:pPr>
      <w:r>
        <w:rPr>
          <w:rFonts w:ascii="Times New Roman"/>
          <w:b w:val="false"/>
          <w:i w:val="false"/>
          <w:color w:val="000000"/>
          <w:sz w:val="28"/>
        </w:rPr>
        <w:t xml:space="preserve">
      4) развитие человеческого капитала; </w:t>
      </w:r>
    </w:p>
    <w:bookmarkEnd w:id="115"/>
    <w:bookmarkStart w:name="z163" w:id="116"/>
    <w:p>
      <w:pPr>
        <w:spacing w:after="0"/>
        <w:ind w:left="0"/>
        <w:jc w:val="both"/>
      </w:pPr>
      <w:r>
        <w:rPr>
          <w:rFonts w:ascii="Times New Roman"/>
          <w:b w:val="false"/>
          <w:i w:val="false"/>
          <w:color w:val="000000"/>
          <w:sz w:val="28"/>
        </w:rPr>
        <w:t>
      5) совершенствование оказания медицинской помощи;</w:t>
      </w:r>
    </w:p>
    <w:bookmarkEnd w:id="116"/>
    <w:bookmarkStart w:name="z164" w:id="117"/>
    <w:p>
      <w:pPr>
        <w:spacing w:after="0"/>
        <w:ind w:left="0"/>
        <w:jc w:val="both"/>
      </w:pPr>
      <w:r>
        <w:rPr>
          <w:rFonts w:ascii="Times New Roman"/>
          <w:b w:val="false"/>
          <w:i w:val="false"/>
          <w:color w:val="000000"/>
          <w:sz w:val="28"/>
        </w:rPr>
        <w:t>
      6) создание единого цифрового пространства здравоохранения;</w:t>
      </w:r>
    </w:p>
    <w:bookmarkEnd w:id="117"/>
    <w:bookmarkStart w:name="z165" w:id="118"/>
    <w:p>
      <w:pPr>
        <w:spacing w:after="0"/>
        <w:ind w:left="0"/>
        <w:jc w:val="both"/>
      </w:pPr>
      <w:r>
        <w:rPr>
          <w:rFonts w:ascii="Times New Roman"/>
          <w:b w:val="false"/>
          <w:i w:val="false"/>
          <w:color w:val="000000"/>
          <w:sz w:val="28"/>
        </w:rPr>
        <w:t>
      7) реализация ОСМС и поддержка добровольного медицинского страхования для достижения всеобщего охвата услугами здравоохранения;</w:t>
      </w:r>
    </w:p>
    <w:bookmarkEnd w:id="118"/>
    <w:bookmarkStart w:name="z166" w:id="119"/>
    <w:p>
      <w:pPr>
        <w:spacing w:after="0"/>
        <w:ind w:left="0"/>
        <w:jc w:val="both"/>
      </w:pPr>
      <w:r>
        <w:rPr>
          <w:rFonts w:ascii="Times New Roman"/>
          <w:b w:val="false"/>
          <w:i w:val="false"/>
          <w:color w:val="000000"/>
          <w:sz w:val="28"/>
        </w:rPr>
        <w:t>
      8) улучшение инвестиционного климата в медицинской отрасли;</w:t>
      </w:r>
    </w:p>
    <w:bookmarkEnd w:id="119"/>
    <w:bookmarkStart w:name="z167" w:id="120"/>
    <w:p>
      <w:pPr>
        <w:spacing w:after="0"/>
        <w:ind w:left="0"/>
        <w:jc w:val="both"/>
      </w:pPr>
      <w:r>
        <w:rPr>
          <w:rFonts w:ascii="Times New Roman"/>
          <w:b w:val="false"/>
          <w:i w:val="false"/>
          <w:color w:val="000000"/>
          <w:sz w:val="28"/>
        </w:rPr>
        <w:t>
      9) эффективное управление в здравоохранении.</w:t>
      </w:r>
    </w:p>
    <w:bookmarkEnd w:id="120"/>
    <w:bookmarkStart w:name="z168" w:id="121"/>
    <w:p>
      <w:pPr>
        <w:spacing w:after="0"/>
        <w:ind w:left="0"/>
        <w:jc w:val="both"/>
      </w:pPr>
      <w:r>
        <w:rPr>
          <w:rFonts w:ascii="Times New Roman"/>
          <w:b w:val="false"/>
          <w:i w:val="false"/>
          <w:color w:val="000000"/>
          <w:sz w:val="28"/>
        </w:rPr>
        <w:t xml:space="preserve">
      </w:t>
      </w:r>
      <w:r>
        <w:rPr>
          <w:rFonts w:ascii="Times New Roman"/>
          <w:b/>
          <w:i w:val="false"/>
          <w:color w:val="000000"/>
          <w:sz w:val="28"/>
        </w:rPr>
        <w:t>5.1. Выбор людей в пользу здоровья</w:t>
      </w:r>
    </w:p>
    <w:bookmarkEnd w:id="121"/>
    <w:bookmarkStart w:name="z169" w:id="122"/>
    <w:p>
      <w:pPr>
        <w:spacing w:after="0"/>
        <w:ind w:left="0"/>
        <w:jc w:val="both"/>
      </w:pPr>
      <w:r>
        <w:rPr>
          <w:rFonts w:ascii="Times New Roman"/>
          <w:b w:val="false"/>
          <w:i w:val="false"/>
          <w:color w:val="000000"/>
          <w:sz w:val="28"/>
        </w:rPr>
        <w:t>
      Сохранение и укрепление здоровья предполагают активную заботу и ответственность человека за свое физическое и психическое благополучие. Для того, чтобы люди изменили поведение в пользу здоровья, будут приняты меры по повышению грамотности населения по вопросам здоровья. Через наиболее востребованные для каждой целевой аудитории каналы информационного обмена будет формироваться культура здоровой жизни. Например, будут реализованы проекты в средствах массовой информации по пропаганде здорового образа жизни. Планируются массовые мероприятия, посвященные охране здоровья граждан и формированию здорового образа жизни, отказу от рискованного поведения и вредных привычек. Будет продолжен опыт привлечения неправительственных организаций в вопросы общественного здоровья.</w:t>
      </w:r>
    </w:p>
    <w:bookmarkEnd w:id="122"/>
    <w:bookmarkStart w:name="z170" w:id="123"/>
    <w:p>
      <w:pPr>
        <w:spacing w:after="0"/>
        <w:ind w:left="0"/>
        <w:jc w:val="both"/>
      </w:pPr>
      <w:r>
        <w:rPr>
          <w:rFonts w:ascii="Times New Roman"/>
          <w:b w:val="false"/>
          <w:i w:val="false"/>
          <w:color w:val="000000"/>
          <w:sz w:val="28"/>
        </w:rPr>
        <w:t xml:space="preserve">
      В рамках межсекторального взаимодействия, на основе рекомендации ВОЗ "Здоровье во всех политиках" в регионах страны будут реализовываться проекты "Здоровые города, регионы"; "Школы, способствующие укреплению здоровья"; "Здоровые университеты". </w:t>
      </w:r>
    </w:p>
    <w:bookmarkEnd w:id="123"/>
    <w:bookmarkStart w:name="z171" w:id="124"/>
    <w:p>
      <w:pPr>
        <w:spacing w:after="0"/>
        <w:ind w:left="0"/>
        <w:jc w:val="both"/>
      </w:pPr>
      <w:r>
        <w:rPr>
          <w:rFonts w:ascii="Times New Roman"/>
          <w:b w:val="false"/>
          <w:i w:val="false"/>
          <w:color w:val="000000"/>
          <w:sz w:val="28"/>
        </w:rPr>
        <w:t xml:space="preserve">
      Внедрение проекта "Здоровые города, регионы" улучшит доступность зеленых зон и мест активного здорового отдыха; повысит безопасность инфраструктуры городов и дорог. Проект позволит закрепить политическую приверженность акимов городов и областей к поддержке здоровья через инфраструктуру города или региона. </w:t>
      </w:r>
    </w:p>
    <w:bookmarkEnd w:id="124"/>
    <w:bookmarkStart w:name="z172" w:id="125"/>
    <w:p>
      <w:pPr>
        <w:spacing w:after="0"/>
        <w:ind w:left="0"/>
        <w:jc w:val="both"/>
      </w:pPr>
      <w:r>
        <w:rPr>
          <w:rFonts w:ascii="Times New Roman"/>
          <w:b w:val="false"/>
          <w:i w:val="false"/>
          <w:color w:val="000000"/>
          <w:sz w:val="28"/>
        </w:rPr>
        <w:t xml:space="preserve">
      В рамках продвижения "Здоровых университетов" для студентов организаций высшего образования, а также технического и профессионального послесреднего образования будут созданы условия для формирования приверженности здоровому образу жизни. Например, через доступность здорового питания, условий для занятий физической культурой. Учебные заведения, участвующие в проекте, будут продвигать здоровье не только для студентов, но и преподавательского состава. </w:t>
      </w:r>
    </w:p>
    <w:bookmarkEnd w:id="125"/>
    <w:bookmarkStart w:name="z173" w:id="126"/>
    <w:p>
      <w:pPr>
        <w:spacing w:after="0"/>
        <w:ind w:left="0"/>
        <w:jc w:val="both"/>
      </w:pPr>
      <w:r>
        <w:rPr>
          <w:rFonts w:ascii="Times New Roman"/>
          <w:b w:val="false"/>
          <w:i w:val="false"/>
          <w:color w:val="000000"/>
          <w:sz w:val="28"/>
        </w:rPr>
        <w:t xml:space="preserve">
      Для сохранения и улучшения здоровья детей, в рамках проекта ВОЗ "Школы, способствующие укреплению здоровья" школьники начнут формировать здоровые привычки с ранних лет. Руководители школ будут обучены рекомендациям ВОЗ по проекту. </w:t>
      </w:r>
    </w:p>
    <w:bookmarkEnd w:id="126"/>
    <w:bookmarkStart w:name="z174" w:id="127"/>
    <w:p>
      <w:pPr>
        <w:spacing w:after="0"/>
        <w:ind w:left="0"/>
        <w:jc w:val="both"/>
      </w:pPr>
      <w:r>
        <w:rPr>
          <w:rFonts w:ascii="Times New Roman"/>
          <w:b w:val="false"/>
          <w:i w:val="false"/>
          <w:color w:val="000000"/>
          <w:sz w:val="28"/>
        </w:rPr>
        <w:t xml:space="preserve">
      Для воздействия в большей степени на подростков и молодых людей будут приниматься рекомендуемые ВОЗ меры, направленные на ограничение и снижение распространенности табакокурения, в том числе электронных систем доставки никотина, вейпинга; профилактику и снижение смертности из-за употребления алкоголя, психоактивных веществ. </w:t>
      </w:r>
    </w:p>
    <w:bookmarkEnd w:id="127"/>
    <w:bookmarkStart w:name="z175" w:id="128"/>
    <w:p>
      <w:pPr>
        <w:spacing w:after="0"/>
        <w:ind w:left="0"/>
        <w:jc w:val="both"/>
      </w:pPr>
      <w:r>
        <w:rPr>
          <w:rFonts w:ascii="Times New Roman"/>
          <w:b w:val="false"/>
          <w:i w:val="false"/>
          <w:color w:val="000000"/>
          <w:sz w:val="28"/>
        </w:rPr>
        <w:t>
      Ежегодно будут приниматься меры по продвижению здорового питания среди населения. Предусмотрены пропаганда рационального питания; повышение доступности здоровых продуктов питания, контроль продуктов питания в организациях образования.</w:t>
      </w:r>
    </w:p>
    <w:bookmarkEnd w:id="128"/>
    <w:bookmarkStart w:name="z176" w:id="129"/>
    <w:p>
      <w:pPr>
        <w:spacing w:after="0"/>
        <w:ind w:left="0"/>
        <w:jc w:val="both"/>
      </w:pPr>
      <w:r>
        <w:rPr>
          <w:rFonts w:ascii="Times New Roman"/>
          <w:b w:val="false"/>
          <w:i w:val="false"/>
          <w:color w:val="000000"/>
          <w:sz w:val="28"/>
        </w:rPr>
        <w:t>
      Для оценки прогресса и текущей ситуации по методологии ВОЗ в 2021 и 2025 годах будут проводиться эпидемиологические исследования по оценке факторов риска неинфекционных заболеваний, употреблению табака, употреблению алкоголя.</w:t>
      </w:r>
    </w:p>
    <w:bookmarkEnd w:id="129"/>
    <w:bookmarkStart w:name="z177" w:id="130"/>
    <w:p>
      <w:pPr>
        <w:spacing w:after="0"/>
        <w:ind w:left="0"/>
        <w:jc w:val="both"/>
      </w:pPr>
      <w:r>
        <w:rPr>
          <w:rFonts w:ascii="Times New Roman"/>
          <w:b w:val="false"/>
          <w:i w:val="false"/>
          <w:color w:val="000000"/>
          <w:sz w:val="28"/>
        </w:rPr>
        <w:t>
      Среди детей будет проводиться мониторинг заболеваемости ожирением на основе исследования детского ожирения и факторов риска по инициативе ВОЗ.</w:t>
      </w:r>
    </w:p>
    <w:bookmarkEnd w:id="130"/>
    <w:bookmarkStart w:name="z178" w:id="131"/>
    <w:p>
      <w:pPr>
        <w:spacing w:after="0"/>
        <w:ind w:left="0"/>
        <w:jc w:val="both"/>
      </w:pPr>
      <w:r>
        <w:rPr>
          <w:rFonts w:ascii="Times New Roman"/>
          <w:b w:val="false"/>
          <w:i w:val="false"/>
          <w:color w:val="000000"/>
          <w:sz w:val="28"/>
        </w:rPr>
        <w:t>
      Таким образом, эффективность проводимых мер в области общественного здоровья будет оцениваться через исследования, которые позволят определить объективное состояние здоровья людей и иметь своевременную статистическую информацию о Казахстане в мировых базах данных.</w:t>
      </w:r>
    </w:p>
    <w:bookmarkEnd w:id="131"/>
    <w:bookmarkStart w:name="z179" w:id="132"/>
    <w:p>
      <w:pPr>
        <w:spacing w:after="0"/>
        <w:ind w:left="0"/>
        <w:jc w:val="both"/>
      </w:pPr>
      <w:r>
        <w:rPr>
          <w:rFonts w:ascii="Times New Roman"/>
          <w:b w:val="false"/>
          <w:i w:val="false"/>
          <w:color w:val="000000"/>
          <w:sz w:val="28"/>
        </w:rPr>
        <w:t xml:space="preserve">
      </w:t>
      </w:r>
      <w:r>
        <w:rPr>
          <w:rFonts w:ascii="Times New Roman"/>
          <w:b/>
          <w:i w:val="false"/>
          <w:color w:val="000000"/>
          <w:sz w:val="28"/>
        </w:rPr>
        <w:t>5.2 Современная служба общественного здоровья</w:t>
      </w:r>
    </w:p>
    <w:bookmarkEnd w:id="132"/>
    <w:bookmarkStart w:name="z180" w:id="133"/>
    <w:p>
      <w:pPr>
        <w:spacing w:after="0"/>
        <w:ind w:left="0"/>
        <w:jc w:val="both"/>
      </w:pPr>
      <w:r>
        <w:rPr>
          <w:rFonts w:ascii="Times New Roman"/>
          <w:b w:val="false"/>
          <w:i w:val="false"/>
          <w:color w:val="000000"/>
          <w:sz w:val="28"/>
        </w:rPr>
        <w:t>
      Государство, в лице уполномоченного органа по контролю и обеспечению качества безопасности товаров и услуг, будет играть ключевую роль при проверке и регистрации лекарственных средств, пищевых добавок, генетически модифицированных организмов и новых пищевых продуктов. Будут обеспечены мониторинг и контроль качества и безопасности пищевой продукции, включая фальсифицированные и генетически модифицированные продукты.</w:t>
      </w:r>
    </w:p>
    <w:bookmarkEnd w:id="133"/>
    <w:bookmarkStart w:name="z181" w:id="134"/>
    <w:p>
      <w:pPr>
        <w:spacing w:after="0"/>
        <w:ind w:left="0"/>
        <w:jc w:val="both"/>
      </w:pPr>
      <w:r>
        <w:rPr>
          <w:rFonts w:ascii="Times New Roman"/>
          <w:b w:val="false"/>
          <w:i w:val="false"/>
          <w:color w:val="000000"/>
          <w:sz w:val="28"/>
        </w:rPr>
        <w:t>
      Продолжится мониторинг дорожной карты по реализации Международных медико-санитарных правил (далее – ММСП) и глобальной программы охраны здоровья на 2019-2023 годы.</w:t>
      </w:r>
    </w:p>
    <w:bookmarkEnd w:id="134"/>
    <w:bookmarkStart w:name="z182" w:id="135"/>
    <w:p>
      <w:pPr>
        <w:spacing w:after="0"/>
        <w:ind w:left="0"/>
        <w:jc w:val="both"/>
      </w:pPr>
      <w:r>
        <w:rPr>
          <w:rFonts w:ascii="Times New Roman"/>
          <w:b w:val="false"/>
          <w:i w:val="false"/>
          <w:color w:val="000000"/>
          <w:sz w:val="28"/>
        </w:rPr>
        <w:t>
      В рамках Дорожной карты по реализации ММСП будет организован комплекс мероприятий по обеспечению безопасности пищевой продукции с учетом требований ВТО, международных организаций (Кодекс Алиментариус, МЭБ и т.д.), гармонизация национального законодательства в соответствие с международными требованиями, принятие мер по обеспечению прослеживаемости пищевой продукции, мероприятия по антимикробной резистентности, контролю за содержанием в пищевой продукции остаточных количеств ветеринарных препаратов, пестицидов и других веществ, усиление взаимодействия заинтересованных государственных органов, Национальной палаты предпринимателей, отраслевых союзов (ассоциаций) и предприятий по вопросам обеспечения безопасности пищевой продукции, включая вопросы быстрого и оперативного оповещения, обмена сведениями по выявлению несоответствующей пищевой продукции, в т.ч. с использованием информационных систем.</w:t>
      </w:r>
    </w:p>
    <w:bookmarkEnd w:id="135"/>
    <w:bookmarkStart w:name="z183" w:id="136"/>
    <w:p>
      <w:pPr>
        <w:spacing w:after="0"/>
        <w:ind w:left="0"/>
        <w:jc w:val="both"/>
      </w:pPr>
      <w:r>
        <w:rPr>
          <w:rFonts w:ascii="Times New Roman"/>
          <w:b w:val="false"/>
          <w:i w:val="false"/>
          <w:color w:val="000000"/>
          <w:sz w:val="28"/>
        </w:rPr>
        <w:t xml:space="preserve">
      Для повышения готовности к реагированию на чрезвычайные ситуации в области общественного здоровья будет проводится обучение сотрудников транспортных хабов первичного досмотра. </w:t>
      </w:r>
    </w:p>
    <w:bookmarkEnd w:id="136"/>
    <w:bookmarkStart w:name="z184" w:id="137"/>
    <w:p>
      <w:pPr>
        <w:spacing w:after="0"/>
        <w:ind w:left="0"/>
        <w:jc w:val="both"/>
      </w:pPr>
      <w:r>
        <w:rPr>
          <w:rFonts w:ascii="Times New Roman"/>
          <w:b w:val="false"/>
          <w:i w:val="false"/>
          <w:color w:val="000000"/>
          <w:sz w:val="28"/>
        </w:rPr>
        <w:t>
      Для производителей пищевой продукции будет проведено обучение по внедрению системы менеджмента безопасности пищевых продуктов на основе принципов ХАССП (с английского НАССР – Hazard Analysis and Critical Control Points – анализ опасных факторов и критические точки контроля). Обучение и внедрение данных принципов предусмотрено в рамках технического регламента Таможенного союза "О безопасности пищевой продукции" для организаций, участвующих в цепи создания пищевой продукции.</w:t>
      </w:r>
    </w:p>
    <w:bookmarkEnd w:id="137"/>
    <w:bookmarkStart w:name="z185" w:id="138"/>
    <w:p>
      <w:pPr>
        <w:spacing w:after="0"/>
        <w:ind w:left="0"/>
        <w:jc w:val="both"/>
      </w:pPr>
      <w:r>
        <w:rPr>
          <w:rFonts w:ascii="Times New Roman"/>
          <w:b w:val="false"/>
          <w:i w:val="false"/>
          <w:color w:val="000000"/>
          <w:sz w:val="28"/>
        </w:rPr>
        <w:t>
      В вопросах экологии водных ресурсов с учетом международного опыта продолжится санитарно-эпидемиологический мониторинг водоемов 1 и 2 категории.</w:t>
      </w:r>
    </w:p>
    <w:bookmarkEnd w:id="138"/>
    <w:bookmarkStart w:name="z186" w:id="139"/>
    <w:p>
      <w:pPr>
        <w:spacing w:after="0"/>
        <w:ind w:left="0"/>
        <w:jc w:val="both"/>
      </w:pPr>
      <w:r>
        <w:rPr>
          <w:rFonts w:ascii="Times New Roman"/>
          <w:b w:val="false"/>
          <w:i w:val="false"/>
          <w:color w:val="000000"/>
          <w:sz w:val="28"/>
        </w:rPr>
        <w:t>
      С целью выполнения Рамочной конвенции ООН об изменении климата (Парижское соглашение, 2015) будет внедрено Руководство ВОЗ по качеству воздуха в жилых помещениях. Будут созданы условия по снижению выбросов в атмосферу, будет повышатся всеобщий доступ к экологически чистому топливу и технологиям энергосбережения. Будет проведена гармонизация отечественных стандартов выбросов вредных веществ в окружающую среду с международными стандартами. Планируется принять меры по внедрению автоматизированных систем измерения, контроля качества воздуха, систем улавливания частиц в городах с возможностью информировать население об уровне загрязнения воздуха (по индексу качества воздуха, air quality index, AQI). Также будет разработана и внедрена система мониторинга состояния окружающей среды внутри помещений общественных зданий для детей.</w:t>
      </w:r>
    </w:p>
    <w:bookmarkEnd w:id="139"/>
    <w:bookmarkStart w:name="z187" w:id="140"/>
    <w:p>
      <w:pPr>
        <w:spacing w:after="0"/>
        <w:ind w:left="0"/>
        <w:jc w:val="both"/>
      </w:pPr>
      <w:r>
        <w:rPr>
          <w:rFonts w:ascii="Times New Roman"/>
          <w:b w:val="false"/>
          <w:i w:val="false"/>
          <w:color w:val="000000"/>
          <w:sz w:val="28"/>
        </w:rPr>
        <w:t>
      Будут внедрены современные технологии по утилизации и переработке промышленных и твердых бытовых отходов с привлечением инвесторов. Будет проводиться мониторинг отчетности уполномоченным органом в области здравоохранения по медицинским отходам в государственном кадастре отходов с целью соблюдения стандартов безопасности и сохранения окружающей среды.</w:t>
      </w:r>
    </w:p>
    <w:bookmarkEnd w:id="140"/>
    <w:bookmarkStart w:name="z188" w:id="141"/>
    <w:p>
      <w:pPr>
        <w:spacing w:after="0"/>
        <w:ind w:left="0"/>
        <w:jc w:val="both"/>
      </w:pPr>
      <w:r>
        <w:rPr>
          <w:rFonts w:ascii="Times New Roman"/>
          <w:b w:val="false"/>
          <w:i w:val="false"/>
          <w:color w:val="000000"/>
          <w:sz w:val="28"/>
        </w:rPr>
        <w:t xml:space="preserve">
      Будут приняты меры по повышению эффективности управления, профилактики, диагностики и лечения инфекционных заболеваний. </w:t>
      </w:r>
    </w:p>
    <w:bookmarkEnd w:id="141"/>
    <w:bookmarkStart w:name="z189" w:id="142"/>
    <w:p>
      <w:pPr>
        <w:spacing w:after="0"/>
        <w:ind w:left="0"/>
        <w:jc w:val="both"/>
      </w:pPr>
      <w:r>
        <w:rPr>
          <w:rFonts w:ascii="Times New Roman"/>
          <w:b w:val="false"/>
          <w:i w:val="false"/>
          <w:color w:val="000000"/>
          <w:sz w:val="28"/>
        </w:rPr>
        <w:t>
      Согласно международным обязательствам Казахстана будет реализована межведомственная программа (дорожная карта) по сдерживанию резистентности к противомикробным препаратам. Продолжится взаимодействие с ВОЗ и другими международными организациями по проблемам антимикробной резистентности.</w:t>
      </w:r>
    </w:p>
    <w:bookmarkEnd w:id="142"/>
    <w:bookmarkStart w:name="z190" w:id="143"/>
    <w:p>
      <w:pPr>
        <w:spacing w:after="0"/>
        <w:ind w:left="0"/>
        <w:jc w:val="both"/>
      </w:pPr>
      <w:r>
        <w:rPr>
          <w:rFonts w:ascii="Times New Roman"/>
          <w:b w:val="false"/>
          <w:i w:val="false"/>
          <w:color w:val="000000"/>
          <w:sz w:val="28"/>
        </w:rPr>
        <w:t>
      Продолжится работа по охвату населения иммунопрофилактикой, в том числе через информационно-разъяснительную работу для снижения отказов населения от профилактических прививок. Будет рассмотрено введение вакцинации против вируса папилломы человека (далее – ВПЧ) в Перечень инфекционных заболеваний, против которых проводятся профилактические прививки.</w:t>
      </w:r>
    </w:p>
    <w:bookmarkEnd w:id="143"/>
    <w:bookmarkStart w:name="z191" w:id="144"/>
    <w:p>
      <w:pPr>
        <w:spacing w:after="0"/>
        <w:ind w:left="0"/>
        <w:jc w:val="both"/>
      </w:pPr>
      <w:r>
        <w:rPr>
          <w:rFonts w:ascii="Times New Roman"/>
          <w:b w:val="false"/>
          <w:i w:val="false"/>
          <w:color w:val="000000"/>
          <w:sz w:val="28"/>
        </w:rPr>
        <w:t>
      В рамках международных обязательств, будет повышаться охват антиретровирусной терапией лиц, живущих с ВИЧ-инфекцией, с оказанием им необходимой медицинской помощи в рамках ГОБМП. Будут продолжены профилактические мероприятия по сдерживанию ВИЧ-инфекции в концентрированной стадии.</w:t>
      </w:r>
    </w:p>
    <w:bookmarkEnd w:id="144"/>
    <w:bookmarkStart w:name="z192" w:id="145"/>
    <w:p>
      <w:pPr>
        <w:spacing w:after="0"/>
        <w:ind w:left="0"/>
        <w:jc w:val="both"/>
      </w:pPr>
      <w:r>
        <w:rPr>
          <w:rFonts w:ascii="Times New Roman"/>
          <w:b w:val="false"/>
          <w:i w:val="false"/>
          <w:color w:val="000000"/>
          <w:sz w:val="28"/>
        </w:rPr>
        <w:t>
      Согласно рекомендациям ВОЗ и другим научно-обоснованным источникам, будет проводиться скрининг на выявление вирусных гепатитов В и С среди групп риска и повышаться охват лекарственной терапией.</w:t>
      </w:r>
    </w:p>
    <w:bookmarkEnd w:id="145"/>
    <w:bookmarkStart w:name="z193" w:id="146"/>
    <w:p>
      <w:pPr>
        <w:spacing w:after="0"/>
        <w:ind w:left="0"/>
        <w:jc w:val="both"/>
      </w:pPr>
      <w:r>
        <w:rPr>
          <w:rFonts w:ascii="Times New Roman"/>
          <w:b w:val="false"/>
          <w:i w:val="false"/>
          <w:color w:val="000000"/>
          <w:sz w:val="28"/>
        </w:rPr>
        <w:t>
      Также, будет рассмотрен вопрос по развитию борьбы с туберкулезом и другими заболеваниями легких.</w:t>
      </w:r>
    </w:p>
    <w:bookmarkEnd w:id="146"/>
    <w:bookmarkStart w:name="z194" w:id="147"/>
    <w:p>
      <w:pPr>
        <w:spacing w:after="0"/>
        <w:ind w:left="0"/>
        <w:jc w:val="both"/>
      </w:pPr>
      <w:r>
        <w:rPr>
          <w:rFonts w:ascii="Times New Roman"/>
          <w:b w:val="false"/>
          <w:i w:val="false"/>
          <w:color w:val="000000"/>
          <w:sz w:val="28"/>
        </w:rPr>
        <w:t>
      Будет обеспечено повышение эффективности мер в отношении инфекций, связанных с оказанием медицинской помощи. Будут реализованы руководящие принципы ВОЗ программы профилактики инфекций и инфекционного контроля как на национальном уровне, так и в медицинских организациях. Также продолжится внедрение технологии вирусинактивации и карантинизации свежезамороженной плазмы, выдаваемой центрами крови.</w:t>
      </w:r>
    </w:p>
    <w:bookmarkEnd w:id="147"/>
    <w:bookmarkStart w:name="z195" w:id="148"/>
    <w:p>
      <w:pPr>
        <w:spacing w:after="0"/>
        <w:ind w:left="0"/>
        <w:jc w:val="both"/>
      </w:pPr>
      <w:r>
        <w:rPr>
          <w:rFonts w:ascii="Times New Roman"/>
          <w:b w:val="false"/>
          <w:i w:val="false"/>
          <w:color w:val="000000"/>
          <w:sz w:val="28"/>
        </w:rPr>
        <w:t>
      Для повышения продолжительности жизни населения по рекомендациям ОЭСР и ВОЗ будут приняты меры по профилактике и снижению травматизма и несчастных случаев. Дети и молодые люди от 14 до 30 лет в Казахстане чаще всего умирают по причине травм и несчастных случаев. Поэтому меры предусматривают снижение уровня травматизма и смертности по причине дорожно-транспортных происшествий (далее – ДТП).</w:t>
      </w:r>
    </w:p>
    <w:bookmarkEnd w:id="148"/>
    <w:bookmarkStart w:name="z196" w:id="149"/>
    <w:p>
      <w:pPr>
        <w:spacing w:after="0"/>
        <w:ind w:left="0"/>
        <w:jc w:val="both"/>
      </w:pPr>
      <w:r>
        <w:rPr>
          <w:rFonts w:ascii="Times New Roman"/>
          <w:b w:val="false"/>
          <w:i w:val="false"/>
          <w:color w:val="000000"/>
          <w:sz w:val="28"/>
        </w:rPr>
        <w:t>
      Для дальнейшего совершенствования деятельности трассовых медико-спасательных пунктов на аварийно-опасных участках дорог данная служба будет передана в ведение системы здравоохранения.</w:t>
      </w:r>
    </w:p>
    <w:bookmarkEnd w:id="149"/>
    <w:bookmarkStart w:name="z197" w:id="150"/>
    <w:p>
      <w:pPr>
        <w:spacing w:after="0"/>
        <w:ind w:left="0"/>
        <w:jc w:val="both"/>
      </w:pPr>
      <w:r>
        <w:rPr>
          <w:rFonts w:ascii="Times New Roman"/>
          <w:b w:val="false"/>
          <w:i w:val="false"/>
          <w:color w:val="000000"/>
          <w:sz w:val="28"/>
        </w:rPr>
        <w:t xml:space="preserve">
      Важным фактором для снижения смертности при ДТП является эффективность оказания первой медицинской помощи на местах. Своевременная остановка наружного кровотечения, своевременная иммобилизация подручными средствами и другие меры первой помощи, оказанные прибывшими работниками дорожной полиции и другими лицами, могут значительно увеличить шансы пострадавших на выживание. </w:t>
      </w:r>
    </w:p>
    <w:bookmarkEnd w:id="150"/>
    <w:bookmarkStart w:name="z198" w:id="151"/>
    <w:p>
      <w:pPr>
        <w:spacing w:after="0"/>
        <w:ind w:left="0"/>
        <w:jc w:val="both"/>
      </w:pPr>
      <w:r>
        <w:rPr>
          <w:rFonts w:ascii="Times New Roman"/>
          <w:b w:val="false"/>
          <w:i w:val="false"/>
          <w:color w:val="000000"/>
          <w:sz w:val="28"/>
        </w:rPr>
        <w:t xml:space="preserve">
      </w:t>
      </w:r>
      <w:r>
        <w:rPr>
          <w:rFonts w:ascii="Times New Roman"/>
          <w:b/>
          <w:i w:val="false"/>
          <w:color w:val="000000"/>
          <w:sz w:val="28"/>
        </w:rPr>
        <w:t>5.3 Всесторонняя поддержка здоровья на уровне ПМСП</w:t>
      </w:r>
    </w:p>
    <w:bookmarkEnd w:id="151"/>
    <w:bookmarkStart w:name="z199" w:id="152"/>
    <w:p>
      <w:pPr>
        <w:spacing w:after="0"/>
        <w:ind w:left="0"/>
        <w:jc w:val="both"/>
      </w:pPr>
      <w:r>
        <w:rPr>
          <w:rFonts w:ascii="Times New Roman"/>
          <w:b w:val="false"/>
          <w:i w:val="false"/>
          <w:color w:val="000000"/>
          <w:sz w:val="28"/>
        </w:rPr>
        <w:t xml:space="preserve">
      Всесторонняя поддержка здоровья на уровне ПМСП будет проводится на уровне медицинской организации с вовлечением населения, на уровне регионов, страны и международном уровне. </w:t>
      </w:r>
    </w:p>
    <w:bookmarkEnd w:id="152"/>
    <w:bookmarkStart w:name="z200" w:id="153"/>
    <w:p>
      <w:pPr>
        <w:spacing w:after="0"/>
        <w:ind w:left="0"/>
        <w:jc w:val="both"/>
      </w:pPr>
      <w:r>
        <w:rPr>
          <w:rFonts w:ascii="Times New Roman"/>
          <w:b w:val="false"/>
          <w:i w:val="false"/>
          <w:color w:val="000000"/>
          <w:sz w:val="28"/>
        </w:rPr>
        <w:t>
      Продвижение Астанинской декларации по ПМСП на международном уровне позволит усилить техническую поддержку Казахстана от ВОЗ и других международных организаций и привлечь инвестиции в страну. В частности, планируется трансформация географически удаленного офиса по ПМСП Европейского региона ВОЗ в глобальный офис по ПМСП. Это позволит проводить мониторинг внедрения Астанинской декларации по ПМСП во всем мире через офис, расположенный в Казахстане. Привлечение инвестиций развитых стран и международных доноров в глобальный офис по ПМСП усилит кадровый потенциал в Казахстане через обучение и развитие, а также откроет возможности беспрепятственно и своевременно внедрять лучшие практики в нашей стране.</w:t>
      </w:r>
    </w:p>
    <w:bookmarkEnd w:id="153"/>
    <w:bookmarkStart w:name="z201" w:id="154"/>
    <w:p>
      <w:pPr>
        <w:spacing w:after="0"/>
        <w:ind w:left="0"/>
        <w:jc w:val="both"/>
      </w:pPr>
      <w:r>
        <w:rPr>
          <w:rFonts w:ascii="Times New Roman"/>
          <w:b w:val="false"/>
          <w:i w:val="false"/>
          <w:color w:val="000000"/>
          <w:sz w:val="28"/>
        </w:rPr>
        <w:t>
      На уровне страны будет реализован план мероприятий по развитию ПМСП в Республике Казахстан на 2019 – 2020 годы. Географически доступная сеть ПМСП будет обеспечена в рамках развития инфраструктуры и государственно-частного партнерства. Продолжится интеграция служб здравоохранения на основе модернизации ПМСП. Будет улучшен кадровый потенциал ПМСП за счет подготовки семейных врачей в резидентуре и передачи некоторых функций узких специалистов участковым врачам на основе их поэтапной подготовки.</w:t>
      </w:r>
    </w:p>
    <w:bookmarkEnd w:id="154"/>
    <w:bookmarkStart w:name="z202" w:id="155"/>
    <w:p>
      <w:pPr>
        <w:spacing w:after="0"/>
        <w:ind w:left="0"/>
        <w:jc w:val="both"/>
      </w:pPr>
      <w:r>
        <w:rPr>
          <w:rFonts w:ascii="Times New Roman"/>
          <w:b w:val="false"/>
          <w:i w:val="false"/>
          <w:color w:val="000000"/>
          <w:sz w:val="28"/>
        </w:rPr>
        <w:t>
      Основные направления развития ПМСП будут реализованы до 2022 года с последующим поддержанием ПМСП через приоритетное финансирование. Расходы на первичную медико-санитарную помощь и службу общественного здравоохранения будут увеличены до 60% от общего объема финансирования здравоохранения. Индикатором будет доля расходов на амбулаторно-поликлиническую помощь (далее – АПП) и общественное здоровье в рамках ГОБМП и ОСМС.</w:t>
      </w:r>
    </w:p>
    <w:bookmarkEnd w:id="155"/>
    <w:bookmarkStart w:name="z203" w:id="156"/>
    <w:p>
      <w:pPr>
        <w:spacing w:after="0"/>
        <w:ind w:left="0"/>
        <w:jc w:val="both"/>
      </w:pPr>
      <w:r>
        <w:rPr>
          <w:rFonts w:ascii="Times New Roman"/>
          <w:b w:val="false"/>
          <w:i w:val="false"/>
          <w:color w:val="000000"/>
          <w:sz w:val="28"/>
        </w:rPr>
        <w:t>
      Продолжится совершенствование финансирования организаций ПМСП, которые будут стимулировать раннее выявление заболеваний и сохранение качества жизни людей в течение всей жизни. Количество посещений в организации ПМСП на одного жителя в год будет отслеживаться как индикатор использования населением услуг, направленных на профилактику и раннее выявление болезней.</w:t>
      </w:r>
    </w:p>
    <w:bookmarkEnd w:id="156"/>
    <w:bookmarkStart w:name="z204" w:id="157"/>
    <w:p>
      <w:pPr>
        <w:spacing w:after="0"/>
        <w:ind w:left="0"/>
        <w:jc w:val="both"/>
      </w:pPr>
      <w:r>
        <w:rPr>
          <w:rFonts w:ascii="Times New Roman"/>
          <w:b w:val="false"/>
          <w:i w:val="false"/>
          <w:color w:val="000000"/>
          <w:sz w:val="28"/>
        </w:rPr>
        <w:t>
      Будет продолжено внедрение программ управления заболеваниями (далее – ПУЗ) с расширением охвата населения и перечня заболеваний в ПУЗ. ПУЗ позволит вовлекать пациентов в управление заболеванием через повышение знаний о своей болезни и способах сохранения здоровья, своевременное исполнение пациентом рекомендаций врача, в том числе своевременный прием лекарственных средств, контроль диеты и другие действия пациента. Реализация ПУЗ повысит качество жизни людей с неинфекционными заболеваниями и позволит контролировать оказание высоко затратной неотложной и стационарной медицинской помощи.</w:t>
      </w:r>
    </w:p>
    <w:bookmarkEnd w:id="157"/>
    <w:bookmarkStart w:name="z205" w:id="158"/>
    <w:p>
      <w:pPr>
        <w:spacing w:after="0"/>
        <w:ind w:left="0"/>
        <w:jc w:val="both"/>
      </w:pPr>
      <w:r>
        <w:rPr>
          <w:rFonts w:ascii="Times New Roman"/>
          <w:b w:val="false"/>
          <w:i w:val="false"/>
          <w:color w:val="000000"/>
          <w:sz w:val="28"/>
        </w:rPr>
        <w:t xml:space="preserve">
      Также продолжится реализация универсальной прогрессивной модели патронажа, рекомендованной Детским фондом ООН (ЮНИСЕФ). Патронаж помогает своевременно выявлять и снижать риски медицинского или социального характера, угрожающие жизни, здоровью, развитию ребенка в уязвимой ситуации. </w:t>
      </w:r>
    </w:p>
    <w:bookmarkEnd w:id="158"/>
    <w:bookmarkStart w:name="z206" w:id="159"/>
    <w:p>
      <w:pPr>
        <w:spacing w:after="0"/>
        <w:ind w:left="0"/>
        <w:jc w:val="both"/>
      </w:pPr>
      <w:r>
        <w:rPr>
          <w:rFonts w:ascii="Times New Roman"/>
          <w:b w:val="false"/>
          <w:i w:val="false"/>
          <w:color w:val="000000"/>
          <w:sz w:val="28"/>
        </w:rPr>
        <w:t>
      Для координации и методологического сопровождения медицинских организаций в каждом регионе страны будут развиваться региональные центры лучших практик ПМСП (далее – ЦЛП). ЦЛП будут разрабатывать и внедрять новые технологии в оказании услуг ПМСП. На основе международного опыта будет разработана и внедрена программа "Здравоохранение на уровне сообщества" для вовлечения населения в вопросы здоровья, в том числе при поддержке неправительственных организаций. Данная программа позволит эффективно организовать санитарно-профилактические работы. Будет проработан вопрос по привлечению и обучению работников санитарного просвещения. Например, на оплачиваемую работу в организации ПМСП могут быть привлечены представители населения со средним образованием в качестве работников санитарного просвещения. Для этого будет изучен опыт стран со схожей экономикой и социо-демографической картиной в привлечении работников санитарного просвещения. Такие работники в ряде стран мира активно участвуют в повышении грамотности населения по вопросам здоровья и вовлекаются в своевременное получение людьми медицинских услуг.</w:t>
      </w:r>
    </w:p>
    <w:bookmarkEnd w:id="159"/>
    <w:bookmarkStart w:name="z207" w:id="160"/>
    <w:p>
      <w:pPr>
        <w:spacing w:after="0"/>
        <w:ind w:left="0"/>
        <w:jc w:val="both"/>
      </w:pPr>
      <w:r>
        <w:rPr>
          <w:rFonts w:ascii="Times New Roman"/>
          <w:b w:val="false"/>
          <w:i w:val="false"/>
          <w:color w:val="000000"/>
          <w:sz w:val="28"/>
        </w:rPr>
        <w:t>
      Охрана здоровья детей школьного возраста будет улучшена за счет медицинских работников в школах, работающих в сети ПМСП.</w:t>
      </w:r>
    </w:p>
    <w:bookmarkEnd w:id="160"/>
    <w:bookmarkStart w:name="z208" w:id="161"/>
    <w:p>
      <w:pPr>
        <w:spacing w:after="0"/>
        <w:ind w:left="0"/>
        <w:jc w:val="both"/>
      </w:pPr>
      <w:r>
        <w:rPr>
          <w:rFonts w:ascii="Times New Roman"/>
          <w:b w:val="false"/>
          <w:i w:val="false"/>
          <w:color w:val="000000"/>
          <w:sz w:val="28"/>
        </w:rPr>
        <w:t>
      Продолжится реализация мер по профилактике суицидов среди подростков. А именно, раннему выявлению риска суицида среди подростков будут обучены школьные психологи, медицинские работники ПМСП; также будут информироваться родители. Родителей будут обучать, в том числе через родительские комитеты и чаты в мессенджерах, оказанию поддержки детям при стрессе, по безопасной среде и предотвращению насилия, по показаниям к обращению за психологической помощью и признакам суицидальных мыслей.</w:t>
      </w:r>
    </w:p>
    <w:bookmarkEnd w:id="161"/>
    <w:bookmarkStart w:name="z209" w:id="162"/>
    <w:p>
      <w:pPr>
        <w:spacing w:after="0"/>
        <w:ind w:left="0"/>
        <w:jc w:val="both"/>
      </w:pPr>
      <w:r>
        <w:rPr>
          <w:rFonts w:ascii="Times New Roman"/>
          <w:b w:val="false"/>
          <w:i w:val="false"/>
          <w:color w:val="000000"/>
          <w:sz w:val="28"/>
        </w:rPr>
        <w:t>
      Для сохранения и улучшения здоровья подростков и молодежи будет совершенствоваться деятельность молодежных центров здоровья в сети ПМСП. Молодежные центры здоровья расширят перечень и доступность услуг в рамках ГОБМП и ОСМС, в том числе по охране репродуктивного и ментального здоровья. Для сохранения и восстановления психического здоровья подросткам и молодым людям, а также жертвам насилия, травли (буллинга) будут предоставляться консультации при депрессии, мыслях о суициде. При необходимости будут привлекаться узкие специалисты и другие службы.</w:t>
      </w:r>
    </w:p>
    <w:bookmarkEnd w:id="162"/>
    <w:bookmarkStart w:name="z210" w:id="163"/>
    <w:p>
      <w:pPr>
        <w:spacing w:after="0"/>
        <w:ind w:left="0"/>
        <w:jc w:val="both"/>
      </w:pPr>
      <w:r>
        <w:rPr>
          <w:rFonts w:ascii="Times New Roman"/>
          <w:b w:val="false"/>
          <w:i w:val="false"/>
          <w:color w:val="000000"/>
          <w:sz w:val="28"/>
        </w:rPr>
        <w:t>
      В рамках семейного принципа обслуживания населения семейные врачи и врачи общей практики будут оказывать услуги пациентам всех возрастов. Для поддержки работы участковых медицинских работников на амбулаторно-поликлиническом уровне будут развиваться школы активного долголетия.</w:t>
      </w:r>
    </w:p>
    <w:bookmarkEnd w:id="163"/>
    <w:bookmarkStart w:name="z211" w:id="164"/>
    <w:p>
      <w:pPr>
        <w:spacing w:after="0"/>
        <w:ind w:left="0"/>
        <w:jc w:val="both"/>
      </w:pPr>
      <w:r>
        <w:rPr>
          <w:rFonts w:ascii="Times New Roman"/>
          <w:b w:val="false"/>
          <w:i w:val="false"/>
          <w:color w:val="000000"/>
          <w:sz w:val="28"/>
        </w:rPr>
        <w:t xml:space="preserve">
      Продолжится интеграция специализированных служб с ПМСП для ранней диагностики заболеваний. На уровне оказания амбулаторно-поликлинической помощи продолжится создание и функционирование центров ментального здоровья. Будут проводиться динамическое наблюдение и консультации лиц с выявленным высоким риском суицида; при необходимости, уязвимые пациенты будут направляться за специализированой помощью. </w:t>
      </w:r>
    </w:p>
    <w:bookmarkEnd w:id="164"/>
    <w:bookmarkStart w:name="z212" w:id="165"/>
    <w:p>
      <w:pPr>
        <w:spacing w:after="0"/>
        <w:ind w:left="0"/>
        <w:jc w:val="both"/>
      </w:pPr>
      <w:r>
        <w:rPr>
          <w:rFonts w:ascii="Times New Roman"/>
          <w:b w:val="false"/>
          <w:i w:val="false"/>
          <w:color w:val="000000"/>
          <w:sz w:val="28"/>
        </w:rPr>
        <w:t>
      В состав мультидисциплинарных команд для психосоциальной адаптации и реабилитации на уровне ПМСП будут включаться психологи и социальные работники. Данные работники будут поэтапно обучаться навыкам, необходимым в условиях ПМСП.</w:t>
      </w:r>
    </w:p>
    <w:bookmarkEnd w:id="165"/>
    <w:bookmarkStart w:name="z213" w:id="166"/>
    <w:p>
      <w:pPr>
        <w:spacing w:after="0"/>
        <w:ind w:left="0"/>
        <w:jc w:val="both"/>
      </w:pPr>
      <w:r>
        <w:rPr>
          <w:rFonts w:ascii="Times New Roman"/>
          <w:b w:val="false"/>
          <w:i w:val="false"/>
          <w:color w:val="000000"/>
          <w:sz w:val="28"/>
        </w:rPr>
        <w:t>
      Будет расширен доступ населения к информации о репродуктивном здоровье и услугам планирования семьи в ПМСП. Будет улучшен охват женщин современными средствами контрацепции. На базе стационаров будут создаваться консультативные кабинеты, которые будут оказывать услуги для беременных с факторами высокого риска. Продолжатся мероприятия по повышению доступности и эффективности вспомогательных репродуктивных технологий в рамках ОСМС.</w:t>
      </w:r>
    </w:p>
    <w:bookmarkEnd w:id="166"/>
    <w:bookmarkStart w:name="z214" w:id="167"/>
    <w:p>
      <w:pPr>
        <w:spacing w:after="0"/>
        <w:ind w:left="0"/>
        <w:jc w:val="both"/>
      </w:pPr>
      <w:r>
        <w:rPr>
          <w:rFonts w:ascii="Times New Roman"/>
          <w:b w:val="false"/>
          <w:i w:val="false"/>
          <w:color w:val="000000"/>
          <w:sz w:val="28"/>
        </w:rPr>
        <w:t xml:space="preserve">
      </w:t>
      </w:r>
      <w:r>
        <w:rPr>
          <w:rFonts w:ascii="Times New Roman"/>
          <w:b/>
          <w:i w:val="false"/>
          <w:color w:val="000000"/>
          <w:sz w:val="28"/>
        </w:rPr>
        <w:t>5.4 Развитие человеческого капитала, модернизация образования, науки</w:t>
      </w:r>
    </w:p>
    <w:bookmarkEnd w:id="167"/>
    <w:bookmarkStart w:name="z215" w:id="168"/>
    <w:p>
      <w:pPr>
        <w:spacing w:after="0"/>
        <w:ind w:left="0"/>
        <w:jc w:val="both"/>
      </w:pPr>
      <w:r>
        <w:rPr>
          <w:rFonts w:ascii="Times New Roman"/>
          <w:b w:val="false"/>
          <w:i w:val="false"/>
          <w:color w:val="000000"/>
          <w:sz w:val="28"/>
        </w:rPr>
        <w:t>
      Для планирования и прогнозирования медицинских кадров на основе рекомендаций международных организаций будет создана национальная система учета кадровых ресурсов здравоохранения (далее – НСУКРЗ). Данная система будет основана на регистре медицинских работников с персонифицированным учетом кадров в разрезе регионов, организаций и специальностей. Для укрепления институционального потенциала будет усовершенствована деятельность национальной обсерватории кадровых ресурсов здравоохранения. Будут внедрены национальные счета по трудовым ресурсам здравоохранения.</w:t>
      </w:r>
    </w:p>
    <w:bookmarkEnd w:id="168"/>
    <w:bookmarkStart w:name="z216" w:id="169"/>
    <w:p>
      <w:pPr>
        <w:spacing w:after="0"/>
        <w:ind w:left="0"/>
        <w:jc w:val="both"/>
      </w:pPr>
      <w:r>
        <w:rPr>
          <w:rFonts w:ascii="Times New Roman"/>
          <w:b w:val="false"/>
          <w:i w:val="false"/>
          <w:color w:val="000000"/>
          <w:sz w:val="28"/>
        </w:rPr>
        <w:t xml:space="preserve">
      Повышение статуса работников медицинских организаций и организаций медицинского образования будет достигнуто комплексом мер – повышением заработной платы, усилением мер социальной поддержки, защитой профессиональной ответственности и другими мерами. </w:t>
      </w:r>
    </w:p>
    <w:bookmarkEnd w:id="169"/>
    <w:bookmarkStart w:name="z217" w:id="170"/>
    <w:p>
      <w:pPr>
        <w:spacing w:after="0"/>
        <w:ind w:left="0"/>
        <w:jc w:val="both"/>
      </w:pPr>
      <w:r>
        <w:rPr>
          <w:rFonts w:ascii="Times New Roman"/>
          <w:b w:val="false"/>
          <w:i w:val="false"/>
          <w:color w:val="000000"/>
          <w:sz w:val="28"/>
        </w:rPr>
        <w:t>
      В рамках внедрения ОСМС ежегодно будет повышаться заработная плата врачам и средним медицинским работникам. Соотношение средней заработной платы врача к средней заработной плате в экономике будет доведено до уровня 1,8:1 в 2023 году, а в 2025 году средняя заработная плата врача на одну ставку в РК составит не менее 550 000 тенге. Для средних медицинских работников это соотношение будет увеличено до 0,8:1 в 2025 году. Со стороны уполномоченного органа в области здравоохранения и неправительственного сектора (медицинские ассоциации, профессиональные союзы) будет проводиться мониторинг фактического уровня заработных плат медицинских работников в государственных медицинских организациях. Уровень оплаты труда и штатное расписание будут регулироваться на уровне медицинской организации. Для повышения прозрачности в системе оплаты труда медицинские организации продолжат внедрение принципов корпоративного управления и и современных принципов менеджмента.</w:t>
      </w:r>
    </w:p>
    <w:bookmarkEnd w:id="170"/>
    <w:bookmarkStart w:name="z218" w:id="171"/>
    <w:p>
      <w:pPr>
        <w:spacing w:after="0"/>
        <w:ind w:left="0"/>
        <w:jc w:val="both"/>
      </w:pPr>
      <w:r>
        <w:rPr>
          <w:rFonts w:ascii="Times New Roman"/>
          <w:b w:val="false"/>
          <w:i w:val="false"/>
          <w:color w:val="000000"/>
          <w:sz w:val="28"/>
        </w:rPr>
        <w:t xml:space="preserve">
      Будет продолжено усиление мер социальной поддержки для работников системы здравоохранения, особенно молодым специалистам, в том числе в сельской местности, малых городах, регионах. </w:t>
      </w:r>
    </w:p>
    <w:bookmarkEnd w:id="171"/>
    <w:bookmarkStart w:name="z219" w:id="172"/>
    <w:p>
      <w:pPr>
        <w:spacing w:after="0"/>
        <w:ind w:left="0"/>
        <w:jc w:val="both"/>
      </w:pPr>
      <w:r>
        <w:rPr>
          <w:rFonts w:ascii="Times New Roman"/>
          <w:b w:val="false"/>
          <w:i w:val="false"/>
          <w:color w:val="000000"/>
          <w:sz w:val="28"/>
        </w:rPr>
        <w:t>
      Планируется поэтапное внедрение вмененного страхования профессиональной ответственности медицинских работников и субъектов здравоохранения. Ожидается активное вовлечение академической среды (университетов), страхового бизнеса и неправительственного сектора в вопросы медицинского права. Данные меры позволят снизить риск высоких личных затрат врача в случае судебного разбирательства в отношении его профессиональной деятельности, в том числе при непреднамеренном инциденте.</w:t>
      </w:r>
    </w:p>
    <w:bookmarkEnd w:id="172"/>
    <w:bookmarkStart w:name="z220" w:id="173"/>
    <w:p>
      <w:pPr>
        <w:spacing w:after="0"/>
        <w:ind w:left="0"/>
        <w:jc w:val="both"/>
      </w:pPr>
      <w:r>
        <w:rPr>
          <w:rFonts w:ascii="Times New Roman"/>
          <w:b w:val="false"/>
          <w:i w:val="false"/>
          <w:color w:val="000000"/>
          <w:sz w:val="28"/>
        </w:rPr>
        <w:t xml:space="preserve">
      Будет рассмотрена возможность поэтапного перехода на лицензирование врачей и средних медицинских работников на основе международного опыта. </w:t>
      </w:r>
    </w:p>
    <w:bookmarkEnd w:id="173"/>
    <w:bookmarkStart w:name="z221" w:id="174"/>
    <w:p>
      <w:pPr>
        <w:spacing w:after="0"/>
        <w:ind w:left="0"/>
        <w:jc w:val="both"/>
      </w:pPr>
      <w:r>
        <w:rPr>
          <w:rFonts w:ascii="Times New Roman"/>
          <w:b w:val="false"/>
          <w:i w:val="false"/>
          <w:color w:val="000000"/>
          <w:sz w:val="28"/>
        </w:rPr>
        <w:t>
      В рамках настоящей государственной программы будут созданы новые рабочие места в системе здравоохранения.</w:t>
      </w:r>
    </w:p>
    <w:bookmarkEnd w:id="174"/>
    <w:bookmarkStart w:name="z222" w:id="175"/>
    <w:p>
      <w:pPr>
        <w:spacing w:after="0"/>
        <w:ind w:left="0"/>
        <w:jc w:val="both"/>
      </w:pPr>
      <w:r>
        <w:rPr>
          <w:rFonts w:ascii="Times New Roman"/>
          <w:b w:val="false"/>
          <w:i w:val="false"/>
          <w:color w:val="000000"/>
          <w:sz w:val="28"/>
        </w:rPr>
        <w:t>
      Для повышения качества подготовки медицинских кадров будет усовершенствована отраслевая система квалификаций путем разработки и пересмотра профессиональных стандартов в сфере здравоохранения.</w:t>
      </w:r>
    </w:p>
    <w:bookmarkEnd w:id="175"/>
    <w:bookmarkStart w:name="z223" w:id="176"/>
    <w:p>
      <w:pPr>
        <w:spacing w:after="0"/>
        <w:ind w:left="0"/>
        <w:jc w:val="both"/>
      </w:pPr>
      <w:r>
        <w:rPr>
          <w:rFonts w:ascii="Times New Roman"/>
          <w:b w:val="false"/>
          <w:i w:val="false"/>
          <w:color w:val="000000"/>
          <w:sz w:val="28"/>
        </w:rPr>
        <w:t>
      Также будут внедрены международные стандарты подготовки работников здравоохранения, адаптированные к потребностям национального здравоохранения. Внедрение международных стандартов на всех уровнях медицинского образования и совместные образовательные программы с ведущими зарубежными университетами позволят подготовить конкурентоспособные медицинские кадры. Например, продолжится внедрение программ интегрированного медицинского образования; подготовка врачей в рамках программ резидентуры, реализуемых на базе аккредитованных университетских клиник и клинических баз. Данная работа будет проводиться в рамках стратегического партнерства медицинских ВУЗов в условиях расширения их автономии.</w:t>
      </w:r>
    </w:p>
    <w:bookmarkEnd w:id="176"/>
    <w:bookmarkStart w:name="z224" w:id="177"/>
    <w:p>
      <w:pPr>
        <w:spacing w:after="0"/>
        <w:ind w:left="0"/>
        <w:jc w:val="both"/>
      </w:pPr>
      <w:r>
        <w:rPr>
          <w:rFonts w:ascii="Times New Roman"/>
          <w:b w:val="false"/>
          <w:i w:val="false"/>
          <w:color w:val="000000"/>
          <w:sz w:val="28"/>
        </w:rPr>
        <w:t>
      Также будет усовершенствована система независимой оценки знаний и навыков медицинских работников, в том числе выпускников организаций медицинского и сестринского образования.</w:t>
      </w:r>
    </w:p>
    <w:bookmarkEnd w:id="177"/>
    <w:bookmarkStart w:name="z225" w:id="178"/>
    <w:p>
      <w:pPr>
        <w:spacing w:after="0"/>
        <w:ind w:left="0"/>
        <w:jc w:val="both"/>
      </w:pPr>
      <w:r>
        <w:rPr>
          <w:rFonts w:ascii="Times New Roman"/>
          <w:b w:val="false"/>
          <w:i w:val="false"/>
          <w:color w:val="000000"/>
          <w:sz w:val="28"/>
        </w:rPr>
        <w:t>
      Будет внедрена новая модель непрерывного профессионального развития работников здравоохранения, гармонизированная с системой подтверждения сертификата или лицензии. Программы дополнительного медицинского образования будут усовершенствованы в соответствии с профессиональными стандартами для приобретения необходимых компетенций.</w:t>
      </w:r>
    </w:p>
    <w:bookmarkEnd w:id="178"/>
    <w:bookmarkStart w:name="z226" w:id="179"/>
    <w:p>
      <w:pPr>
        <w:spacing w:after="0"/>
        <w:ind w:left="0"/>
        <w:jc w:val="both"/>
      </w:pPr>
      <w:r>
        <w:rPr>
          <w:rFonts w:ascii="Times New Roman"/>
          <w:b w:val="false"/>
          <w:i w:val="false"/>
          <w:color w:val="000000"/>
          <w:sz w:val="28"/>
        </w:rPr>
        <w:t>
      Будет активно развиваться кадровый потенциал среднего медицинского персонала и работников вспомогательных служб в здравоохранении. Мероприятия по повышению статуса медицинских работников включают также усиление статуса и роли медицинских сестер. Планируются дальнейшее делегирование среднему медицинскому персоналу ряда функций и расширение роли и задач специалистов сестринского дела. Например, будут внедряться клинические сестринские руководства и стандартные операционные процедуры, что повысит качество медицинских услуг. Для этого будет принят комплекс мер по управлению и развитию средних медицинских работников.</w:t>
      </w:r>
    </w:p>
    <w:bookmarkEnd w:id="179"/>
    <w:bookmarkStart w:name="z227" w:id="180"/>
    <w:p>
      <w:pPr>
        <w:spacing w:after="0"/>
        <w:ind w:left="0"/>
        <w:jc w:val="both"/>
      </w:pPr>
      <w:r>
        <w:rPr>
          <w:rFonts w:ascii="Times New Roman"/>
          <w:b w:val="false"/>
          <w:i w:val="false"/>
          <w:color w:val="000000"/>
          <w:sz w:val="28"/>
        </w:rPr>
        <w:t>
      Будут приниматься меры государственной поддержки и привлечения частных инвестиций в развитие науки, рынка биомедицинских исследований, в том числе проведение на территории Казахстана международных и многоцентровых исследований. Для развития рынка клинических исследований будет прорабатываться вопрос внедрения механизмов, обязующих фармацевтические компании инвестировать до 10% прибыли от продаж фармацевтической продукции в клинические исследования на территории Казахстана, а также мотивационных механизмов для инвесторов и ученых; создание правовых рамок применения лекарственных средств передовой терапии; создание регистра клинических исследований. Для развития биомедицинской науки будет повышаться потенциал исследователей. Будет поощряться сочетание медицинскими работниками научной, образовательной и клинической деятельности. Темы и содержание биомедицинских исследований, в том числе в рамках выполнения программ магистратуры, докторантуры PhD и пост-докторантуры, будут исходить из приоритетов, определяемых уполномоченным органом в области здравоохранения.</w:t>
      </w:r>
    </w:p>
    <w:bookmarkEnd w:id="180"/>
    <w:bookmarkStart w:name="z228" w:id="181"/>
    <w:p>
      <w:pPr>
        <w:spacing w:after="0"/>
        <w:ind w:left="0"/>
        <w:jc w:val="both"/>
      </w:pPr>
      <w:r>
        <w:rPr>
          <w:rFonts w:ascii="Times New Roman"/>
          <w:b w:val="false"/>
          <w:i w:val="false"/>
          <w:color w:val="000000"/>
          <w:sz w:val="28"/>
        </w:rPr>
        <w:t>
      Повсеместное внедрение цифровой медицины и искусственного интеллекта создаст условия для реализации персонализированной медицины в Казахстане (4П-медицина). Персонализированная медицина позволит на доклиническом этапе выявлять и прогнозировать ход заболевания, выполнять превентивные мероприятия, тем самым снизить расходы на лечение и реабилитацию предотвратимых заболеваний. Будут подготовлены квалифицированные научные и медицинские кадры по персонализированной медицине (биоинформатика, медицинская генетика, фармакогенетика и т.д.) в рамках магистратуры, докторантуры и постдокторантуры.</w:t>
      </w:r>
    </w:p>
    <w:bookmarkEnd w:id="181"/>
    <w:bookmarkStart w:name="z229" w:id="182"/>
    <w:p>
      <w:pPr>
        <w:spacing w:after="0"/>
        <w:ind w:left="0"/>
        <w:jc w:val="both"/>
      </w:pPr>
      <w:r>
        <w:rPr>
          <w:rFonts w:ascii="Times New Roman"/>
          <w:b w:val="false"/>
          <w:i w:val="false"/>
          <w:color w:val="000000"/>
          <w:sz w:val="28"/>
        </w:rPr>
        <w:t xml:space="preserve">
      Основную роль в реализации 4П-медицины сыграют генетические лаборатории и биобанки, медицинские информационные системы и искусственный интеллект. Будет создан биобанк для проведения клинических исследований в области персонализированной медицины с базой больших данных. </w:t>
      </w:r>
    </w:p>
    <w:bookmarkEnd w:id="182"/>
    <w:bookmarkStart w:name="z230" w:id="183"/>
    <w:p>
      <w:pPr>
        <w:spacing w:after="0"/>
        <w:ind w:left="0"/>
        <w:jc w:val="both"/>
      </w:pPr>
      <w:r>
        <w:rPr>
          <w:rFonts w:ascii="Times New Roman"/>
          <w:b w:val="false"/>
          <w:i w:val="false"/>
          <w:color w:val="000000"/>
          <w:sz w:val="28"/>
        </w:rPr>
        <w:t xml:space="preserve">
      </w:t>
      </w:r>
      <w:r>
        <w:rPr>
          <w:rFonts w:ascii="Times New Roman"/>
          <w:b/>
          <w:i w:val="false"/>
          <w:color w:val="000000"/>
          <w:sz w:val="28"/>
        </w:rPr>
        <w:t>5.5 Совершенствование оказания медицинской помощи</w:t>
      </w:r>
    </w:p>
    <w:bookmarkEnd w:id="183"/>
    <w:bookmarkStart w:name="z231" w:id="184"/>
    <w:p>
      <w:pPr>
        <w:spacing w:after="0"/>
        <w:ind w:left="0"/>
        <w:jc w:val="both"/>
      </w:pPr>
      <w:r>
        <w:rPr>
          <w:rFonts w:ascii="Times New Roman"/>
          <w:b w:val="false"/>
          <w:i w:val="false"/>
          <w:color w:val="000000"/>
          <w:sz w:val="28"/>
        </w:rPr>
        <w:t>
      В рамках всеобщего охвата услугами здравоохранения продолжится работа по внедрению международно-признанных инструментов повышения качества медицинских услуг и безопасности пациента. Будет усовершенствована модель управления качеством медицинской помощи в стране. В реализации управления качеством участвуют уполномоченный орган в области здравоохранения, плательщики за медицинские услуги (ФСМС и частные страховые компании), аккредитующий орган в области здравоохранения для медицинских организаций, поставщики медицинских услуг, медицинское сообщество, пациенты и другие заинтересованные стороны, деятельность которых будет усовершенствована в сторону повышения качества и безопасности пациента. Конечный результат – удовлетворенность пациента качеством медицинской помощи – будет оцениваться в конкурентной среде с привлечением неправительственных организаций на основе признанной методологии.</w:t>
      </w:r>
    </w:p>
    <w:bookmarkEnd w:id="184"/>
    <w:bookmarkStart w:name="z232" w:id="185"/>
    <w:p>
      <w:pPr>
        <w:spacing w:after="0"/>
        <w:ind w:left="0"/>
        <w:jc w:val="both"/>
      </w:pPr>
      <w:r>
        <w:rPr>
          <w:rFonts w:ascii="Times New Roman"/>
          <w:b w:val="false"/>
          <w:i w:val="false"/>
          <w:color w:val="000000"/>
          <w:sz w:val="28"/>
        </w:rPr>
        <w:t>
      Государственный контроль качества медицинских услуг будет проводиться на основе риск-ориентированного профилактического контроля с оценкой соблюдения стандартов организации медицинской помощи. На всех уровнях (медицинская организация, ФСМС) будет автоматизирован мониторинг качества медицинской помощи на основе цифровизации, что улучшит соблюдение клинических руководств и протоколов.</w:t>
      </w:r>
    </w:p>
    <w:bookmarkEnd w:id="185"/>
    <w:bookmarkStart w:name="z233" w:id="186"/>
    <w:p>
      <w:pPr>
        <w:spacing w:after="0"/>
        <w:ind w:left="0"/>
        <w:jc w:val="both"/>
      </w:pPr>
      <w:r>
        <w:rPr>
          <w:rFonts w:ascii="Times New Roman"/>
          <w:b w:val="false"/>
          <w:i w:val="false"/>
          <w:color w:val="000000"/>
          <w:sz w:val="28"/>
        </w:rPr>
        <w:t>
      Для повышения качества медицинских услуг национальная аккредитация поставщиков медицинских услуг поэтапно будет распространяться на большее число медицинских организаций. Аккредитация медицинских организаций будет проводиться в независимой среде, согласно стандартам Международного общества по качеству в здравоохранении (далее – ISQua). Будет также стимулироваться прохождение медицинскими организациями признанной системы международной аккредитации. Продолжится внедрение элементов сервиса (госпитальный сервис) и ресурсосберегающих технологий в медицинских организациях.</w:t>
      </w:r>
    </w:p>
    <w:bookmarkEnd w:id="186"/>
    <w:bookmarkStart w:name="z234" w:id="187"/>
    <w:p>
      <w:pPr>
        <w:spacing w:after="0"/>
        <w:ind w:left="0"/>
        <w:jc w:val="both"/>
      </w:pPr>
      <w:r>
        <w:rPr>
          <w:rFonts w:ascii="Times New Roman"/>
          <w:b w:val="false"/>
          <w:i w:val="false"/>
          <w:color w:val="000000"/>
          <w:sz w:val="28"/>
        </w:rPr>
        <w:t>
      Будет улучшена система менеджмента качества, включая проведение внешней и внутренней клинической коллегиальной оценки медицинской помощи. Для анализа медицинских инцидентов и неблагоприятных событий в клинической практике будут привлекаться независимые эксперты, которые будут сертифицироваться и входить в национальный реестр на основе процедуры допуска к деятельности в области независимой экспертизы. Таким образом, будет усовершенствован институт независимых экспертов, что позволит повысить качество проводимой независимой экспертизы. Для повышения безопасности пациентов также будет введена система учета инцидентов и их анализа в справедливой, некарательной обстановке с принятием корректирующих мер.</w:t>
      </w:r>
    </w:p>
    <w:bookmarkEnd w:id="187"/>
    <w:bookmarkStart w:name="z235" w:id="188"/>
    <w:p>
      <w:pPr>
        <w:spacing w:after="0"/>
        <w:ind w:left="0"/>
        <w:jc w:val="both"/>
      </w:pPr>
      <w:r>
        <w:rPr>
          <w:rFonts w:ascii="Times New Roman"/>
          <w:b w:val="false"/>
          <w:i w:val="false"/>
          <w:color w:val="000000"/>
          <w:sz w:val="28"/>
        </w:rPr>
        <w:t>
      Меры по борьбе с основными заболеваниями, приводящими к смертности – это болезни системы кровообращения (инсульты, инфаркты и другие), болезни органов дыхания, онкологические заболевания, травмы, охрана здоровья детей и матерей, неврологические заболевания, и в других клинических службах – включают:</w:t>
      </w:r>
    </w:p>
    <w:bookmarkEnd w:id="188"/>
    <w:bookmarkStart w:name="z236" w:id="189"/>
    <w:p>
      <w:pPr>
        <w:spacing w:after="0"/>
        <w:ind w:left="0"/>
        <w:jc w:val="both"/>
      </w:pPr>
      <w:r>
        <w:rPr>
          <w:rFonts w:ascii="Times New Roman"/>
          <w:b w:val="false"/>
          <w:i w:val="false"/>
          <w:color w:val="000000"/>
          <w:sz w:val="28"/>
        </w:rPr>
        <w:t>
      - внедрение проектного управления в работе координационных советов;</w:t>
      </w:r>
    </w:p>
    <w:bookmarkEnd w:id="189"/>
    <w:bookmarkStart w:name="z237" w:id="190"/>
    <w:p>
      <w:pPr>
        <w:spacing w:after="0"/>
        <w:ind w:left="0"/>
        <w:jc w:val="both"/>
      </w:pPr>
      <w:r>
        <w:rPr>
          <w:rFonts w:ascii="Times New Roman"/>
          <w:b w:val="false"/>
          <w:i w:val="false"/>
          <w:color w:val="000000"/>
          <w:sz w:val="28"/>
        </w:rPr>
        <w:t>
      - регулярный пересмотр или разработку клинических протоколов и руководств;</w:t>
      </w:r>
    </w:p>
    <w:bookmarkEnd w:id="190"/>
    <w:bookmarkStart w:name="z238" w:id="191"/>
    <w:p>
      <w:pPr>
        <w:spacing w:after="0"/>
        <w:ind w:left="0"/>
        <w:jc w:val="both"/>
      </w:pPr>
      <w:r>
        <w:rPr>
          <w:rFonts w:ascii="Times New Roman"/>
          <w:b w:val="false"/>
          <w:i w:val="false"/>
          <w:color w:val="000000"/>
          <w:sz w:val="28"/>
        </w:rPr>
        <w:t>
      - оценку медицинских технологий для принятия решения о включении новых методов диагностики, лечения в пакеты услуг в рамках ГОБМП и ОСМС;</w:t>
      </w:r>
    </w:p>
    <w:bookmarkEnd w:id="191"/>
    <w:bookmarkStart w:name="z239" w:id="192"/>
    <w:p>
      <w:pPr>
        <w:spacing w:after="0"/>
        <w:ind w:left="0"/>
        <w:jc w:val="both"/>
      </w:pPr>
      <w:r>
        <w:rPr>
          <w:rFonts w:ascii="Times New Roman"/>
          <w:b w:val="false"/>
          <w:i w:val="false"/>
          <w:color w:val="000000"/>
          <w:sz w:val="28"/>
        </w:rPr>
        <w:t>
      - трансферт и внедрение новых и инновационных технологий диагностики и лечения заболеваний в рамках государственных и частных инициатив;</w:t>
      </w:r>
    </w:p>
    <w:bookmarkEnd w:id="192"/>
    <w:bookmarkStart w:name="z240" w:id="193"/>
    <w:p>
      <w:pPr>
        <w:spacing w:after="0"/>
        <w:ind w:left="0"/>
        <w:jc w:val="both"/>
      </w:pPr>
      <w:r>
        <w:rPr>
          <w:rFonts w:ascii="Times New Roman"/>
          <w:b w:val="false"/>
          <w:i w:val="false"/>
          <w:color w:val="000000"/>
          <w:sz w:val="28"/>
        </w:rPr>
        <w:t>
      - улучшение качества подготовки кадров (в том числе непрерывное профессиональнее развитие);</w:t>
      </w:r>
    </w:p>
    <w:bookmarkEnd w:id="193"/>
    <w:bookmarkStart w:name="z241" w:id="194"/>
    <w:p>
      <w:pPr>
        <w:spacing w:after="0"/>
        <w:ind w:left="0"/>
        <w:jc w:val="both"/>
      </w:pPr>
      <w:r>
        <w:rPr>
          <w:rFonts w:ascii="Times New Roman"/>
          <w:b w:val="false"/>
          <w:i w:val="false"/>
          <w:color w:val="000000"/>
          <w:sz w:val="28"/>
        </w:rPr>
        <w:t>
      - снижение дисбаланса кадров, мотивацию и развитие кадров;</w:t>
      </w:r>
    </w:p>
    <w:bookmarkEnd w:id="194"/>
    <w:bookmarkStart w:name="z242" w:id="195"/>
    <w:p>
      <w:pPr>
        <w:spacing w:after="0"/>
        <w:ind w:left="0"/>
        <w:jc w:val="both"/>
      </w:pPr>
      <w:r>
        <w:rPr>
          <w:rFonts w:ascii="Times New Roman"/>
          <w:b w:val="false"/>
          <w:i w:val="false"/>
          <w:color w:val="000000"/>
          <w:sz w:val="28"/>
        </w:rPr>
        <w:t>
      - совершенствование финансирования медицинских услуг;</w:t>
      </w:r>
    </w:p>
    <w:bookmarkEnd w:id="195"/>
    <w:bookmarkStart w:name="z243" w:id="196"/>
    <w:p>
      <w:pPr>
        <w:spacing w:after="0"/>
        <w:ind w:left="0"/>
        <w:jc w:val="both"/>
      </w:pPr>
      <w:r>
        <w:rPr>
          <w:rFonts w:ascii="Times New Roman"/>
          <w:b w:val="false"/>
          <w:i w:val="false"/>
          <w:color w:val="000000"/>
          <w:sz w:val="28"/>
        </w:rPr>
        <w:t>
      - улучшение координации, доступности и качества медицинской помощи, в том числе через выделение государственного социального заказа для работы с эффективными неправительственными и пациентскими организациями.</w:t>
      </w:r>
    </w:p>
    <w:bookmarkEnd w:id="196"/>
    <w:bookmarkStart w:name="z244" w:id="197"/>
    <w:p>
      <w:pPr>
        <w:spacing w:after="0"/>
        <w:ind w:left="0"/>
        <w:jc w:val="both"/>
      </w:pPr>
      <w:r>
        <w:rPr>
          <w:rFonts w:ascii="Times New Roman"/>
          <w:b w:val="false"/>
          <w:i w:val="false"/>
          <w:color w:val="000000"/>
          <w:sz w:val="28"/>
        </w:rPr>
        <w:t xml:space="preserve">
      Работа координационных советов профильных клинических служб будет основана на доказательствах современной медицины и объективных, специфичных для конкретной службы индикаторах качества медицинской помощи. </w:t>
      </w:r>
    </w:p>
    <w:bookmarkEnd w:id="197"/>
    <w:bookmarkStart w:name="z245" w:id="198"/>
    <w:p>
      <w:pPr>
        <w:spacing w:after="0"/>
        <w:ind w:left="0"/>
        <w:jc w:val="both"/>
      </w:pPr>
      <w:r>
        <w:rPr>
          <w:rFonts w:ascii="Times New Roman"/>
          <w:b w:val="false"/>
          <w:i w:val="false"/>
          <w:color w:val="000000"/>
          <w:sz w:val="28"/>
        </w:rPr>
        <w:t>
      На основе региональных перспективных планов развития инфраструктуры реорганизация либо образование новых медицинских организаций должны отвечать интересам пациента в получении интегрированной, пациент-ориентированной и качественной медицинской помощи с приоритетным развитием первичной медико-санитарной службы и в целом услуг на амбулаторном этапе.</w:t>
      </w:r>
    </w:p>
    <w:bookmarkEnd w:id="198"/>
    <w:bookmarkStart w:name="z246" w:id="199"/>
    <w:p>
      <w:pPr>
        <w:spacing w:after="0"/>
        <w:ind w:left="0"/>
        <w:jc w:val="both"/>
      </w:pPr>
      <w:r>
        <w:rPr>
          <w:rFonts w:ascii="Times New Roman"/>
          <w:b w:val="false"/>
          <w:i w:val="false"/>
          <w:color w:val="000000"/>
          <w:sz w:val="28"/>
        </w:rPr>
        <w:t xml:space="preserve">
      Более того, для детализации курса развития отдельных клинических служб, по приоритетным клиническим направлениям будут разрабатываться и обновляться отдельные программные документы – комплексные планы, дорожные карты, планы мероприятий, концепции развития. </w:t>
      </w:r>
    </w:p>
    <w:bookmarkEnd w:id="199"/>
    <w:bookmarkStart w:name="z247" w:id="200"/>
    <w:p>
      <w:pPr>
        <w:spacing w:after="0"/>
        <w:ind w:left="0"/>
        <w:jc w:val="both"/>
      </w:pPr>
      <w:r>
        <w:rPr>
          <w:rFonts w:ascii="Times New Roman"/>
          <w:b w:val="false"/>
          <w:i w:val="false"/>
          <w:color w:val="000000"/>
          <w:sz w:val="28"/>
        </w:rPr>
        <w:t xml:space="preserve">
      Например, в области семейной медицины, здоровья матери и ребенка (акушерско-гинекологическая, педиатрическая службы), реабилитации и паллиативной помощи, репродуктивного здоровья, кардиологии и кардиохирургии, неврологии и нейрохирургии, в области психического (ментального) здоровья, онкологии, фтизиопульмонологии, неотложной медицины и в других направлениях продолжится работа по улучшению качества и доступности медицинской помощи на местном, региональном и национальном уровнях через системные документы, определяющие развитие службы. </w:t>
      </w:r>
    </w:p>
    <w:bookmarkEnd w:id="200"/>
    <w:bookmarkStart w:name="z248" w:id="201"/>
    <w:p>
      <w:pPr>
        <w:spacing w:after="0"/>
        <w:ind w:left="0"/>
        <w:jc w:val="both"/>
      </w:pPr>
      <w:r>
        <w:rPr>
          <w:rFonts w:ascii="Times New Roman"/>
          <w:b w:val="false"/>
          <w:i w:val="false"/>
          <w:color w:val="000000"/>
          <w:sz w:val="28"/>
        </w:rPr>
        <w:t>
      В рамках ОСМС будут стимулироваться оказание реабилитационной помощи и повышаться ее доступность. На основе современной доказательной практики будет внедряться новая модель реабилитации с акцентом на амбулаторный уровень. Например, предусмотрено расширение компетенций кадров с учетом современных требований физической медицины и реабилитации; будет внедрена международная классификация функционирования для постановки полноценного реабилитационного диагноза мультидисциплинарной командой и эффективной реабилитации.</w:t>
      </w:r>
    </w:p>
    <w:bookmarkEnd w:id="201"/>
    <w:bookmarkStart w:name="z249" w:id="202"/>
    <w:p>
      <w:pPr>
        <w:spacing w:after="0"/>
        <w:ind w:left="0"/>
        <w:jc w:val="both"/>
      </w:pPr>
      <w:r>
        <w:rPr>
          <w:rFonts w:ascii="Times New Roman"/>
          <w:b w:val="false"/>
          <w:i w:val="false"/>
          <w:color w:val="000000"/>
          <w:sz w:val="28"/>
        </w:rPr>
        <w:t>
      Будет оказано должное внимание развитию паллиативной помощи и сестринского ухода. А именно, нуждающиеся в такой помощи люди будут получать ее, благодаря повышению географической и финансовой доступности услуг.</w:t>
      </w:r>
    </w:p>
    <w:bookmarkEnd w:id="202"/>
    <w:bookmarkStart w:name="z250" w:id="203"/>
    <w:p>
      <w:pPr>
        <w:spacing w:after="0"/>
        <w:ind w:left="0"/>
        <w:jc w:val="both"/>
      </w:pPr>
      <w:r>
        <w:rPr>
          <w:rFonts w:ascii="Times New Roman"/>
          <w:b w:val="false"/>
          <w:i w:val="false"/>
          <w:color w:val="000000"/>
          <w:sz w:val="28"/>
        </w:rPr>
        <w:t>
      С целью дальнейшего снижения младенческой смертности и инвалидизации будет расширен комплекс диагностических процедур по выявлению генетических патологий как на ранних сроках беременности, так и в неональном периоде (по показаниям будет расширена панель неонатального диагностического скрининга). Увеличится перечень выполняемых высокотехнологических медицинских услуг у детей с врожденными аномалиями и тяжелыми патологиями, в том числе с атрезией слухового прохода, микротией, стенозом гортани, Spina bifida, пороками сердца и опорно-двигательного аппарата, болезнями крови и др. Будет принят комплекс мероприятий по развитию служб неонатологии, ортопедии, детской неврологии и психиатрии, и трансплантологии с учетом лучшей мировой практики.</w:t>
      </w:r>
    </w:p>
    <w:bookmarkEnd w:id="203"/>
    <w:bookmarkStart w:name="z251" w:id="204"/>
    <w:p>
      <w:pPr>
        <w:spacing w:after="0"/>
        <w:ind w:left="0"/>
        <w:jc w:val="both"/>
      </w:pPr>
      <w:r>
        <w:rPr>
          <w:rFonts w:ascii="Times New Roman"/>
          <w:b w:val="false"/>
          <w:i w:val="false"/>
          <w:color w:val="000000"/>
          <w:sz w:val="28"/>
        </w:rPr>
        <w:t>
      Показатели младенческой и материнской смертности будут снижаться на основе комплекса мер, направленных на корневые причины, выявляемые на основе внедренного в Республике Казахстан с 2014 года конфиденциального аудита младенческой и материнской смертности по методологии ВОЗ. Для мониторинга целевых показателей настоящей Программы будут использоваться данные конфиденциального аудита.</w:t>
      </w:r>
    </w:p>
    <w:bookmarkEnd w:id="204"/>
    <w:bookmarkStart w:name="z252" w:id="205"/>
    <w:p>
      <w:pPr>
        <w:spacing w:after="0"/>
        <w:ind w:left="0"/>
        <w:jc w:val="both"/>
      </w:pPr>
      <w:r>
        <w:rPr>
          <w:rFonts w:ascii="Times New Roman"/>
          <w:b w:val="false"/>
          <w:i w:val="false"/>
          <w:color w:val="000000"/>
          <w:sz w:val="28"/>
        </w:rPr>
        <w:t>
      Будут внедрены и обеспечены финансированием протокола ранней диагностики и психосоциальной адаптации детей с аутизмом, церебральным параличом, синдромом Дауна, нервно-мышечной патологией, эпилепсией и др.</w:t>
      </w:r>
    </w:p>
    <w:bookmarkEnd w:id="205"/>
    <w:bookmarkStart w:name="z253" w:id="206"/>
    <w:p>
      <w:pPr>
        <w:spacing w:after="0"/>
        <w:ind w:left="0"/>
        <w:jc w:val="both"/>
      </w:pPr>
      <w:r>
        <w:rPr>
          <w:rFonts w:ascii="Times New Roman"/>
          <w:b w:val="false"/>
          <w:i w:val="false"/>
          <w:color w:val="000000"/>
          <w:sz w:val="28"/>
        </w:rPr>
        <w:t>
      Также повсеместно будут внедрено катамнестическое наблюдение детей (кабинеты или отделения катамнеза), перенесших критическое состояние при рождении. Такие услуги через раннее вмешательство и реабилитацию помогут сохранить качество жизни детям, родившимся с экстремально низкой и низкой массой тела, родившимся с тяжелой перинатальной патологией, врожденными пороками развития, перенесшим оперативное лечение. Улучшится оказание медицинской помощи пожилому населению в области гериатрии.</w:t>
      </w:r>
    </w:p>
    <w:bookmarkEnd w:id="206"/>
    <w:bookmarkStart w:name="z254" w:id="207"/>
    <w:p>
      <w:pPr>
        <w:spacing w:after="0"/>
        <w:ind w:left="0"/>
        <w:jc w:val="both"/>
      </w:pPr>
      <w:r>
        <w:rPr>
          <w:rFonts w:ascii="Times New Roman"/>
          <w:b w:val="false"/>
          <w:i w:val="false"/>
          <w:color w:val="000000"/>
          <w:sz w:val="28"/>
        </w:rPr>
        <w:t>
      Все дети в возрасте до 18 лет будут обеспечены бесплатными лекарственным обеспечением в рамках ОСМС, в том числе за счет повышения доступности лекарственных средств на амбулаторном уровне.</w:t>
      </w:r>
    </w:p>
    <w:bookmarkEnd w:id="207"/>
    <w:bookmarkStart w:name="z255" w:id="208"/>
    <w:p>
      <w:pPr>
        <w:spacing w:after="0"/>
        <w:ind w:left="0"/>
        <w:jc w:val="both"/>
      </w:pPr>
      <w:r>
        <w:rPr>
          <w:rFonts w:ascii="Times New Roman"/>
          <w:b w:val="false"/>
          <w:i w:val="false"/>
          <w:color w:val="000000"/>
          <w:sz w:val="28"/>
        </w:rPr>
        <w:t>
      Будет принят комплекс мер в области применения лекарственных средств (далее – ЛС) и медицинских изделий (далее – МИ). Будет упрощена система оценки безопасности и качества продукции для тех ЛС и МИ, которые прошли аналогичную оценку в странах-членах Международного совета по гармонизации технических требований к ЛС (далее – ICH). Будут приняты меры по вступлению Казахстана в членство в ICH и Международный форум регуляторов медицинских изделий (IMDRF). То есть будет усовершенствована регистрация лекарственных средств, участвующих в программе преквалификации ВОЗ, и разработан комплекс мер по регистрации препаратов передовой терапии.</w:t>
      </w:r>
    </w:p>
    <w:bookmarkEnd w:id="208"/>
    <w:bookmarkStart w:name="z256" w:id="209"/>
    <w:p>
      <w:pPr>
        <w:spacing w:after="0"/>
        <w:ind w:left="0"/>
        <w:jc w:val="both"/>
      </w:pPr>
      <w:r>
        <w:rPr>
          <w:rFonts w:ascii="Times New Roman"/>
          <w:b w:val="false"/>
          <w:i w:val="false"/>
          <w:color w:val="000000"/>
          <w:sz w:val="28"/>
        </w:rPr>
        <w:t>
      Будет продолжена работа по государственному регулированию цен на ЛС, а также будет внедрено регулирование предельных цен на реактивы, реагенты и медицинские изделия. Таким образом, будет усовершенствована система ценообразования, регулирования цен и закупа лекарственных средств и медицинских изделий.</w:t>
      </w:r>
    </w:p>
    <w:bookmarkEnd w:id="209"/>
    <w:bookmarkStart w:name="z257" w:id="210"/>
    <w:p>
      <w:pPr>
        <w:spacing w:after="0"/>
        <w:ind w:left="0"/>
        <w:jc w:val="both"/>
      </w:pPr>
      <w:r>
        <w:rPr>
          <w:rFonts w:ascii="Times New Roman"/>
          <w:b w:val="false"/>
          <w:i w:val="false"/>
          <w:color w:val="000000"/>
          <w:sz w:val="28"/>
        </w:rPr>
        <w:t xml:space="preserve">
      Для обеспечения лекарственной безопасности необходимо использовать эффективные меры поддержки отечественных производителей, направляющих свои инвестиционные программы на локализацию лекарственных средств, определенных ВОЗ как жизненно-важные в терапии социально-значимых заболеваний. Интенсификация импортозамещения в сфере лекарственного обеспечения станет ключевой задачей для обеспечения национальной лекарственной безопасности. Одним из условий выхода отечественных ЛС на рынок стран ЕАЭС является соответствие условий производства требованиям надлежащей производственной практики – GMP. Увеличение количества ЛС и МИ отечественного производства с сертификатом GMP и ISO 13485 будет достигаться, в том числе путем приоритетного их закупа в рамках ГОБМП и ОСМС. </w:t>
      </w:r>
    </w:p>
    <w:bookmarkEnd w:id="210"/>
    <w:bookmarkStart w:name="z258" w:id="211"/>
    <w:p>
      <w:pPr>
        <w:spacing w:after="0"/>
        <w:ind w:left="0"/>
        <w:jc w:val="both"/>
      </w:pPr>
      <w:r>
        <w:rPr>
          <w:rFonts w:ascii="Times New Roman"/>
          <w:b w:val="false"/>
          <w:i w:val="false"/>
          <w:color w:val="000000"/>
          <w:sz w:val="28"/>
        </w:rPr>
        <w:t xml:space="preserve">
      Переход аптечных организаций на международные стандарты Good Pharmacy Practice (GPP) является необходимым условием для обеспечения населения качественными и безопасными ЛС и МИ. В результате повысится качество условий хранения ЛС в аптечных организациях. </w:t>
      </w:r>
    </w:p>
    <w:bookmarkEnd w:id="211"/>
    <w:bookmarkStart w:name="z259" w:id="212"/>
    <w:p>
      <w:pPr>
        <w:spacing w:after="0"/>
        <w:ind w:left="0"/>
        <w:jc w:val="both"/>
      </w:pPr>
      <w:r>
        <w:rPr>
          <w:rFonts w:ascii="Times New Roman"/>
          <w:b w:val="false"/>
          <w:i w:val="false"/>
          <w:color w:val="000000"/>
          <w:sz w:val="28"/>
        </w:rPr>
        <w:t>
      Наряду с повышением качества и безопасности ЛС, продолжится работа по фармаконадзору и рациональному использованию ЛС. Основой для рационального применения ЛС является дальнейшее развитие доказательной медицины, в том числе путем совершенствования формулярной системы. Будут продолжены меры по рациональному применению ЛС со стороны поставщиков медицинских услуг и пациентов через совершенствование Казахстанского национального лекарственного формуляра, качественное функционирование формулярных комиссий в медицинских организациях и информационно-разъяснительную работу.</w:t>
      </w:r>
    </w:p>
    <w:bookmarkEnd w:id="212"/>
    <w:bookmarkStart w:name="z260" w:id="213"/>
    <w:p>
      <w:pPr>
        <w:spacing w:after="0"/>
        <w:ind w:left="0"/>
        <w:jc w:val="both"/>
      </w:pPr>
      <w:r>
        <w:rPr>
          <w:rFonts w:ascii="Times New Roman"/>
          <w:b w:val="false"/>
          <w:i w:val="false"/>
          <w:color w:val="000000"/>
          <w:sz w:val="28"/>
        </w:rPr>
        <w:t>
      С целью рационального использования ЛС, применение которых рекомендуется в клинической практике в связи с доказанной эффективностью, будет продолжена работа по регулярному обновлению и совершенствованию перечней ЛС, возмещаемых в рамках ГОБМП и ОСМС. Будет рассмотрен вопрос внедрения сооплаты за определенные ЛС, согласно мировой практике. Приобретение эффективных и безопасных ЛС в рамках ГОБМП и ОСМС будет направлено на рациональное использование бюджетных средств и соблюдение международных клинических руководств.</w:t>
      </w:r>
    </w:p>
    <w:bookmarkEnd w:id="213"/>
    <w:bookmarkStart w:name="z261" w:id="214"/>
    <w:p>
      <w:pPr>
        <w:spacing w:after="0"/>
        <w:ind w:left="0"/>
        <w:jc w:val="both"/>
      </w:pPr>
      <w:r>
        <w:rPr>
          <w:rFonts w:ascii="Times New Roman"/>
          <w:b w:val="false"/>
          <w:i w:val="false"/>
          <w:color w:val="000000"/>
          <w:sz w:val="28"/>
        </w:rPr>
        <w:t>
      Для повышения ответственности всех участвующих сторон и рационального использования ЛС будет реализовано этическое продвижение ЛС, основанное на принципах добросовестности и честности. Продвижение ЛС и МИ на рынок должно быть объективным с соблюдением этических норм и осуществляться в соответствии с требованиями законодательства.</w:t>
      </w:r>
    </w:p>
    <w:bookmarkEnd w:id="214"/>
    <w:bookmarkStart w:name="z262" w:id="215"/>
    <w:p>
      <w:pPr>
        <w:spacing w:after="0"/>
        <w:ind w:left="0"/>
        <w:jc w:val="both"/>
      </w:pPr>
      <w:r>
        <w:rPr>
          <w:rFonts w:ascii="Times New Roman"/>
          <w:b w:val="false"/>
          <w:i w:val="false"/>
          <w:color w:val="000000"/>
          <w:sz w:val="28"/>
        </w:rPr>
        <w:t xml:space="preserve">
      </w:t>
      </w:r>
      <w:r>
        <w:rPr>
          <w:rFonts w:ascii="Times New Roman"/>
          <w:b/>
          <w:i w:val="false"/>
          <w:color w:val="000000"/>
          <w:sz w:val="28"/>
        </w:rPr>
        <w:t>5.6 Создание единого цифрового пространства здравоохранения</w:t>
      </w:r>
    </w:p>
    <w:bookmarkEnd w:id="215"/>
    <w:bookmarkStart w:name="z263" w:id="216"/>
    <w:p>
      <w:pPr>
        <w:spacing w:after="0"/>
        <w:ind w:left="0"/>
        <w:jc w:val="both"/>
      </w:pPr>
      <w:r>
        <w:rPr>
          <w:rFonts w:ascii="Times New Roman"/>
          <w:b w:val="false"/>
          <w:i w:val="false"/>
          <w:color w:val="000000"/>
          <w:sz w:val="28"/>
        </w:rPr>
        <w:t>
      Вызовом для новой Программы будет расширение созданной инфраструктуры для сбора цифровых данных, и построение на ее основе инфраструктуры для обмена данными и продвинутого использования данных, подразумевающих формирование и представление качественной информации для всех уровней системы здравоохранения. Такая инфраструктура обеспечит поддержку принятия клинических, управленческих и политических решений, цифровизацию клинических и административных процессов здравоохранения. С этой целью будет продолжена работа по внедрению информационных систем и приложений, обеспечивающих перевод медицинских данных и процессов здравоохранения в цифровой формат, обеспечивающий гибкость, эффективность и прозрачность функционирования системы предоставления медицинской помощи. В рамках Программы будет обеспечен полный отказ от ведения форм учетной медицинской документации в бумажном виде. Будут начаты работы по переводу всех медицинских изображений в цифровой формат.</w:t>
      </w:r>
    </w:p>
    <w:bookmarkEnd w:id="216"/>
    <w:bookmarkStart w:name="z264" w:id="217"/>
    <w:p>
      <w:pPr>
        <w:spacing w:after="0"/>
        <w:ind w:left="0"/>
        <w:jc w:val="both"/>
      </w:pPr>
      <w:r>
        <w:rPr>
          <w:rFonts w:ascii="Times New Roman"/>
          <w:b w:val="false"/>
          <w:i w:val="false"/>
          <w:color w:val="000000"/>
          <w:sz w:val="28"/>
        </w:rPr>
        <w:t>
      Также, будет продолжена работа по нормативному регулированию цифровизации здравоохранения, включая вопросы доступа к данным, хранения, защиты конфиденциальности, обеспечения качества применяемых технологий и программных продуктов. Работа по стандартизации позволит внедрить инструменты сбора и обмена детализированными данными о здоровье и здравоохранении, основанные на международных стандартах классификации, таких как SNOMED CT, МКБ-11. Будут реализованы инструменты оценки качества и соответствия стандартам цифровизации информационных систем и приложений здравоохранения.</w:t>
      </w:r>
    </w:p>
    <w:bookmarkEnd w:id="217"/>
    <w:bookmarkStart w:name="z265" w:id="218"/>
    <w:p>
      <w:pPr>
        <w:spacing w:after="0"/>
        <w:ind w:left="0"/>
        <w:jc w:val="both"/>
      </w:pPr>
      <w:r>
        <w:rPr>
          <w:rFonts w:ascii="Times New Roman"/>
          <w:b w:val="false"/>
          <w:i w:val="false"/>
          <w:color w:val="000000"/>
          <w:sz w:val="28"/>
        </w:rPr>
        <w:t xml:space="preserve">
      Будет проведена работа по цифровизации административных процессов, включая планирование, управление и мониторинг использования ресурсов здравоохранения: лекарственных средств, медицинских изделий, организации процедур закупок товаров и услуг, управления кадровыми ресурсами здравоохранения, сети организаций и т.д. Наряду с этим, цифровизация позволит автоматизировать клинические процессы, включая направление пациентов на прием профильных специалистов, проактивное ведение и мониторинг пациентов, в том числе по ПУЗ на уровне ПМСП с напоминанием о запланированном приеме к врачу. </w:t>
      </w:r>
    </w:p>
    <w:bookmarkEnd w:id="218"/>
    <w:bookmarkStart w:name="z266" w:id="219"/>
    <w:p>
      <w:pPr>
        <w:spacing w:after="0"/>
        <w:ind w:left="0"/>
        <w:jc w:val="both"/>
      </w:pPr>
      <w:r>
        <w:rPr>
          <w:rFonts w:ascii="Times New Roman"/>
          <w:b w:val="false"/>
          <w:i w:val="false"/>
          <w:color w:val="000000"/>
          <w:sz w:val="28"/>
        </w:rPr>
        <w:t>
      Продолжится развитие мобильного здравоохранения, включая активное применение носимых устройств, для профилактики заболеваний и поддержания здорового образа жизни. Дистанционные медицинские услуги будут интегрированы в рутинные процессы оказания медицинской помощи, обеспечивая повышение доступности и эффективности системы здравоохранения.</w:t>
      </w:r>
    </w:p>
    <w:bookmarkEnd w:id="219"/>
    <w:bookmarkStart w:name="z267" w:id="220"/>
    <w:p>
      <w:pPr>
        <w:spacing w:after="0"/>
        <w:ind w:left="0"/>
        <w:jc w:val="both"/>
      </w:pPr>
      <w:r>
        <w:rPr>
          <w:rFonts w:ascii="Times New Roman"/>
          <w:b w:val="false"/>
          <w:i w:val="false"/>
          <w:color w:val="000000"/>
          <w:sz w:val="28"/>
        </w:rPr>
        <w:t>
      Переход на электронный закуп ЛС и МИ Единым дистрибьютором и субъектами здравоохранения повысит прозрачность процесса закупа ЛС и МИ, приведет к интеграции с государственными информационными системами, снижению административных барьеров и коррупционных рисков и сокращению бумажного документооборота. При этом, должна быть использована информационная система государственного органа в сфере государственных закупок, предоставляющего единую точку доступа к электронным услугам закупа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220"/>
    <w:bookmarkStart w:name="z268" w:id="221"/>
    <w:p>
      <w:pPr>
        <w:spacing w:after="0"/>
        <w:ind w:left="0"/>
        <w:jc w:val="both"/>
      </w:pPr>
      <w:r>
        <w:rPr>
          <w:rFonts w:ascii="Times New Roman"/>
          <w:b w:val="false"/>
          <w:i w:val="false"/>
          <w:color w:val="000000"/>
          <w:sz w:val="28"/>
        </w:rPr>
        <w:t xml:space="preserve">
      Для реализации поставленных задач необходимо продолжить работу по переходу к целевой ИТ-архитектуре, подразумевающей создание единого интегрированного цифрового информационного пространства системы здравоохранения. Данная модель обеспечит переход от "безбумажной медицинской организации" к "безбумажному здравоохранению" со сквозными цифровыми процессами на основе цифровых данных, с возможностью поддержки интегрированного оказания медицинской помощи, отслеживания и управления маршрута пациента в системе здравоохранения. </w:t>
      </w:r>
    </w:p>
    <w:bookmarkEnd w:id="221"/>
    <w:bookmarkStart w:name="z269" w:id="222"/>
    <w:p>
      <w:pPr>
        <w:spacing w:after="0"/>
        <w:ind w:left="0"/>
        <w:jc w:val="both"/>
      </w:pPr>
      <w:r>
        <w:rPr>
          <w:rFonts w:ascii="Times New Roman"/>
          <w:b w:val="false"/>
          <w:i w:val="false"/>
          <w:color w:val="000000"/>
          <w:sz w:val="28"/>
        </w:rPr>
        <w:t>
      Данные Национального ЭПЗ, обладающие наибольшей достоверностью и верифицируемостью, станут приоритетным источником информации для статистики, аналитики, финансирования, разработки стандартов и правовых актов, контроля качества, эффективности и доступности медицинской помощи. Персонализированные данные будут проходить обработку и переноситься в хранилище деперсонализированных данных для последующего анализа и проведения исследований.</w:t>
      </w:r>
    </w:p>
    <w:bookmarkEnd w:id="222"/>
    <w:bookmarkStart w:name="z270" w:id="223"/>
    <w:p>
      <w:pPr>
        <w:spacing w:after="0"/>
        <w:ind w:left="0"/>
        <w:jc w:val="both"/>
      </w:pPr>
      <w:r>
        <w:rPr>
          <w:rFonts w:ascii="Times New Roman"/>
          <w:b w:val="false"/>
          <w:i w:val="false"/>
          <w:color w:val="000000"/>
          <w:sz w:val="28"/>
        </w:rPr>
        <w:t>
      Единое информационное пространство здравоохранения должно обеспечить необходимые наборы данных для внедрения сложных методов финансирования и мониторинга качества и полноты оказания помощи в рамках внедрения ОСМС.</w:t>
      </w:r>
    </w:p>
    <w:bookmarkEnd w:id="223"/>
    <w:bookmarkStart w:name="z271" w:id="224"/>
    <w:p>
      <w:pPr>
        <w:spacing w:after="0"/>
        <w:ind w:left="0"/>
        <w:jc w:val="both"/>
      </w:pPr>
      <w:r>
        <w:rPr>
          <w:rFonts w:ascii="Times New Roman"/>
          <w:b w:val="false"/>
          <w:i w:val="false"/>
          <w:color w:val="000000"/>
          <w:sz w:val="28"/>
        </w:rPr>
        <w:t>
      Цифровизация медицинских данных и бизнес-процессов приведет к прогрессивному накоплению цифровых данных о состоянии системы здравоохранения и здоровья населения. Соответствующим образом в рамках реализации Госпрограммы будут пересмотрены подходы к методологии сбора административных данных здравоохранения, с включением механизма верификации данных на основе рекомендаций ВОЗ, ОЭСР. Таким образом, будет усовершенствована методология статистики здравоохранения. Качественные, достоверные, полные и своевременные цифровые данные станут одним из важных ресурсов системы здравоохранения. В этих условиях важно создать инклюзивную среду для развития исследовательских сетей и информационных порталов через предоставление доступа к данным и обеспечение использования инструментов обработки данных, таких как: большие данные, искусственный интеллект, Business Intelligence, бизнес-интеллект, машинное обучение и т.д. Эти меры позволят ученым и специалистам обмениваться идеями и результатами исследований, способствующими разработке совместных предложений и проведению исследований, направленных на выработку политики в сфере здравоохранения.</w:t>
      </w:r>
    </w:p>
    <w:bookmarkEnd w:id="224"/>
    <w:bookmarkStart w:name="z272" w:id="225"/>
    <w:p>
      <w:pPr>
        <w:spacing w:after="0"/>
        <w:ind w:left="0"/>
        <w:jc w:val="both"/>
      </w:pPr>
      <w:r>
        <w:rPr>
          <w:rFonts w:ascii="Times New Roman"/>
          <w:b w:val="false"/>
          <w:i w:val="false"/>
          <w:color w:val="000000"/>
          <w:sz w:val="28"/>
        </w:rPr>
        <w:t>
      Будут внедряться технологии, содействующие принятию решений в отношении здоровья отдельного человека, групп людей, населения страны в целом. Инновационные технологии обработки массивов данных будут применяться для поиска закономерностей, корреляций, и причинно-следственных связей в отношении общественного здоровья, персонализированной медицины, эффективности системы здравоохранения. Будут внедрены инструменты, обеспечивающие формирование и оценку показателей бремени болезней, распространенности заболеваний и факторов риска.</w:t>
      </w:r>
    </w:p>
    <w:bookmarkEnd w:id="225"/>
    <w:bookmarkStart w:name="z273" w:id="226"/>
    <w:p>
      <w:pPr>
        <w:spacing w:after="0"/>
        <w:ind w:left="0"/>
        <w:jc w:val="both"/>
      </w:pPr>
      <w:r>
        <w:rPr>
          <w:rFonts w:ascii="Times New Roman"/>
          <w:b w:val="false"/>
          <w:i w:val="false"/>
          <w:color w:val="000000"/>
          <w:sz w:val="28"/>
        </w:rPr>
        <w:t xml:space="preserve">
      </w:t>
      </w:r>
      <w:r>
        <w:rPr>
          <w:rFonts w:ascii="Times New Roman"/>
          <w:b/>
          <w:i w:val="false"/>
          <w:color w:val="000000"/>
          <w:sz w:val="28"/>
        </w:rPr>
        <w:t>5.7 Реализация ОСМС и поддержка ДМС для достижения всеобщего охвата услугами здравоохранения</w:t>
      </w:r>
    </w:p>
    <w:bookmarkEnd w:id="226"/>
    <w:bookmarkStart w:name="z274" w:id="227"/>
    <w:p>
      <w:pPr>
        <w:spacing w:after="0"/>
        <w:ind w:left="0"/>
        <w:jc w:val="both"/>
      </w:pPr>
      <w:r>
        <w:rPr>
          <w:rFonts w:ascii="Times New Roman"/>
          <w:b w:val="false"/>
          <w:i w:val="false"/>
          <w:color w:val="000000"/>
          <w:sz w:val="28"/>
        </w:rPr>
        <w:t>
      С 2020 года запланирован полноценный переход на систему обязательного социального медицинского страхования, которая обеспечит расширение перечня и объема медицинской помощи и лекарственного обеспечения гражданам страны, повысит доступность медицинской помощи наиболее уязвимым категориям граждан (дети, пожилые люди, и другие льготные категории граждан), а также создаст финансовые механизмы защиты населения от непредвиденно высоких расходов, связанных с предоставлением дорогостоящей медицинской помощи, создаст условия для модернизации медицинских организаций.</w:t>
      </w:r>
    </w:p>
    <w:bookmarkEnd w:id="227"/>
    <w:bookmarkStart w:name="z275" w:id="228"/>
    <w:p>
      <w:pPr>
        <w:spacing w:after="0"/>
        <w:ind w:left="0"/>
        <w:jc w:val="both"/>
      </w:pPr>
      <w:r>
        <w:rPr>
          <w:rFonts w:ascii="Times New Roman"/>
          <w:b w:val="false"/>
          <w:i w:val="false"/>
          <w:color w:val="000000"/>
          <w:sz w:val="28"/>
        </w:rPr>
        <w:t>
      С учетом ОСМС новая модель финансирования отрасли здравоохранения будет доведена до 5% от ВВП к 2024 году. При этом объем государственных расходов на здравоохранение к государственному бюджету поднимется с 9,3% в 2019 году до 13,1% к 2024 году. Доля частных расходов на здравоохранение от общих расходов на здравоохранение, напротив, сократится с 36,2% в до 26,9% к 2025 году.</w:t>
      </w:r>
    </w:p>
    <w:bookmarkEnd w:id="228"/>
    <w:bookmarkStart w:name="z276" w:id="229"/>
    <w:p>
      <w:pPr>
        <w:spacing w:after="0"/>
        <w:ind w:left="0"/>
        <w:jc w:val="both"/>
      </w:pPr>
      <w:r>
        <w:rPr>
          <w:rFonts w:ascii="Times New Roman"/>
          <w:b w:val="false"/>
          <w:i w:val="false"/>
          <w:color w:val="000000"/>
          <w:sz w:val="28"/>
        </w:rPr>
        <w:t>
      Дополнительные расходы на здравоохранение будут направлены на расширение профилактических мероприятий (с 4% до 10% к 2024 году) и развитие амбулаторно-поликлинической помощи и общественного здравоохранения (рост до 60% от общих расходов).</w:t>
      </w:r>
    </w:p>
    <w:bookmarkEnd w:id="229"/>
    <w:bookmarkStart w:name="z277" w:id="230"/>
    <w:p>
      <w:pPr>
        <w:spacing w:after="0"/>
        <w:ind w:left="0"/>
        <w:jc w:val="both"/>
      </w:pPr>
      <w:r>
        <w:rPr>
          <w:rFonts w:ascii="Times New Roman"/>
          <w:b w:val="false"/>
          <w:i w:val="false"/>
          <w:color w:val="000000"/>
          <w:sz w:val="28"/>
        </w:rPr>
        <w:t xml:space="preserve">
      Кроме того, будет повышен статус врачей, соотношение заработной платы которых будет доведено до 1,8:1 от средней зарплаты в экономике в 2023 году, и уровень средней заработной платы врача будет доведен до уровня 550 000 тенге в 2025 году. </w:t>
      </w:r>
    </w:p>
    <w:bookmarkEnd w:id="230"/>
    <w:bookmarkStart w:name="z278" w:id="231"/>
    <w:p>
      <w:pPr>
        <w:spacing w:after="0"/>
        <w:ind w:left="0"/>
        <w:jc w:val="both"/>
      </w:pPr>
      <w:r>
        <w:rPr>
          <w:rFonts w:ascii="Times New Roman"/>
          <w:b w:val="false"/>
          <w:i w:val="false"/>
          <w:color w:val="000000"/>
          <w:sz w:val="28"/>
        </w:rPr>
        <w:t>
      Также в число приоритетных направлений финансирования здравоохранения войдут укрепление педиатрической помощи, развитие науки и медицинского образования, внедрение инновационных технологий и возмещение инвестиционных затрат на строительство медицинских организаций, в том числе по механизмам ГЧП.</w:t>
      </w:r>
    </w:p>
    <w:bookmarkEnd w:id="231"/>
    <w:bookmarkStart w:name="z279" w:id="232"/>
    <w:p>
      <w:pPr>
        <w:spacing w:after="0"/>
        <w:ind w:left="0"/>
        <w:jc w:val="both"/>
      </w:pPr>
      <w:r>
        <w:rPr>
          <w:rFonts w:ascii="Times New Roman"/>
          <w:b w:val="false"/>
          <w:i w:val="false"/>
          <w:color w:val="000000"/>
          <w:sz w:val="28"/>
        </w:rPr>
        <w:t>
      Система ОСМС будет реализована с учетом соблюдения принципов социальной защищенности граждан, обеспечения солидарной ответственности за охрану здоровья населения и минимизации социальных рисков, путем актуализации льготных категорий граждан в системе ОСМС, взносы за которых производит государство. Внедрение системы обязательного социального медицинского страхования наряду с новой моделью ГОБМП, в рамках которых сформированы условия для обеспечения доступности и качества медицинской помощи, позволит обеспечить финансовую защиту населения от непредвиденно высоких расходов, связанных со здоровьем. Это будет достигнуто путем поэтапного увеличения ставок взносов и отчислений работниками и работодателями и с учетом расширения объемов медицинской помощи в системе ОСМС и усиления солидарной ответственности работников и работодателей за приверженность к здоровому образу жизни.</w:t>
      </w:r>
    </w:p>
    <w:bookmarkEnd w:id="232"/>
    <w:bookmarkStart w:name="z280" w:id="233"/>
    <w:p>
      <w:pPr>
        <w:spacing w:after="0"/>
        <w:ind w:left="0"/>
        <w:jc w:val="both"/>
      </w:pPr>
      <w:r>
        <w:rPr>
          <w:rFonts w:ascii="Times New Roman"/>
          <w:b w:val="false"/>
          <w:i w:val="false"/>
          <w:color w:val="000000"/>
          <w:sz w:val="28"/>
        </w:rPr>
        <w:t>
      Достижение данных задач будет обеспечиваться путем создания источников достаточного финансирования, справедливого и эффективного объединения рисков на условиях солидарной ответственности за здоровье, осуществления стратегического закупа медицинских услуг и обеспечения мониторинга качества оказания услуг здравоохранения и результатов.</w:t>
      </w:r>
    </w:p>
    <w:bookmarkEnd w:id="233"/>
    <w:bookmarkStart w:name="z281" w:id="234"/>
    <w:p>
      <w:pPr>
        <w:spacing w:after="0"/>
        <w:ind w:left="0"/>
        <w:jc w:val="both"/>
      </w:pPr>
      <w:r>
        <w:rPr>
          <w:rFonts w:ascii="Times New Roman"/>
          <w:b w:val="false"/>
          <w:i w:val="false"/>
          <w:color w:val="000000"/>
          <w:sz w:val="28"/>
        </w:rPr>
        <w:t>
      Эффективность функционирования системы обязательного социального медицинского страхования будет обеспечиваться, в том числе за счет расширения работы по вовлечению населения в систему ОСМС, особенно категории самозанятых граждан.</w:t>
      </w:r>
    </w:p>
    <w:bookmarkEnd w:id="234"/>
    <w:bookmarkStart w:name="z282" w:id="235"/>
    <w:p>
      <w:pPr>
        <w:spacing w:after="0"/>
        <w:ind w:left="0"/>
        <w:jc w:val="both"/>
      </w:pPr>
      <w:r>
        <w:rPr>
          <w:rFonts w:ascii="Times New Roman"/>
          <w:b w:val="false"/>
          <w:i w:val="false"/>
          <w:color w:val="000000"/>
          <w:sz w:val="28"/>
        </w:rPr>
        <w:t xml:space="preserve">
      Комплекс мер по совершенствованию механизмов финансирования медицинской помощи будет включать в себя постоянное повышение эффективности процессов расчета и прогнозирования объемов медицинской помощи с учетом потребностей населения и международного опыта. </w:t>
      </w:r>
    </w:p>
    <w:bookmarkEnd w:id="235"/>
    <w:bookmarkStart w:name="z283" w:id="236"/>
    <w:p>
      <w:pPr>
        <w:spacing w:after="0"/>
        <w:ind w:left="0"/>
        <w:jc w:val="both"/>
      </w:pPr>
      <w:r>
        <w:rPr>
          <w:rFonts w:ascii="Times New Roman"/>
          <w:b w:val="false"/>
          <w:i w:val="false"/>
          <w:color w:val="000000"/>
          <w:sz w:val="28"/>
        </w:rPr>
        <w:t>
      Совершенствование и автоматизация планирования бюджета в рамках ГОБМП и системе ОСМС, а также дальнейшая конкретизация пакетов услуг с учетом приоритетного развития первичной медико-санитарной помощи, позволят повысить эффективность использования ограниченных ресурсов системы здравоохранения. Повышение доступности лекарственных средств на амбулаторном уровне будет достигнуто за счет увеличения перечня хронических заболеваний и расширения категорий населения, имеющих право на получение бесплатного амбулаторного лекарственного обеспечения в системе ОСМС.</w:t>
      </w:r>
    </w:p>
    <w:bookmarkEnd w:id="236"/>
    <w:bookmarkStart w:name="z284" w:id="237"/>
    <w:p>
      <w:pPr>
        <w:spacing w:after="0"/>
        <w:ind w:left="0"/>
        <w:jc w:val="both"/>
      </w:pPr>
      <w:r>
        <w:rPr>
          <w:rFonts w:ascii="Times New Roman"/>
          <w:b w:val="false"/>
          <w:i w:val="false"/>
          <w:color w:val="000000"/>
          <w:sz w:val="28"/>
        </w:rPr>
        <w:t>
      В целях усиления профилактики заболеваний и эффективности управления хроническими неинфекционными заболеваниями будет расширена стимулирующая составляющая индикаторов процессов и конечных результатов на уровне ПМСП. Динамичное развитие медицинских и управленческих технологий в сфере здравоохранения требует регулярного пересмотра тарифов на основе информации управленческого учета поставщиков. Для этого в рамках тарифа будут предусмотрены стимулы внедрять и автоматизировать системы управленческого учета для своевременной передачи данных в ФСМС для поставщиков. Для обеспечения достаточного финансирования медицинских организаций тарифная политика будет формироваться с учетом дополнительных критериев, влияющих на себестоимость пролеченного случая, таких как клиническая сложность, уровень оказания медицинской помощи или статус клинической базы высшего учебного заведения. Будут проработаны механизмы финансирования обновления основных средств. Клинико-затратные группы, включающие стимулы повышения качества медицинской помощи, станут приоритетным механизмом закупа стационарной помощи. Внедрение способов оплаты, ориентированных на результат, будет реализовано наряду с совершенствованием механизмов сбора клинических данных в информационные системы. Включение в тариф расходов на обновление основных средств создаст стимул для привлечения инвестиций в сектор здравоохранения, развития частных поставщиков и врачебных практик.</w:t>
      </w:r>
    </w:p>
    <w:bookmarkEnd w:id="237"/>
    <w:bookmarkStart w:name="z285" w:id="238"/>
    <w:p>
      <w:pPr>
        <w:spacing w:after="0"/>
        <w:ind w:left="0"/>
        <w:jc w:val="both"/>
      </w:pPr>
      <w:r>
        <w:rPr>
          <w:rFonts w:ascii="Times New Roman"/>
          <w:b w:val="false"/>
          <w:i w:val="false"/>
          <w:color w:val="000000"/>
          <w:sz w:val="28"/>
        </w:rPr>
        <w:t>
      Кроме того, от поставщиков медицинских услуг потребуется обеспечение внедрения инновационных технологий в рамках ОСМС с учетом ежегодного инвестирования на данные технологии до 1% от расходов на ОСМС</w:t>
      </w:r>
    </w:p>
    <w:bookmarkEnd w:id="238"/>
    <w:bookmarkStart w:name="z286" w:id="239"/>
    <w:p>
      <w:pPr>
        <w:spacing w:after="0"/>
        <w:ind w:left="0"/>
        <w:jc w:val="both"/>
      </w:pPr>
      <w:r>
        <w:rPr>
          <w:rFonts w:ascii="Times New Roman"/>
          <w:b w:val="false"/>
          <w:i w:val="false"/>
          <w:color w:val="000000"/>
          <w:sz w:val="28"/>
        </w:rPr>
        <w:t>
      Четкие границы гарантий системы здравоохранения в рамках ГОБМП и системы ОСМС будут стимулировать развитие добровольного медицинского страхования (далее – ДМС), обеспечивающего доступ к услугам здравоохранения сверх пакета ГОБМП и системы ОСМС, таким как получение медицинской помощи в условиях повышенного уровня комфорта, применение дорогостоящих оригинальных лекарственных средств и медицинских изделий.</w:t>
      </w:r>
    </w:p>
    <w:bookmarkEnd w:id="239"/>
    <w:bookmarkStart w:name="z287" w:id="240"/>
    <w:p>
      <w:pPr>
        <w:spacing w:after="0"/>
        <w:ind w:left="0"/>
        <w:jc w:val="both"/>
      </w:pPr>
      <w:r>
        <w:rPr>
          <w:rFonts w:ascii="Times New Roman"/>
          <w:b w:val="false"/>
          <w:i w:val="false"/>
          <w:color w:val="000000"/>
          <w:sz w:val="28"/>
        </w:rPr>
        <w:t>
      С учетом внедрения трехуровневой структуры финансирования медицинской помощи ожидается развитие ДМС, в том числе будут проработаны механизмы охвата ДМС трудовых мигрантов и иностранных студентов, обучающихся в Республике Казахстан. В этой связи повысится конкуренция на рынке добровольного медицинского страхования, что повлечет за собой расширение спектра медицинских услуг и внедрение госпитального сервиса в медицинских организациях. При этом, принципы доступности и качества медицинских услуг будут сохранены вне зависимости от вида оплаты медицинских услуг.</w:t>
      </w:r>
    </w:p>
    <w:bookmarkEnd w:id="240"/>
    <w:bookmarkStart w:name="z288" w:id="241"/>
    <w:p>
      <w:pPr>
        <w:spacing w:after="0"/>
        <w:ind w:left="0"/>
        <w:jc w:val="both"/>
      </w:pPr>
      <w:r>
        <w:rPr>
          <w:rFonts w:ascii="Times New Roman"/>
          <w:b w:val="false"/>
          <w:i w:val="false"/>
          <w:color w:val="000000"/>
          <w:sz w:val="28"/>
        </w:rPr>
        <w:t xml:space="preserve">
      </w:t>
      </w:r>
      <w:r>
        <w:rPr>
          <w:rFonts w:ascii="Times New Roman"/>
          <w:b/>
          <w:i w:val="false"/>
          <w:color w:val="000000"/>
          <w:sz w:val="28"/>
        </w:rPr>
        <w:t>5.8 Улучшение инвестиционного климата в медицинской отрасли</w:t>
      </w:r>
    </w:p>
    <w:bookmarkEnd w:id="241"/>
    <w:bookmarkStart w:name="z289" w:id="242"/>
    <w:p>
      <w:pPr>
        <w:spacing w:after="0"/>
        <w:ind w:left="0"/>
        <w:jc w:val="both"/>
      </w:pPr>
      <w:r>
        <w:rPr>
          <w:rFonts w:ascii="Times New Roman"/>
          <w:b w:val="false"/>
          <w:i w:val="false"/>
          <w:color w:val="000000"/>
          <w:sz w:val="28"/>
        </w:rPr>
        <w:t>
      Главной целью улучшения инвестиционного климата в медицинской отрасли станет обеспечение территориальной доступности медицинских организаций для населения, в том числе для жителей населенных пунктов, расположенных в отдаленных местностях.</w:t>
      </w:r>
    </w:p>
    <w:bookmarkEnd w:id="242"/>
    <w:bookmarkStart w:name="z290" w:id="243"/>
    <w:p>
      <w:pPr>
        <w:spacing w:after="0"/>
        <w:ind w:left="0"/>
        <w:jc w:val="both"/>
      </w:pPr>
      <w:r>
        <w:rPr>
          <w:rFonts w:ascii="Times New Roman"/>
          <w:b w:val="false"/>
          <w:i w:val="false"/>
          <w:color w:val="000000"/>
          <w:sz w:val="28"/>
        </w:rPr>
        <w:t>
      Доступность медицинских услуг для населения сельской местности и в отдаленных населенных пунктах будет обеспечена с учетом использования ресурсов дистанционной медицины и транспортной медицины (медицинских поездов, передвижных медицинских комплексов, санитарной авиации). Будет расширена сеть районных подстанций скорой медицинской помощи для своевременного оказания больным и пострадавшим доврачебной медицинской помощи, а также доставки пациентов в кратчайшие сроки в медицинские организации для оказания специализированной медицинской помощи.</w:t>
      </w:r>
    </w:p>
    <w:bookmarkEnd w:id="243"/>
    <w:bookmarkStart w:name="z291" w:id="244"/>
    <w:p>
      <w:pPr>
        <w:spacing w:after="0"/>
        <w:ind w:left="0"/>
        <w:jc w:val="both"/>
      </w:pPr>
      <w:r>
        <w:rPr>
          <w:rFonts w:ascii="Times New Roman"/>
          <w:b w:val="false"/>
          <w:i w:val="false"/>
          <w:color w:val="000000"/>
          <w:sz w:val="28"/>
        </w:rPr>
        <w:t>
      Дополнительно, создадутся условия для открытия частных индивидуальных и групповых семейных врачебных практик (семейных врачебных амбулаторий), приближенных к местам проживания граждан. За счет средств местных исполнительных органов и привлечения частных инвестиций планируется открыть не менее 500 объектов первичной медико-санитарной помощи здравоохранения.</w:t>
      </w:r>
    </w:p>
    <w:bookmarkEnd w:id="244"/>
    <w:bookmarkStart w:name="z292" w:id="245"/>
    <w:p>
      <w:pPr>
        <w:spacing w:after="0"/>
        <w:ind w:left="0"/>
        <w:jc w:val="both"/>
      </w:pPr>
      <w:r>
        <w:rPr>
          <w:rFonts w:ascii="Times New Roman"/>
          <w:b w:val="false"/>
          <w:i w:val="false"/>
          <w:color w:val="000000"/>
          <w:sz w:val="28"/>
        </w:rPr>
        <w:t xml:space="preserve">
      Продолжится работа по рационализации сети круглосуточных стационаров путем объединения монопрофильных медицинских учреждений в состав многопрофильных больниц с учетом единого перспективного плана развития инфраструктуры здравоохранения, сформированного на основании региональных планов. </w:t>
      </w:r>
    </w:p>
    <w:bookmarkEnd w:id="245"/>
    <w:bookmarkStart w:name="z293" w:id="246"/>
    <w:p>
      <w:pPr>
        <w:spacing w:after="0"/>
        <w:ind w:left="0"/>
        <w:jc w:val="both"/>
      </w:pPr>
      <w:r>
        <w:rPr>
          <w:rFonts w:ascii="Times New Roman"/>
          <w:b w:val="false"/>
          <w:i w:val="false"/>
          <w:color w:val="000000"/>
          <w:sz w:val="28"/>
        </w:rPr>
        <w:t>
      Взамен ряда устаревших мелких и узкопрофильных больничных объектов будут построены крупные многопрофильные медицинские центры, создание которых будет осуществляться за счет привлечения потенциальных частных партнеров, в том числе в рамках ГЧП, концессии с возмещением инвестиционных затрат.</w:t>
      </w:r>
    </w:p>
    <w:bookmarkEnd w:id="246"/>
    <w:bookmarkStart w:name="z294" w:id="247"/>
    <w:p>
      <w:pPr>
        <w:spacing w:after="0"/>
        <w:ind w:left="0"/>
        <w:jc w:val="both"/>
      </w:pPr>
      <w:r>
        <w:rPr>
          <w:rFonts w:ascii="Times New Roman"/>
          <w:b w:val="false"/>
          <w:i w:val="false"/>
          <w:color w:val="000000"/>
          <w:sz w:val="28"/>
        </w:rPr>
        <w:t>
      В течение последующих шести лет в рамках программы больничного ГЧП планируется принять меры по реализации не менее 14 крупных проектов ГЧП, концессии в городах Актобе, Кокшетау, Усть-Каменогорск, Атырау, Тараз, Караганда, Костанай, Кызылорда, Актау, Павлодар, Петропавловск, Алматы, Туркестан, Нур-Султан, в том числе четырех университетских клиник при ведущих медицинских университетах страны. Это позволит выстроить перспективную модель триединства науки, образования и клинической деятельности, повысить эффективность клинических исследований.</w:t>
      </w:r>
    </w:p>
    <w:bookmarkEnd w:id="247"/>
    <w:bookmarkStart w:name="z295" w:id="248"/>
    <w:p>
      <w:pPr>
        <w:spacing w:after="0"/>
        <w:ind w:left="0"/>
        <w:jc w:val="both"/>
      </w:pPr>
      <w:r>
        <w:rPr>
          <w:rFonts w:ascii="Times New Roman"/>
          <w:b w:val="false"/>
          <w:i w:val="false"/>
          <w:color w:val="000000"/>
          <w:sz w:val="28"/>
        </w:rPr>
        <w:t xml:space="preserve">
      Для эффективной реализации крупных инвестиционных проектов развития ГЧП, концессии в здравоохранении будет создан рабочий орган, в лице оператора развития инфраструктуры здравоохранения. Планирование и выполнение таких проектов будут реализованы в партнерстве с международными финансирующими организациями и частными партнерами, выбранными на основе прозрачных международных конкурсных процедур. </w:t>
      </w:r>
    </w:p>
    <w:bookmarkEnd w:id="248"/>
    <w:bookmarkStart w:name="z296" w:id="249"/>
    <w:p>
      <w:pPr>
        <w:spacing w:after="0"/>
        <w:ind w:left="0"/>
        <w:jc w:val="both"/>
      </w:pPr>
      <w:r>
        <w:rPr>
          <w:rFonts w:ascii="Times New Roman"/>
          <w:b w:val="false"/>
          <w:i w:val="false"/>
          <w:color w:val="000000"/>
          <w:sz w:val="28"/>
        </w:rPr>
        <w:t>
      Это позволит обновить инфраструктуру здравоохранения в регионах Республики, обеспечить качество и мультидисциплинарный подход в лечении пациентов, снизить отток пациентов зарубеж и обеспечить въездной медицинский туризм, создать клинические базы для медицинских высших учебных заведений, триединство науки, образования и клинической деятельности.</w:t>
      </w:r>
    </w:p>
    <w:bookmarkEnd w:id="249"/>
    <w:bookmarkStart w:name="z297" w:id="250"/>
    <w:p>
      <w:pPr>
        <w:spacing w:after="0"/>
        <w:ind w:left="0"/>
        <w:jc w:val="both"/>
      </w:pPr>
      <w:r>
        <w:rPr>
          <w:rFonts w:ascii="Times New Roman"/>
          <w:b w:val="false"/>
          <w:i w:val="false"/>
          <w:color w:val="000000"/>
          <w:sz w:val="28"/>
        </w:rPr>
        <w:t xml:space="preserve">
      Уполномоченным органом будут приняты меры по введению в эксплуатацию не менее 23-х объектов в регионах, в том числе по дальнейшему развитию инфраструктуры республиканских подведомственных организаций уполномоченного органа в области здравоохранения. </w:t>
      </w:r>
    </w:p>
    <w:bookmarkEnd w:id="250"/>
    <w:bookmarkStart w:name="z298" w:id="251"/>
    <w:p>
      <w:pPr>
        <w:spacing w:after="0"/>
        <w:ind w:left="0"/>
        <w:jc w:val="both"/>
      </w:pPr>
      <w:r>
        <w:rPr>
          <w:rFonts w:ascii="Times New Roman"/>
          <w:b w:val="false"/>
          <w:i w:val="false"/>
          <w:color w:val="000000"/>
          <w:sz w:val="28"/>
        </w:rPr>
        <w:t>
      Модернизация государственных субъектов здравоохранения будет осуществляться с учетом необходимости доведения до требуемого уровня стандартов минимального технического и капитального оснащения медицинских организаций. При этом уполномоченный орган в области здравоохранения будет осуществлять строгий мониторинг на соответствие оснащенности медицинских организаций минимальным стандартам. Будут приняты меры по контролю за эффективным использованием медицинских изделий и непрерывному мониторингу оснащения организаций здравоохранения медицинскими изделиями (медицинской техникой); будет создана база данных зарегистрированных медицинских изделий.</w:t>
      </w:r>
    </w:p>
    <w:bookmarkEnd w:id="251"/>
    <w:bookmarkStart w:name="z299" w:id="252"/>
    <w:p>
      <w:pPr>
        <w:spacing w:after="0"/>
        <w:ind w:left="0"/>
        <w:jc w:val="both"/>
      </w:pPr>
      <w:r>
        <w:rPr>
          <w:rFonts w:ascii="Times New Roman"/>
          <w:b w:val="false"/>
          <w:i w:val="false"/>
          <w:color w:val="000000"/>
          <w:sz w:val="28"/>
        </w:rPr>
        <w:t xml:space="preserve">
      </w:t>
      </w:r>
      <w:r>
        <w:rPr>
          <w:rFonts w:ascii="Times New Roman"/>
          <w:b/>
          <w:i w:val="false"/>
          <w:color w:val="000000"/>
          <w:sz w:val="28"/>
        </w:rPr>
        <w:t>5.9 Эффективное управление государственными медицинскими организациями</w:t>
      </w:r>
    </w:p>
    <w:bookmarkEnd w:id="252"/>
    <w:bookmarkStart w:name="z300" w:id="253"/>
    <w:p>
      <w:pPr>
        <w:spacing w:after="0"/>
        <w:ind w:left="0"/>
        <w:jc w:val="both"/>
      </w:pPr>
      <w:r>
        <w:rPr>
          <w:rFonts w:ascii="Times New Roman"/>
          <w:b w:val="false"/>
          <w:i w:val="false"/>
          <w:color w:val="000000"/>
          <w:sz w:val="28"/>
        </w:rPr>
        <w:t>
      C целью эффективной, своевременной и качественной реализации проектов в области здравоохранения будет реализовываться комплекс мер по совершенствованию системы управления субъектами здравоохранения с учетом наилучшей мировой практики корпоративного управления.</w:t>
      </w:r>
    </w:p>
    <w:bookmarkEnd w:id="253"/>
    <w:bookmarkStart w:name="z301" w:id="254"/>
    <w:p>
      <w:pPr>
        <w:spacing w:after="0"/>
        <w:ind w:left="0"/>
        <w:jc w:val="both"/>
      </w:pPr>
      <w:r>
        <w:rPr>
          <w:rFonts w:ascii="Times New Roman"/>
          <w:b w:val="false"/>
          <w:i w:val="false"/>
          <w:color w:val="000000"/>
          <w:sz w:val="28"/>
        </w:rPr>
        <w:t>
      В рамках Программы запланировано полномасштабное внедрение системы корпоративного управления, инструментов ее мониторинга (рейтинговая оценка) и управления изменениями в области здравоохранения. Эффективность внедрения корпоративного управления будет оцениваться путем проведения рейтинговой оценки уровня корпоративного управления в государственных субъектах здравоохранения.</w:t>
      </w:r>
    </w:p>
    <w:bookmarkEnd w:id="254"/>
    <w:bookmarkStart w:name="z302" w:id="255"/>
    <w:p>
      <w:pPr>
        <w:spacing w:after="0"/>
        <w:ind w:left="0"/>
        <w:jc w:val="both"/>
      </w:pPr>
      <w:r>
        <w:rPr>
          <w:rFonts w:ascii="Times New Roman"/>
          <w:b w:val="false"/>
          <w:i w:val="false"/>
          <w:color w:val="000000"/>
          <w:sz w:val="28"/>
        </w:rPr>
        <w:t>
      Комплекс мер по повышению качества и эффективности управления субъектами здравоохранения будет включать в себя внедрение современных механизмов управления организациями, включая проектный менеджмент, риск-менеджмент, менеджмент, направленный на достижение результатов, финансовый менеджмент, развитие лидерских навыков и др.</w:t>
      </w:r>
    </w:p>
    <w:bookmarkEnd w:id="255"/>
    <w:bookmarkStart w:name="z303" w:id="256"/>
    <w:p>
      <w:pPr>
        <w:spacing w:after="0"/>
        <w:ind w:left="0"/>
        <w:jc w:val="both"/>
      </w:pPr>
      <w:r>
        <w:rPr>
          <w:rFonts w:ascii="Times New Roman"/>
          <w:b w:val="false"/>
          <w:i w:val="false"/>
          <w:color w:val="000000"/>
          <w:sz w:val="28"/>
        </w:rPr>
        <w:t>
      Инструменты проектного менеджмента будут внедрены на всех уровнях реализации Программы, в том числе путем открытия проектных офисов по всем направлениям Программы, что позволит повысить результативность, своевременность и качество реализуемых проектов.</w:t>
      </w:r>
    </w:p>
    <w:bookmarkEnd w:id="256"/>
    <w:bookmarkStart w:name="z304" w:id="257"/>
    <w:p>
      <w:pPr>
        <w:spacing w:after="0"/>
        <w:ind w:left="0"/>
        <w:jc w:val="both"/>
      </w:pPr>
      <w:r>
        <w:rPr>
          <w:rFonts w:ascii="Times New Roman"/>
          <w:b w:val="false"/>
          <w:i w:val="false"/>
          <w:color w:val="000000"/>
          <w:sz w:val="28"/>
        </w:rPr>
        <w:t>
      Проектный подход к реализации Программы предусматривает формирование проектной инфраструктуры, состоящей на республиканском уровне из управляющего совета Программы, экспертного совета Программы, офиса управления Программой и ситуационного центра. Для эффективной реализации проектов будут разработаны устав и план управления программами.</w:t>
      </w:r>
    </w:p>
    <w:bookmarkEnd w:id="257"/>
    <w:bookmarkStart w:name="z305" w:id="258"/>
    <w:p>
      <w:pPr>
        <w:spacing w:after="0"/>
        <w:ind w:left="0"/>
        <w:jc w:val="both"/>
      </w:pPr>
      <w:r>
        <w:rPr>
          <w:rFonts w:ascii="Times New Roman"/>
          <w:b w:val="false"/>
          <w:i w:val="false"/>
          <w:color w:val="000000"/>
          <w:sz w:val="28"/>
        </w:rPr>
        <w:t>
      Продолжится взаимодействие с международными организациями для гармонизации нормативно-правовой базы с учетом принятых обязательств в области здравоохранения, продвижения основных инициатив Казахстана за рубежом (продвижение декларации Астаны), а также обеспечения трансферта знаний и новых технологий в сферу здравоохранения.</w:t>
      </w:r>
    </w:p>
    <w:bookmarkEnd w:id="258"/>
    <w:bookmarkStart w:name="z306" w:id="259"/>
    <w:p>
      <w:pPr>
        <w:spacing w:after="0"/>
        <w:ind w:left="0"/>
        <w:jc w:val="both"/>
      </w:pPr>
      <w:r>
        <w:rPr>
          <w:rFonts w:ascii="Times New Roman"/>
          <w:b w:val="false"/>
          <w:i w:val="false"/>
          <w:color w:val="000000"/>
          <w:sz w:val="28"/>
        </w:rPr>
        <w:t xml:space="preserve">
      В частности, продолжится сотрудничество с ОЭСР по вопросам развития национальных счетов здравоохранения, совершенствования системы сбора и анализа административных данных, безопасности пациента и повышения качества медицинских услуг и, в целом, по развитию системы здравоохранения. </w:t>
      </w:r>
    </w:p>
    <w:bookmarkEnd w:id="259"/>
    <w:bookmarkStart w:name="z307" w:id="260"/>
    <w:p>
      <w:pPr>
        <w:spacing w:after="0"/>
        <w:ind w:left="0"/>
        <w:jc w:val="both"/>
      </w:pPr>
      <w:r>
        <w:rPr>
          <w:rFonts w:ascii="Times New Roman"/>
          <w:b w:val="false"/>
          <w:i w:val="false"/>
          <w:color w:val="000000"/>
          <w:sz w:val="28"/>
        </w:rPr>
        <w:t>
      Продолжится сотрудничество с организациями ООН (ЮНФПА, ЮНИСЕФ, ПРООН) по вопросам реализации поставленных задач ЦУР ООН, внедрению патронажной медицинской системы, развитию подростковой службы и школьной медицины.</w:t>
      </w:r>
    </w:p>
    <w:bookmarkEnd w:id="260"/>
    <w:bookmarkStart w:name="z308" w:id="261"/>
    <w:p>
      <w:pPr>
        <w:spacing w:after="0"/>
        <w:ind w:left="0"/>
        <w:jc w:val="both"/>
      </w:pPr>
      <w:r>
        <w:rPr>
          <w:rFonts w:ascii="Times New Roman"/>
          <w:b w:val="false"/>
          <w:i w:val="false"/>
          <w:color w:val="000000"/>
          <w:sz w:val="28"/>
        </w:rPr>
        <w:t>
      Усилится сотрудничество с ВОЗ по программам, направленным на охрану и укрепление здоровья населения, программам антибиотикорезистентности, профилактики заболеваний, по обеспечению всеобщего охвата услугами здравоохранения.</w:t>
      </w:r>
    </w:p>
    <w:bookmarkEnd w:id="261"/>
    <w:bookmarkStart w:name="z309" w:id="262"/>
    <w:p>
      <w:pPr>
        <w:spacing w:after="0"/>
        <w:ind w:left="0"/>
        <w:jc w:val="both"/>
      </w:pPr>
      <w:r>
        <w:rPr>
          <w:rFonts w:ascii="Times New Roman"/>
          <w:b w:val="false"/>
          <w:i w:val="false"/>
          <w:color w:val="000000"/>
          <w:sz w:val="28"/>
        </w:rPr>
        <w:t>
      Перспективным станет сотрудничество с Управлением по санитарному надзору за качеством пищевых продуктов и медикаментов США (U.S. Food and Drug Administration) в части внедрения международных практик в области контроля качества товаров и услуг.</w:t>
      </w:r>
    </w:p>
    <w:bookmarkEnd w:id="262"/>
    <w:bookmarkStart w:name="z310" w:id="263"/>
    <w:p>
      <w:pPr>
        <w:spacing w:after="0"/>
        <w:ind w:left="0"/>
        <w:jc w:val="both"/>
      </w:pPr>
      <w:r>
        <w:rPr>
          <w:rFonts w:ascii="Times New Roman"/>
          <w:b w:val="false"/>
          <w:i w:val="false"/>
          <w:color w:val="000000"/>
          <w:sz w:val="28"/>
        </w:rPr>
        <w:t>
      Для эффективного управления здравоохранением, а также обеспечения реализации гражданами гарантированных государством прав и обязанностей необходимо единое понимание, в том числе в правоприменительной практике, норм права в области здравоохранения.</w:t>
      </w:r>
    </w:p>
    <w:bookmarkEnd w:id="263"/>
    <w:bookmarkStart w:name="z311" w:id="264"/>
    <w:p>
      <w:pPr>
        <w:spacing w:after="0"/>
        <w:ind w:left="0"/>
        <w:jc w:val="both"/>
      </w:pPr>
      <w:r>
        <w:rPr>
          <w:rFonts w:ascii="Times New Roman"/>
          <w:b w:val="false"/>
          <w:i w:val="false"/>
          <w:color w:val="000000"/>
          <w:sz w:val="28"/>
        </w:rPr>
        <w:t>
      Для этих целей будут разработаны и внедрены единые комментарии к Кодексу Республики Казахстан "О здоровье народа и системе здравоохранения" с исчерпывающим разъяснением каждой нормы.</w:t>
      </w:r>
    </w:p>
    <w:bookmarkEnd w:id="264"/>
    <w:bookmarkStart w:name="z312" w:id="265"/>
    <w:p>
      <w:pPr>
        <w:spacing w:after="0"/>
        <w:ind w:left="0"/>
        <w:jc w:val="both"/>
      </w:pPr>
      <w:r>
        <w:rPr>
          <w:rFonts w:ascii="Times New Roman"/>
          <w:b w:val="false"/>
          <w:i w:val="false"/>
          <w:color w:val="000000"/>
          <w:sz w:val="28"/>
        </w:rPr>
        <w:t xml:space="preserve">
      </w:t>
      </w:r>
      <w:r>
        <w:rPr>
          <w:rFonts w:ascii="Times New Roman"/>
          <w:b/>
          <w:i w:val="false"/>
          <w:color w:val="000000"/>
          <w:sz w:val="28"/>
        </w:rPr>
        <w:t>6. Необходимые ресурсы</w:t>
      </w:r>
    </w:p>
    <w:bookmarkEnd w:id="265"/>
    <w:bookmarkStart w:name="z313" w:id="266"/>
    <w:p>
      <w:pPr>
        <w:spacing w:after="0"/>
        <w:ind w:left="0"/>
        <w:jc w:val="both"/>
      </w:pPr>
      <w:r>
        <w:rPr>
          <w:rFonts w:ascii="Times New Roman"/>
          <w:b w:val="false"/>
          <w:i w:val="false"/>
          <w:color w:val="000000"/>
          <w:sz w:val="28"/>
        </w:rPr>
        <w:t>
      На реализацию Программы в 2020-2025 годах будут направлены средства государственного бюджета, средства Фонда социального медицинского страхования, а также другие средства, не запрещенные законодательством Республики Казахстан.</w:t>
      </w:r>
    </w:p>
    <w:bookmarkEnd w:id="266"/>
    <w:bookmarkStart w:name="z314" w:id="267"/>
    <w:p>
      <w:pPr>
        <w:spacing w:after="0"/>
        <w:ind w:left="0"/>
        <w:jc w:val="both"/>
      </w:pPr>
      <w:r>
        <w:rPr>
          <w:rFonts w:ascii="Times New Roman"/>
          <w:b w:val="false"/>
          <w:i w:val="false"/>
          <w:color w:val="000000"/>
          <w:sz w:val="28"/>
        </w:rPr>
        <w:t>
      Общие затраты на реализацию Программы составят 3,2 трлн. тенге.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Фонда социального медицинского страхования, а также с привлечением других альтернативных источников.</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на 2020 – 2025 годы</w:t>
            </w:r>
          </w:p>
        </w:tc>
      </w:tr>
    </w:tbl>
    <w:bookmarkStart w:name="z316" w:id="268"/>
    <w:p>
      <w:pPr>
        <w:spacing w:after="0"/>
        <w:ind w:left="0"/>
        <w:jc w:val="left"/>
      </w:pPr>
      <w:r>
        <w:rPr>
          <w:rFonts w:ascii="Times New Roman"/>
          <w:b/>
          <w:i w:val="false"/>
          <w:color w:val="000000"/>
        </w:rPr>
        <w:t xml:space="preserve"> План мероприятий по реализации Государственной программы развития здравоохранения Республики Казахстан на 2020 – 2025 годы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689"/>
        <w:gridCol w:w="641"/>
        <w:gridCol w:w="1057"/>
        <w:gridCol w:w="1264"/>
        <w:gridCol w:w="588"/>
        <w:gridCol w:w="708"/>
        <w:gridCol w:w="708"/>
        <w:gridCol w:w="708"/>
        <w:gridCol w:w="708"/>
        <w:gridCol w:w="708"/>
        <w:gridCol w:w="708"/>
        <w:gridCol w:w="842"/>
        <w:gridCol w:w="320"/>
        <w:gridCol w:w="1064"/>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измерения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исполнения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 годам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бюджетной программы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год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21 год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год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год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год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год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Программная цель:</w:t>
            </w:r>
            <w:r>
              <w:rPr>
                <w:rFonts w:ascii="Times New Roman"/>
                <w:b w:val="false"/>
                <w:i w:val="false"/>
                <w:color w:val="000000"/>
                <w:sz w:val="20"/>
              </w:rPr>
              <w:t xml:space="preserve"> Обеспечение качественного и доступного здравоохранения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Ожидаемая продолжительность жизни при рождении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МОН, МНЭ, МСХ, МКС,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 преждевременной смертности от 30 до 70 лет от сердечно-сосудистых, онкологических, хронических респираторных заболеваний и диабета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МОН, МНЭ, МСХ, МКС,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материнской смертности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 живорожденных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младенческой смертности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живорожденных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 Формирование у населения приверженности к здоровому образу жизни и развитие службы общественного здоровья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результатов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Уровень потребления соли среди населения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день</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Национального исследования (STEPS)</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Распространенность табакокурения среди населения Казахстана в </w:t>
            </w:r>
            <w:r>
              <w:rPr>
                <w:rFonts w:ascii="Times New Roman"/>
                <w:b w:val="false"/>
                <w:i/>
                <w:color w:val="000000"/>
                <w:sz w:val="20"/>
              </w:rPr>
              <w:t>возрасте от 15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Национального исследования (GATS)</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МНЭ,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Зарегистрированное употребление алкоголя лицами старше 18 лет в литрах чистого спирта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Национального исследования (STEPS)</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МНЭ,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Охват граждан, занимающихся физической культурой и спортом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Охват антиретровирусной терапией (АРВ) лиц, страдающих 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Смертность в результате дорожно-транспортных происшествий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 населения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Заболеваемость туберкулезом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 населения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Смертность от неумышленного отравления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 населения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посещений организаций здравоохранения, оказывающих ПМСП, на одного жителя в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одного жителя в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Заболеваемость ожирением среди детей (0 – 14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 населения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МКС,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Смертность от самоубийств подростков (15 – 17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населения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правовой статистике и специальным учетам ГП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МИОР, МВД,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Рождаемость среди подростков (в возрасте 10-14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населения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Рождаемость среди подростков (в возрасте 15-19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населения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5.1. Выбор людей в пользу здоровья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9"/>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r>
              <w:rPr>
                <w:rFonts w:ascii="Times New Roman"/>
                <w:b w:val="false"/>
                <w:i w:val="false"/>
                <w:color w:val="000000"/>
                <w:sz w:val="20"/>
              </w:rPr>
              <w:t>66</w:t>
            </w:r>
            <w:r>
              <w:br/>
            </w:r>
            <w:r>
              <w:rPr>
                <w:rFonts w:ascii="Times New Roman"/>
                <w:b w:val="false"/>
                <w:i w:val="false"/>
                <w:color w:val="000000"/>
                <w:sz w:val="20"/>
              </w:rPr>
              <w:t>
37</w:t>
            </w:r>
          </w:p>
          <w:bookmarkEnd w:id="26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0"/>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r>
              <w:rPr>
                <w:rFonts w:ascii="Times New Roman"/>
                <w:b w:val="false"/>
                <w:i w:val="false"/>
                <w:color w:val="000000"/>
                <w:sz w:val="20"/>
              </w:rPr>
              <w:t>73</w:t>
            </w:r>
            <w:r>
              <w:br/>
            </w:r>
            <w:r>
              <w:rPr>
                <w:rFonts w:ascii="Times New Roman"/>
                <w:b w:val="false"/>
                <w:i w:val="false"/>
                <w:color w:val="000000"/>
                <w:sz w:val="20"/>
              </w:rPr>
              <w:t>
11</w:t>
            </w:r>
          </w:p>
          <w:bookmarkEnd w:id="27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1"/>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r>
              <w:rPr>
                <w:rFonts w:ascii="Times New Roman"/>
                <w:b w:val="false"/>
                <w:i w:val="false"/>
                <w:color w:val="000000"/>
                <w:sz w:val="20"/>
              </w:rPr>
              <w:t>66</w:t>
            </w:r>
            <w:r>
              <w:br/>
            </w:r>
            <w:r>
              <w:rPr>
                <w:rFonts w:ascii="Times New Roman"/>
                <w:b w:val="false"/>
                <w:i w:val="false"/>
                <w:color w:val="000000"/>
                <w:sz w:val="20"/>
              </w:rPr>
              <w:t>
47</w:t>
            </w:r>
          </w:p>
          <w:bookmarkEnd w:id="271"/>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rPr>
                <w:rFonts w:ascii="Times New Roman"/>
                <w:b w:val="false"/>
                <w:i w:val="false"/>
                <w:color w:val="000000"/>
                <w:sz w:val="20"/>
              </w:rPr>
              <w:t>00</w:t>
            </w:r>
            <w:r>
              <w:br/>
            </w:r>
            <w:r>
              <w:rPr>
                <w:rFonts w:ascii="Times New Roman"/>
                <w:b w:val="false"/>
                <w:i w:val="false"/>
                <w:color w:val="000000"/>
                <w:sz w:val="20"/>
              </w:rPr>
              <w:t>
</w:t>
            </w:r>
            <w:r>
              <w:rPr>
                <w:rFonts w:ascii="Times New Roman"/>
                <w:b w:val="false"/>
                <w:i w:val="false"/>
                <w:color w:val="000000"/>
                <w:sz w:val="20"/>
              </w:rPr>
              <w:t>59</w:t>
            </w:r>
            <w:r>
              <w:br/>
            </w:r>
            <w:r>
              <w:rPr>
                <w:rFonts w:ascii="Times New Roman"/>
                <w:b w:val="false"/>
                <w:i w:val="false"/>
                <w:color w:val="000000"/>
                <w:sz w:val="20"/>
              </w:rPr>
              <w:t>
5</w:t>
            </w:r>
          </w:p>
          <w:bookmarkEnd w:id="272"/>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повышению грамотности населения по вопросам здоровья, в том числе: реализовать телепроекты по пропаганде здорового образа жизни и охране здоровья в СМИ, социальных сетях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проекты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1 226 615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3"/>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70-10</w:t>
            </w:r>
            <w:r>
              <w:br/>
            </w:r>
            <w:r>
              <w:rPr>
                <w:rFonts w:ascii="Times New Roman"/>
                <w:b w:val="false"/>
                <w:i w:val="false"/>
                <w:color w:val="000000"/>
                <w:sz w:val="20"/>
              </w:rPr>
              <w:t>
4</w:t>
            </w:r>
          </w:p>
          <w:bookmarkEnd w:id="273"/>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массовые мероприятия, посвященные охране здоровья граждан и формированию здоровых привычек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потребностей населения реализовать: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МИИР, МОН, МТСЗН,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 "Здоровые города, регионы"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НКС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 "Школы, способствующие укреплению здоровья"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НКС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 "Здоровые университеты"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НКС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19 668</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эпидемиологические исследования по определению распространенности факторов риска НИЗ по методике ВОЗ "STEPS"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эпидемиологические исследования по определению распространенности табакокурения по методике ВОЗ "GATS"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эпидемиологические исследования: по эпиднадзору за детским ожирением в рамках инициативы ВОЗ "COSI"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2024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социологическое исследование по уровню грамотности населения по вопросам здоровья по методике, рекомендуемой ВОЗ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2020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Направление 5.2. Современная </w:t>
            </w:r>
            <w:r>
              <w:rPr>
                <w:rFonts w:ascii="Times New Roman"/>
                <w:b/>
                <w:i w:val="false"/>
                <w:color w:val="000000"/>
                <w:sz w:val="20"/>
              </w:rPr>
              <w:t>служба общественного здоровья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4 200 446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9 389 151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9 700 646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9 799 525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9 953 962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10 022 180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53 065 910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качество и безопасность пищевой продукции, в том числе: проводить мониторинг и контроль качества и безопасности пищевой продукции, включая фальсифицированные и генетически модифицированные продукты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обучение производителей пищевой продукции по внедрению системы менеджмента безопасности пищевых продуктов на основе принципов ХАССП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МТИ, МСХ,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санитарно-эпидемиологический мониторинг водоемов 1 и 2 категории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гармонизацию отечественных стандартов по качеству воздуха в жилых помещениях и выбросам вредных веществ в окружающую среду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МЭГПР,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внедрение Руководства ВОЗ по качеству воздуха в жилых помещениях; создать условия по снижению выбросов в атмосферу, всеобщего доступа к экологически чистому топливу и технологиям энергосбережения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МЭГПР,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систему мониторинга состояния окружающей среды внутри помещений общественных зданий для детей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рекомендация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МИИР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предложения по внедрению современных технологий по утилизации и переработке промышленных и твердых бытовых отходов с привлечением инвесторов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2020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МЭГПР, МИИР,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мониторинг отчетности уполномоченным органом в области здравоохранения по медицинским отходам в государственном кадастре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МЭГПР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мониторинг дорожной карты по реализации Международных медико-санитарных правил и глобальной программы охраны здоровья на 2019-2023 годы.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2020 -2023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мониторинг реализации межведомственной Дорожной карты по сдерживанию резистентности к противомикробным препаратам в Республике Казахстан на 2019-2022 годы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2020 -2022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МСХ, МИИР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расширению перечня инфекционных заболеваний, против которых проводятся профилактические прививки в рамках Национального календаря прививок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4"/>
          <w:p>
            <w:pPr>
              <w:spacing w:after="20"/>
              <w:ind w:left="20"/>
              <w:jc w:val="both"/>
            </w:pPr>
            <w:r>
              <w:rPr>
                <w:rFonts w:ascii="Times New Roman"/>
                <w:b w:val="false"/>
                <w:i w:val="false"/>
                <w:color w:val="000000"/>
                <w:sz w:val="20"/>
              </w:rPr>
              <w:t xml:space="preserve">
2021 год, </w:t>
            </w:r>
            <w:r>
              <w:br/>
            </w:r>
            <w:r>
              <w:rPr>
                <w:rFonts w:ascii="Times New Roman"/>
                <w:b w:val="false"/>
                <w:i w:val="false"/>
                <w:color w:val="000000"/>
                <w:sz w:val="20"/>
              </w:rPr>
              <w:t>
ежегодно</w:t>
            </w:r>
          </w:p>
          <w:bookmarkEnd w:id="274"/>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5 058 556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5 249 789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5 318 668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5 468 105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26 631 441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070- 101 ЦТТ</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скрининг на выявление вирусных гепатитов среди групп риска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12 847 284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Внедрить технологии вирусинактивации и карантинизации свежезамороженной плазмы, выдаваемой центрами крови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1 324 163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8 271 843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5"/>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67-</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0</w:t>
            </w:r>
          </w:p>
          <w:bookmarkEnd w:id="275"/>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вопрос по развитию борьбы с туберкулезом и другими заболеваниями легких на 2021- 2025 годы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2020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профилактику распространения ВИЧ-инфекции и повысить охват антиретровирусной терапией лиц, живущих с ВИЧ-инфекцией, и оказание им лечебно-диагностической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6"/>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7</w:t>
            </w:r>
          </w:p>
          <w:bookmarkEnd w:id="276"/>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оказание профилактических услуг ключевым группам населения (ДЭН, ГСЗ, ИППП в ДК, информационные системы), включая биоповеденческие исследования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7"/>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7</w:t>
            </w:r>
          </w:p>
          <w:bookmarkEnd w:id="277"/>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дорожную карту по профилактике и снижению травматизма и несчастных случаев (ДТП, утопления, выпадения из окон, ожоги, отравления, насилие)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2021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МВД, МИО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8"/>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0</w:t>
            </w:r>
          </w:p>
          <w:bookmarkEnd w:id="278"/>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дальнейшее развитие 40 трассовых медико-спасательных пунктов на аварийно-опасных участках дорог республики и совершенствование их деятельности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865 218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906 241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5 315 342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9"/>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Д)</w:t>
            </w:r>
          </w:p>
          <w:bookmarkEnd w:id="279"/>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вопрос передачи трассовых медико-спасательных пунктов из ведения МВД в систему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2020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5.3. Всестороннее поддержание здоровья на уровне ПМСП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1 438 855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20 412 621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62 455 681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117 511 008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130 241 291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332 059 456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мероприятия по продвижению Астанинской декларации по ПМСП на международном уровне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меры по основным направлениям развития ПМСП, включая профилактические медицинские осмотры целевых групп населения (скрининги)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 ФСМС</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внедрить программу "Здравоохранение на уровне сообщества" на основе международного опыта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 разработка, 2023-2025 гг. – внедрение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НПО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2 162 552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20 544 208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19 692 792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42 399 552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Расширить охват населения программами управления заболеванием (ПУЗ) с расширением перечня заболеваний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Развивать региональные центры лучших практик ПМСП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комплекс мер по охране здоровья детей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0"/>
          <w:p>
            <w:pPr>
              <w:spacing w:after="20"/>
              <w:ind w:left="20"/>
              <w:jc w:val="both"/>
            </w:pPr>
            <w:r>
              <w:rPr>
                <w:rFonts w:ascii="Times New Roman"/>
                <w:b w:val="false"/>
                <w:i w:val="false"/>
                <w:color w:val="000000"/>
                <w:sz w:val="20"/>
              </w:rPr>
              <w:t>
18</w:t>
            </w:r>
            <w:r>
              <w:br/>
            </w:r>
            <w:r>
              <w:rPr>
                <w:rFonts w:ascii="Times New Roman"/>
                <w:b w:val="false"/>
                <w:i w:val="false"/>
                <w:color w:val="000000"/>
                <w:sz w:val="20"/>
              </w:rPr>
              <w:t>
999 384</w:t>
            </w:r>
          </w:p>
          <w:bookmarkEnd w:id="28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1"/>
          <w:p>
            <w:pPr>
              <w:spacing w:after="20"/>
              <w:ind w:left="20"/>
              <w:jc w:val="both"/>
            </w:pPr>
            <w:r>
              <w:rPr>
                <w:rFonts w:ascii="Times New Roman"/>
                <w:b w:val="false"/>
                <w:i w:val="false"/>
                <w:color w:val="000000"/>
                <w:sz w:val="20"/>
              </w:rPr>
              <w:t>
56</w:t>
            </w:r>
            <w:r>
              <w:br/>
            </w:r>
            <w:r>
              <w:rPr>
                <w:rFonts w:ascii="Times New Roman"/>
                <w:b w:val="false"/>
                <w:i w:val="false"/>
                <w:color w:val="000000"/>
                <w:sz w:val="20"/>
              </w:rPr>
              <w:t>
233 701</w:t>
            </w:r>
          </w:p>
          <w:bookmarkEnd w:id="28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2"/>
          <w:p>
            <w:pPr>
              <w:spacing w:after="20"/>
              <w:ind w:left="20"/>
              <w:jc w:val="both"/>
            </w:pPr>
            <w:r>
              <w:rPr>
                <w:rFonts w:ascii="Times New Roman"/>
                <w:b w:val="false"/>
                <w:i w:val="false"/>
                <w:color w:val="000000"/>
                <w:sz w:val="20"/>
              </w:rPr>
              <w:t>
92</w:t>
            </w:r>
            <w:r>
              <w:br/>
            </w:r>
            <w:r>
              <w:rPr>
                <w:rFonts w:ascii="Times New Roman"/>
                <w:b w:val="false"/>
                <w:i w:val="false"/>
                <w:color w:val="000000"/>
                <w:sz w:val="20"/>
              </w:rPr>
              <w:t>
907 372</w:t>
            </w:r>
          </w:p>
          <w:bookmarkEnd w:id="28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3"/>
          <w:p>
            <w:pPr>
              <w:spacing w:after="20"/>
              <w:ind w:left="20"/>
              <w:jc w:val="both"/>
            </w:pPr>
            <w:r>
              <w:rPr>
                <w:rFonts w:ascii="Times New Roman"/>
                <w:b w:val="false"/>
                <w:i w:val="false"/>
                <w:color w:val="000000"/>
                <w:sz w:val="20"/>
              </w:rPr>
              <w:t>
106</w:t>
            </w:r>
            <w:r>
              <w:br/>
            </w:r>
            <w:r>
              <w:rPr>
                <w:rFonts w:ascii="Times New Roman"/>
                <w:b w:val="false"/>
                <w:i w:val="false"/>
                <w:color w:val="000000"/>
                <w:sz w:val="20"/>
              </w:rPr>
              <w:t>
489 071</w:t>
            </w:r>
          </w:p>
          <w:bookmarkEnd w:id="283"/>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4"/>
          <w:p>
            <w:pPr>
              <w:spacing w:after="20"/>
              <w:ind w:left="20"/>
              <w:jc w:val="both"/>
            </w:pPr>
            <w:r>
              <w:rPr>
                <w:rFonts w:ascii="Times New Roman"/>
                <w:b w:val="false"/>
                <w:i w:val="false"/>
                <w:color w:val="000000"/>
                <w:sz w:val="20"/>
              </w:rPr>
              <w:t>
274</w:t>
            </w:r>
            <w:r>
              <w:br/>
            </w:r>
            <w:r>
              <w:rPr>
                <w:rFonts w:ascii="Times New Roman"/>
                <w:b w:val="false"/>
                <w:i w:val="false"/>
                <w:color w:val="000000"/>
                <w:sz w:val="20"/>
              </w:rPr>
              <w:t>
657 097</w:t>
            </w:r>
          </w:p>
          <w:bookmarkEnd w:id="284"/>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внебюджетные средства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053-116, 070-102, ФСМС</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Обучить школьных психологов, школьных медицинских работников ПМСП раннему выявлению риска суицида среди подростков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Внедрить разработанный совместно с ЮНИСЕФ проект по профилактике суицидов среди подростков в 17 регионах Республики Казахстан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МИО, МОН,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работу по созданию и функционированию центров ментального здоровья на амбулаторно-поликлиническом уровне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и обеспечить деятельность консультативных кабинетов на базе стационаров для беременных с факторами высокого риска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деятельность молодежных центров здоровья с расширением перечня и доступности услуг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МИО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1 376 512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6 889 104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Расширить доступ населения к информации о репродуктивном здоровье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МИО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Расширить доступ населения к услугам планирования семьи и современным средствам контрацепции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2 646 191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2 646 191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7 938 573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 Повышение качества медицинской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результатов: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Соотношение средней заработной платы врача к средней зарплате в экономике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медицинских сестер расширенной практики ПМСП (подготовленных по программам прикладного и академического бакалавриата) в общем количестве сестринских кадров в системе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Уровень обеспеченности медицинскими работниками сельского населения в соответствии с минимальным нормативом обеспеченности медицинскими работниками регионов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5"/>
          <w:p>
            <w:pPr>
              <w:spacing w:after="20"/>
              <w:ind w:left="20"/>
              <w:jc w:val="both"/>
            </w:pPr>
            <w:r>
              <w:rPr>
                <w:rFonts w:ascii="Times New Roman"/>
                <w:b w:val="false"/>
                <w:i w:val="false"/>
                <w:color w:val="000000"/>
                <w:sz w:val="20"/>
              </w:rPr>
              <w:t xml:space="preserve">
на </w:t>
            </w:r>
            <w:r>
              <w:br/>
            </w:r>
            <w:r>
              <w:rPr>
                <w:rFonts w:ascii="Times New Roman"/>
                <w:b w:val="false"/>
                <w:i w:val="false"/>
                <w:color w:val="000000"/>
                <w:sz w:val="20"/>
              </w:rPr>
              <w:t>
10 000 сельского населения</w:t>
            </w:r>
          </w:p>
          <w:bookmarkEnd w:id="285"/>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Количество клинических исследований, проводимых в </w:t>
            </w:r>
            <w:r>
              <w:rPr>
                <w:rFonts w:ascii="Times New Roman"/>
                <w:b w:val="false"/>
                <w:i/>
                <w:color w:val="000000"/>
                <w:sz w:val="20"/>
              </w:rPr>
              <w:t>РК, в расчете на миллион населения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млн. населения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Удовлетворенность пациентов качеством медицинской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социологического опроса населения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Коэффициент неонатальной смертности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живорожденных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Коэффициент детской смертности в возрасте до 5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живорожденных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Уровень первичного выхода на инвалидность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тыс. населения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МТСЗН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Доля медицинских организаций с внедренными МИС, </w:t>
            </w:r>
            <w:r>
              <w:rPr>
                <w:rFonts w:ascii="Times New Roman"/>
                <w:b w:val="false"/>
                <w:i/>
                <w:color w:val="000000"/>
                <w:sz w:val="20"/>
              </w:rPr>
              <w:t>обеспечивающими обмен электронными медицинскими документами с интеграционной платформой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6"/>
          <w:p>
            <w:pPr>
              <w:spacing w:after="20"/>
              <w:ind w:left="20"/>
              <w:jc w:val="both"/>
            </w:pPr>
            <w:r>
              <w:rPr>
                <w:rFonts w:ascii="Times New Roman"/>
                <w:b w:val="false"/>
                <w:i w:val="false"/>
                <w:color w:val="000000"/>
                <w:sz w:val="20"/>
              </w:rPr>
              <w:t>
</w:t>
            </w:r>
            <w:r>
              <w:rPr>
                <w:rFonts w:ascii="Times New Roman"/>
                <w:b/>
                <w:i w:val="false"/>
                <w:color w:val="000000"/>
                <w:sz w:val="20"/>
              </w:rPr>
              <w:t>Направление 5.4.</w:t>
            </w:r>
            <w:r>
              <w:br/>
            </w:r>
            <w:r>
              <w:rPr>
                <w:rFonts w:ascii="Times New Roman"/>
                <w:b w:val="false"/>
                <w:i w:val="false"/>
                <w:color w:val="000000"/>
                <w:sz w:val="20"/>
              </w:rPr>
              <w:t>
</w:t>
            </w:r>
            <w:r>
              <w:rPr>
                <w:rFonts w:ascii="Times New Roman"/>
                <w:b/>
                <w:i w:val="false"/>
                <w:color w:val="000000"/>
                <w:sz w:val="20"/>
              </w:rPr>
              <w:t>Развитие человеческого капитала, модернизация образования, науки</w:t>
            </w:r>
          </w:p>
          <w:bookmarkEnd w:id="2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5 139 870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4 796 327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5 386 346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1 779 371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21 324 692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национальную систему учета кадровых ресурсов здравоохранения (КРЗ) на базе регистра медицинских работников с персонифицированным учетом по КРЗ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2021 год</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ведение национальных счетов по трудовым ресурсам здравоохранения (NHWA)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2021 год</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размер заработной платы работников медицинских организаций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7"/>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67-100,</w:t>
            </w:r>
            <w:r>
              <w:br/>
            </w:r>
            <w:r>
              <w:rPr>
                <w:rFonts w:ascii="Times New Roman"/>
                <w:b w:val="false"/>
                <w:i w:val="false"/>
                <w:color w:val="000000"/>
                <w:sz w:val="20"/>
              </w:rPr>
              <w:t>
</w:t>
            </w:r>
            <w:r>
              <w:rPr>
                <w:rFonts w:ascii="Times New Roman"/>
                <w:b w:val="false"/>
                <w:i w:val="false"/>
                <w:color w:val="000000"/>
                <w:sz w:val="20"/>
              </w:rPr>
              <w:t>ФС</w:t>
            </w:r>
            <w:r>
              <w:br/>
            </w:r>
            <w:r>
              <w:rPr>
                <w:rFonts w:ascii="Times New Roman"/>
                <w:b w:val="false"/>
                <w:i w:val="false"/>
                <w:color w:val="000000"/>
                <w:sz w:val="20"/>
              </w:rPr>
              <w:t>
МС</w:t>
            </w:r>
          </w:p>
          <w:bookmarkEnd w:id="287"/>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меры социальной поддержки работникам медицинских организаций и организаций медицинского образования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условия для поэтапного внедрения вмененного страхования профессиональной ответственности медицинских работников и субъектов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2021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возможность поэтапного перехода на лицензирование врачей и средних медицинских работников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создание новых рабочих мест в системе здравоохранения в рамках развития ПМСП и реабилитационной службы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МИО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053-113, 053-114, 067-100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Внедрить международные стандарты подготовки специалистов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1 663 533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4 990 599</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отраслевую рамку квалификаций и разработать профессиональные стандарты в сфере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МТСЗН, МНЭ, МФ</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Внедрить новую модель непрерывного профессионального развития работников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2021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программы дополнительного медицинского образования, повышения квалификации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комплекс мер по управлению и развитию средних медицинских работников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по созданию мотивационных механизмов для развития рынка клинических исследований (отчисления фармкомпаний на клинические исследования в РК, регистр клинических исследований)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2021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Развивать рынок биомедицинских исследований, в том числе проводить международные и многоцентровые исследования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5 139 870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4 796 327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8"/>
          <w:p>
            <w:pPr>
              <w:spacing w:after="20"/>
              <w:ind w:left="20"/>
              <w:jc w:val="both"/>
            </w:pPr>
            <w:r>
              <w:rPr>
                <w:rFonts w:ascii="Times New Roman"/>
                <w:b w:val="false"/>
                <w:i w:val="false"/>
                <w:color w:val="000000"/>
                <w:sz w:val="20"/>
              </w:rPr>
              <w:t>
11</w:t>
            </w:r>
            <w:r>
              <w:br/>
            </w:r>
            <w:r>
              <w:rPr>
                <w:rFonts w:ascii="Times New Roman"/>
                <w:b w:val="false"/>
                <w:i w:val="false"/>
                <w:color w:val="000000"/>
                <w:sz w:val="20"/>
              </w:rPr>
              <w:t>
363 630</w:t>
            </w:r>
          </w:p>
          <w:bookmarkEnd w:id="28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квалифицированные научные и медицинские кадры по персонализированной медицине (биоинформатике, медицинской генетике, фармакогенетике и т.д.), в программах магистратуры, докторантуры, постдокторантуры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биобанк для проведения клинических исследований в области персонализированной медицины с базой больших данных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4 970 463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БП</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9"/>
          <w:p>
            <w:pPr>
              <w:spacing w:after="20"/>
              <w:ind w:left="20"/>
              <w:jc w:val="both"/>
            </w:pPr>
            <w:r>
              <w:rPr>
                <w:rFonts w:ascii="Times New Roman"/>
                <w:b w:val="false"/>
                <w:i w:val="false"/>
                <w:color w:val="000000"/>
                <w:sz w:val="20"/>
              </w:rPr>
              <w:t>
</w:t>
            </w:r>
            <w:r>
              <w:rPr>
                <w:rFonts w:ascii="Times New Roman"/>
                <w:b/>
                <w:i w:val="false"/>
                <w:color w:val="000000"/>
                <w:sz w:val="20"/>
              </w:rPr>
              <w:t>Направление 5.5.</w:t>
            </w:r>
            <w:r>
              <w:br/>
            </w:r>
            <w:r>
              <w:rPr>
                <w:rFonts w:ascii="Times New Roman"/>
                <w:b w:val="false"/>
                <w:i w:val="false"/>
                <w:color w:val="000000"/>
                <w:sz w:val="20"/>
              </w:rPr>
              <w:t>
</w:t>
            </w:r>
            <w:r>
              <w:rPr>
                <w:rFonts w:ascii="Times New Roman"/>
                <w:b/>
                <w:i w:val="false"/>
                <w:color w:val="000000"/>
                <w:sz w:val="20"/>
              </w:rPr>
              <w:t>Совершенствование оказания медицинской помощи</w:t>
            </w:r>
          </w:p>
          <w:bookmarkEnd w:id="2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проведение социологических исследований по оценке удовлетворенности пациента качеством медицинских услуг путем привлечения НПО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Социологический опрос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государственный контроль качества медицинских услуг с привлечением независимых экспертов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проведение аккредитации медицинских организаций на основе стандартов ISQua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Улучшить систему менеджмента качества в медицинских организациях, включая учет и анализ инцидентов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Усовершенствовать институт независимых экспертов в области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Усовершенствовать систему независимой оценки знаний и навыков медицинских работников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2020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Внедрить проектный подход в работе координационных советов по приоритетным клиническим службам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дальнейшее совершенствование реабилитационной службы через внедрение Международной классификации функционирования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МТЗСН,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доступность паллиативной и сестринской помощи с внедрением мобильных бригад в 100% организациях ПМСП в 2025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067-100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комплекс мер по совершенствованию геронтологической службы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2020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Внедрить новые и инновационные технологии диагностики и лечения заболеваний в рамках государственных и частных инициатив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увеличению перечня выполняемых высокотехнологических медицинских услуг у детей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МИО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 провести национальную аккредитацию испытательных лабораторий, в том числе: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аккредитацию Национального центра экспертизы лекарственных средств гг. Нур-Султан, Алматы и Караганда путем преквалификации ВОЗ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2021 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аккредитацию Национального центра экспертизы МЗ РК (областных, городских, районных лабораторий)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вступлению в членство в Международный совет по гармонизации технических требований к регистрации лекарственных средств (ICH) и Международный форум регуляторов медицинских изделий (IMDRF)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процедуру регистрации ЛС, участвующих в программе преквалификации ВОЗ, и разработать комплекс мер по регистрации препаратов передовой терапии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2020 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внедрение инспекции зарубежных производственных участков регуляторным органом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2021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систему ценообразования, регулирования цен путем пересмотра функций и автоматизации процесса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2021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систему закупа лекарственных средств и медицинских изделий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2021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систему обращения ЛС и медицинских изделий, в том числе: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создать инспекторат по медицинским изделиям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2020 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создать базу данных (справочную систему) зарегистрированных медицинских изделий (медицинской техники)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(акт ввода)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2020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провести обучение фармацевтических инспекторов и инспекторов по медицинским изделиям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совершенствовать фармацевтический инспекторат РК и принять меры по вступлению Национального фармацевтического инспектората в систему международного сотрудничества фармацевтических инспекций (PIC/S)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2025 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внедрить систему изъятия из рынка на основе риск-ориентированного подхода путем проведения ежегодного контроля качества изъятых с рынка РК ЛС и медицинских изделий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внедрить системы маркировки и прослеживаемости лекарственных средств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2023 года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МТИ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Усовершенствовать методы фармакоэкономического анализа и оценки технологий здравоохранения и стандартизовать подходы к проведению клинико-экономической (фармакоэкономической) оценки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мероприятия по системному использованию результатов оценки технологий здравоохранения при определении перечней закупа ЛС в рамках ГОБМП и системы ОСМС, при формировании перечня лекарственных средств для амбулаторного лекарственного обеспечения на основе оценки технологий здравоохранения и фармакоэкономического анализа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2024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0"/>
          <w:p>
            <w:pPr>
              <w:spacing w:after="20"/>
              <w:ind w:left="20"/>
              <w:jc w:val="both"/>
            </w:pPr>
            <w:r>
              <w:rPr>
                <w:rFonts w:ascii="Times New Roman"/>
                <w:b w:val="false"/>
                <w:i w:val="false"/>
                <w:color w:val="000000"/>
                <w:sz w:val="20"/>
              </w:rPr>
              <w:t>
</w:t>
            </w:r>
            <w:r>
              <w:rPr>
                <w:rFonts w:ascii="Times New Roman"/>
                <w:b/>
                <w:i w:val="false"/>
                <w:color w:val="000000"/>
                <w:sz w:val="20"/>
              </w:rPr>
              <w:t>Направление 5.6.</w:t>
            </w:r>
            <w:r>
              <w:br/>
            </w:r>
            <w:r>
              <w:rPr>
                <w:rFonts w:ascii="Times New Roman"/>
                <w:b w:val="false"/>
                <w:i w:val="false"/>
                <w:color w:val="000000"/>
                <w:sz w:val="20"/>
              </w:rPr>
              <w:t>
</w:t>
            </w:r>
            <w:r>
              <w:rPr>
                <w:rFonts w:ascii="Times New Roman"/>
                <w:b/>
                <w:i w:val="false"/>
                <w:color w:val="000000"/>
                <w:sz w:val="20"/>
              </w:rPr>
              <w:t>Создание единого цифрового пространства здравоохранения</w:t>
            </w:r>
          </w:p>
          <w:bookmarkEnd w:id="2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5 922 121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2 278 615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3 327 283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3 029 843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3 029 939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18 122 145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нормативно-правовое регулирование цифровизации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2020-2025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разработку и поддержку целевой ИТ-архитектуры цифровизации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331 080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поддержку терминологического релизного центра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цифровизацию процессов здравоохранения через поэтапную интеграцию медицинских информационных систем 100% поставщиков ФСМС с ИС "Платформа информатизации и обеспечения интероперабельности информационных систем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001-104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наполнение Национальных электронных паспортов здоровья населения Республики Казахстан путем передачи медицинских данных от субъектов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ЭПЗ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001- 105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хранилище медицинских изображений республиканского уровня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2025года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Внедрить инструменты BI для принятия управленческих решений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решение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автоматизацию государственных услуг в сфере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государственные услуги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146 400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функционирование ИС "Платформа информатизации и обеспечения интероперабельности информационных систем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1 206 741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информационную безопасность и защиту персональных данных пациентов в информационных системах Министерства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успешном проведении испытаний и вводе ИС в промышленную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1 354 000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оснащение ИТ инфраструктурой республиканского хранилища данных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4 138 541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1 795 135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2 794 034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2 492 827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2 492 827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13 713 364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техническое сопровождение и расходные материалы лабораторной информационной системы в испытательных лабораториях в области санитарно-эпидемиологического благополучия населения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269 500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 Устойчивое развитие системы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результатов: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Доля общих расходов на </w:t>
            </w:r>
            <w:r>
              <w:rPr>
                <w:rFonts w:ascii="Times New Roman"/>
                <w:b w:val="false"/>
                <w:i/>
                <w:color w:val="000000"/>
                <w:sz w:val="20"/>
              </w:rPr>
              <w:t>здравоохранение от ВВП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расходов в здравоохранение за счет ОСМС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частных расходов домашних хозяйств от общих расходов на здравоохранение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расходов на АПП и ОЗ в рамках ГОБМП и ОСМС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Уровень оснащенности медицинских организаций медицинской техникой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Уровень износа зданий медицинских организаций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частных инвестиций в здравоохранении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аккредитованных в области здравоохранения поставщиков медицинских услуг ФСМС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медицинских организаций, получивших не менее 4 звезд в рейтинге по менеджменту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5.7. Реализация ОСМС и поддержка ДМС для достижения всеобщего охвата услугами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86 217 222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166 399 383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226 360 424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534 543 757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605 110 121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684 411 051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2 303 041 958</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с учетом минимизации анализ социальных рисков, актуализацию льготных категорий граждан в системе ОСМС, взносы за которых производит государство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2021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 МОН, МВД, МЮ, МФ, МНЭ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вопрос увеличения ставок взносов и отчислений работниками и работодателями для обеспечения финансовой устойчивости системы ОСМС с учетом расширения объемов медицинской помощи в системе ОСМС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2021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 МТСЗН, НПП "Атамекен"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информационно-разъяснительной работе с целью вовлечения населения в систему ОСМС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2020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1"/>
          <w:p>
            <w:pPr>
              <w:spacing w:after="20"/>
              <w:ind w:left="20"/>
              <w:jc w:val="both"/>
            </w:pPr>
            <w:r>
              <w:rPr>
                <w:rFonts w:ascii="Times New Roman"/>
                <w:b w:val="false"/>
                <w:i w:val="false"/>
                <w:color w:val="000000"/>
                <w:sz w:val="20"/>
              </w:rPr>
              <w:t>
МЗ, МТСЗН,</w:t>
            </w:r>
            <w:r>
              <w:br/>
            </w:r>
            <w:r>
              <w:rPr>
                <w:rFonts w:ascii="Times New Roman"/>
                <w:b w:val="false"/>
                <w:i w:val="false"/>
                <w:color w:val="000000"/>
                <w:sz w:val="20"/>
              </w:rPr>
              <w:t>
МНЭ, МИОР, МФ, МИО</w:t>
            </w:r>
          </w:p>
          <w:bookmarkEnd w:id="29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систему финансирования медицинской помощи, оказываемой в рамках ГОБМП и ОСМС с учетом приоритетного развития первичной медико-санитарной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пакеты медицинской помощи в рамках ГОБМП и ОСМС для обеспечения доступности медицинских услуг и развития приоритетных направлений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48 312 365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397 612 365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2"/>
          <w:p>
            <w:pPr>
              <w:spacing w:after="20"/>
              <w:ind w:left="20"/>
              <w:jc w:val="both"/>
            </w:pPr>
            <w:r>
              <w:rPr>
                <w:rFonts w:ascii="Times New Roman"/>
                <w:b w:val="false"/>
                <w:i w:val="false"/>
                <w:color w:val="000000"/>
                <w:sz w:val="20"/>
              </w:rPr>
              <w:t>
О</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С</w:t>
            </w:r>
          </w:p>
          <w:bookmarkEnd w:id="292"/>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методику тарифообразования на медицинские услуги в рамках ГОБМП и ОСМС в части включения в тарифы затрат на возмещение расходов медицинских организаций по обновлению основных средств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2022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пересмотр тарифов на медицинские услуги в части включения в тарифы расходов на повышение заработной платы и затрат на возмещение расходов медицинских организаций по обновлению основных средств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86 217 222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118 087 018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176 360 424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459 543 757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507 610 121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557 611 051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3"/>
          <w:p>
            <w:pPr>
              <w:spacing w:after="20"/>
              <w:ind w:left="20"/>
              <w:jc w:val="both"/>
            </w:pPr>
            <w:r>
              <w:rPr>
                <w:rFonts w:ascii="Times New Roman"/>
                <w:b w:val="false"/>
                <w:i w:val="false"/>
                <w:color w:val="000000"/>
                <w:sz w:val="20"/>
              </w:rPr>
              <w:t>
1 905 429</w:t>
            </w:r>
            <w:r>
              <w:br/>
            </w:r>
            <w:r>
              <w:rPr>
                <w:rFonts w:ascii="Times New Roman"/>
                <w:b w:val="false"/>
                <w:i w:val="false"/>
                <w:color w:val="000000"/>
                <w:sz w:val="20"/>
              </w:rPr>
              <w:t>
593</w:t>
            </w:r>
          </w:p>
          <w:bookmarkEnd w:id="293"/>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внебюджетные средства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 ОСМС</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внедрение инновационных технологий в системе ОСМС с учетом ежегодного инвестирования на данные технологии до 1% от расходов на ОСМС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2020 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обеспечению взрослого и детского населения услугами медицинской реабилитации и в системе ОСМС с учетом реабилитационного потенциала пациентов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совершенствование механизмов охвата ДМС трудовых мигрантов и иностранных студентов, обучающихся в РК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2020 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 МВД, МОН, МЦРИАП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5.8 Улучшение инвестиционного климата в медицинской отрасли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22 573 050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96 332 268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154 365 470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171 932 838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451 203 626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возмещение инвестиционных затрат на строительство крупных объектов, в том числе по механизмам ГЧП, концессии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12 073 050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60 260 831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102 895 069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161 300 027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336 528 977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уровень доступности медицинских услуг для населения, в том числе: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МЗ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повысить доступность первичной медико-санитарной помощи путем открытия не менее 500 объектов здравоохранения за счет средств местных исполнительных органов и привлечения частных инвестиций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средств, выделенных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открыть детские реабилитационные центры в 10 регионах (в Атырауской, ВКО, ЗКО, Костанайской, Туркестанской, Мангистауской, Алматинской, СКО, Актюбинской областях, в городе Нур-Султан).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средств, выделенных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организовать работу дополнительных инсультных центров в Западно-Казахстанской, Алматинской, Туркестанской областях и г. Шымкент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средств, выделенных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повысить доступность и качество оказания медицинской помощи лицам, страдающим заболеваниями органов дыхания, путем интеграции фтизиатрического и пульмонологического профилей, а также создания региональных центров торокальной хирургии, центров лечения муковицидоза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средств, выделенных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расширить сеть районных подстанций скорой медицинской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средств, выделенных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обеспечить развитие дистанционной медицины и транспортной медицины (медицинских поездов, передвижных медицинских комплексов, санитарной авиации)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средств, выделенных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067-100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реализации инвестиционных проектов по образованию медицинских организаций, в том числе: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35 613 000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109 580 000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053-113, 053-114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ввести в эксплуатацию в регионах не менее 23 объектов, в том числе принять меры по дальнейшему развитию инфраструктуры республиканских подведомственных организаций МЗ РК (в т.ч. НИИТО, РПБСТИН, РКГИОВ)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35 613 000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109 580 000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053-113, 053-114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построить не менее 6 крупных клиник, в том числе в рамках государственно-частного партнерства, концессии, в Северно-Казахстанской, Туркестанской, Карагандинской областях, гг. Нур-Султан и Алматы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 2024 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внебюджетных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принять меры по реализации не менее 8 инвестиционных проектов по строительству крупных многопрофильных больниц, в том числе в рамках государственно-частного партнерства, концессии, в гг. Актобе, Кокшетау, Усть-Каменогорск, Атырау, Тараз, Кызылорда, Актау, Павлодар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внебюджетных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устранению аварийности и потребности в сейсмоусилении объектов здравоохранения и объектов санитарно-эпидемиологической экспертизы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созданию дополнительных 7 центров чрезкожнокоронарного вмешательства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ГЧП,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предложения по созданию сети референтных лабораторий для определения безопасности и качества товаров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2020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усилению биологической безопасности лабораторий санитарно-эпидемиологической экспертизы и дооснащению современным оборудованием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5 094 649</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5.9. Эффективное управление в здравоохранении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внедрение проектного менеджмента в системе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Утвердить управляющий совет с целью эффективной реализации Госпрограммы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решения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2020 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внедрению системы корпоративного управления в здравоохранении, в том числе: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обеспечить раскрытие государственными медицинскими организациями существенной финансовой и нефинансовой информации в соответствии с международно признанными стандартами раскрытия корпоративной информации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обеспечить ежегодную структурированную оценку результатов деятельности и эффективности советов директоров/наблюдательных советов многопрофильных медицинских организаций с государственным участием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обеспечить деятельность служб внутреннего аудита, подконтрольных советам директоров/наблюдательным советам или ревизионной комиссии в многопрофильных государственных организациях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гг.</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мероприятия по взаимодействию с международными организациями в сфере здравоохранения для гармонизации продвижения основных инициатив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внести предложения по продвижению онлайн-медицинских организаций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2021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внедрить постатейные комментарии к Кодексу Республики Казахстан "О здоровье народа и системе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2020 года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4"/>
          <w:p>
            <w:pPr>
              <w:spacing w:after="20"/>
              <w:ind w:left="20"/>
              <w:jc w:val="both"/>
            </w:pPr>
            <w:r>
              <w:rPr>
                <w:rFonts w:ascii="Times New Roman"/>
                <w:b w:val="false"/>
                <w:i w:val="false"/>
                <w:color w:val="000000"/>
                <w:sz w:val="20"/>
              </w:rPr>
              <w:t>
МЗ,</w:t>
            </w:r>
            <w:r>
              <w:br/>
            </w:r>
            <w:r>
              <w:rPr>
                <w:rFonts w:ascii="Times New Roman"/>
                <w:b w:val="false"/>
                <w:i w:val="false"/>
                <w:color w:val="000000"/>
                <w:sz w:val="20"/>
              </w:rPr>
              <w:t>
НПО (по согласованию)</w:t>
            </w:r>
          </w:p>
          <w:bookmarkEnd w:id="29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bl>
    <w:bookmarkStart w:name="z362" w:id="295"/>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w:t>
      </w:r>
    </w:p>
    <w:bookmarkEnd w:id="295"/>
    <w:tbl>
      <w:tblPr>
        <w:tblW w:w="0" w:type="auto"/>
        <w:tblCellSpacing w:w="0" w:type="auto"/>
        <w:tblBorders>
          <w:top w:val="none"/>
          <w:left w:val="none"/>
          <w:bottom w:val="none"/>
          <w:right w:val="none"/>
          <w:insideH w:val="none"/>
          <w:insideV w:val="none"/>
        </w:tblBorders>
      </w:tblPr>
      <w:tblGrid>
        <w:gridCol w:w="1900"/>
        <w:gridCol w:w="2563"/>
        <w:gridCol w:w="7837"/>
      </w:tblGrid>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здравоохранения Республики Казахстан </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 </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Всемирный банк</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общей практики</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ВИЧ/СПИД</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 иммунодефицита человека/синдром приобретенного иммунодефицита </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ПМСП</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медико-санитарная помощь</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комиссия по качеству</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объем бесплатной медицинской помощи</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неправительственная организация</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дорожно-транспортное происшествие</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организация здравоохранения</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НКС</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координационный совет</w:t>
            </w:r>
          </w:p>
        </w:tc>
      </w:tr>
      <w:tr>
        <w:trPr>
          <w:trHeight w:val="3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w:t>
            </w:r>
          </w:p>
        </w:tc>
        <w:tc>
          <w:tcPr>
            <w:tcW w:w="2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учебное заведение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