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022f" w14:textId="3220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2019 года № 821.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3"/>
    <w:bookmarkStart w:name="z8" w:id="4"/>
    <w:p>
      <w:pPr>
        <w:spacing w:after="0"/>
        <w:ind w:left="0"/>
        <w:jc w:val="both"/>
      </w:pPr>
      <w:r>
        <w:rPr>
          <w:rFonts w:ascii="Times New Roman"/>
          <w:b w:val="false"/>
          <w:i w:val="false"/>
          <w:color w:val="000000"/>
          <w:sz w:val="28"/>
        </w:rPr>
        <w:t>
      в форме "Отчет о движении денег на контрольном счете наличности Национального фонда Республики Казахстан по состоянию на ":</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"I. Доходы:":</w:t>
      </w:r>
    </w:p>
    <w:bookmarkEnd w:id="5"/>
    <w:bookmarkStart w:name="z10" w:id="6"/>
    <w:p>
      <w:pPr>
        <w:spacing w:after="0"/>
        <w:ind w:left="0"/>
        <w:jc w:val="both"/>
      </w:pPr>
      <w:r>
        <w:rPr>
          <w:rFonts w:ascii="Times New Roman"/>
          <w:b w:val="false"/>
          <w:i w:val="false"/>
          <w:color w:val="000000"/>
          <w:sz w:val="28"/>
        </w:rPr>
        <w:t>
      строку:</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8"/>
    <w:p>
      <w:pPr>
        <w:spacing w:after="0"/>
        <w:ind w:left="0"/>
        <w:jc w:val="both"/>
      </w:pPr>
      <w:r>
        <w:rPr>
          <w:rFonts w:ascii="Times New Roman"/>
          <w:b w:val="false"/>
          <w:i w:val="false"/>
          <w:color w:val="000000"/>
          <w:sz w:val="28"/>
        </w:rPr>
        <w:t>
      изложить в следующей редакции:</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1</w:t>
      </w:r>
      <w:r>
        <w:rPr>
          <w:rFonts w:ascii="Times New Roman"/>
          <w:b w:val="false"/>
          <w:i w:val="false"/>
          <w:color w:val="000000"/>
          <w:sz w:val="28"/>
        </w:rPr>
        <w:t xml:space="preserve"> "Отчет о поступлениях и использовании Национального фонда Республики Казахстан":</w:t>
      </w:r>
    </w:p>
    <w:bookmarkEnd w:id="11"/>
    <w:bookmarkStart w:name="z18" w:id="12"/>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Поступления, ВСЕГО:</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сверхприбыль;</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добычу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рентный налог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поступления от приватизации республиканской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поступления от продажи земельных участков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инвестиционные доходы;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возврат целевого трансферта из республиканского бюджета;</w:t>
            </w:r>
          </w:p>
          <w:p>
            <w:pPr>
              <w:spacing w:after="20"/>
              <w:ind w:left="20"/>
              <w:jc w:val="both"/>
            </w:pPr>
            <w:r>
              <w:rPr>
                <w:rFonts w:ascii="Times New Roman"/>
                <w:b w:val="false"/>
                <w:i w:val="false"/>
                <w:color w:val="000000"/>
                <w:sz w:val="20"/>
              </w:rPr>
              <w:t>
-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1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