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ff09" w14:textId="f39f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Прогнозной схемы территориально-пространственного развития страны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23 августа 2019 года № 625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Прогнозной схемы территориально-пространственного развития страны до 2030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Об утверждении Прогнозной схемы территориально-пространственного развития страны до 2030 года</w:t>
      </w:r>
    </w:p>
    <w:bookmarkEnd w:id="2"/>
    <w:bookmarkStart w:name="z7" w:id="3"/>
    <w:p>
      <w:pPr>
        <w:spacing w:after="0"/>
        <w:ind w:left="0"/>
        <w:jc w:val="both"/>
      </w:pPr>
      <w:r>
        <w:rPr>
          <w:rFonts w:ascii="Times New Roman"/>
          <w:b w:val="false"/>
          <w:i w:val="false"/>
          <w:color w:val="000000"/>
          <w:sz w:val="28"/>
        </w:rPr>
        <w:t xml:space="preserve">
      В целях реализации Стратегического плана развития Республики Казахстан до 2025 года, а также создания условий, обеспечивающих рост благосостояния населения на основе развития и эффективного использования социально-экономического потенциала каждого региона страны,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Утвердить прилагаемую Прогнозную схему территориально-пространственного развития страны до 2030 года.</w:t>
      </w:r>
    </w:p>
    <w:bookmarkEnd w:id="4"/>
    <w:bookmarkStart w:name="z9" w:id="5"/>
    <w:p>
      <w:pPr>
        <w:spacing w:after="0"/>
        <w:ind w:left="0"/>
        <w:jc w:val="both"/>
      </w:pPr>
      <w:r>
        <w:rPr>
          <w:rFonts w:ascii="Times New Roman"/>
          <w:b w:val="false"/>
          <w:i w:val="false"/>
          <w:color w:val="000000"/>
          <w:sz w:val="28"/>
        </w:rPr>
        <w:t>
      2. Правительству Республики Казахстан,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национальным управляющим холдингам, национальным холдингам и национальным компаниям руководствоваться в своей деятельности настоящим Указом и принять необходимые меры по его реализации.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6"/>
    <w:bookmarkStart w:name="z11" w:id="7"/>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bl>
    <w:bookmarkStart w:name="z14" w:id="8"/>
    <w:p>
      <w:pPr>
        <w:spacing w:after="0"/>
        <w:ind w:left="0"/>
        <w:jc w:val="left"/>
      </w:pPr>
      <w:r>
        <w:rPr>
          <w:rFonts w:ascii="Times New Roman"/>
          <w:b/>
          <w:i w:val="false"/>
          <w:color w:val="000000"/>
        </w:rPr>
        <w:t xml:space="preserve"> Прогнозная схема</w:t>
      </w:r>
      <w:r>
        <w:br/>
      </w:r>
      <w:r>
        <w:rPr>
          <w:rFonts w:ascii="Times New Roman"/>
          <w:b/>
          <w:i w:val="false"/>
          <w:color w:val="000000"/>
        </w:rPr>
        <w:t>территориально-пространственного развития страны до 2030 года</w:t>
      </w:r>
    </w:p>
    <w:bookmarkEnd w:id="8"/>
    <w:bookmarkStart w:name="z15" w:id="9"/>
    <w:p>
      <w:pPr>
        <w:spacing w:after="0"/>
        <w:ind w:left="0"/>
        <w:jc w:val="left"/>
      </w:pPr>
      <w:r>
        <w:rPr>
          <w:rFonts w:ascii="Times New Roman"/>
          <w:b/>
          <w:i w:val="false"/>
          <w:color w:val="000000"/>
        </w:rPr>
        <w:t xml:space="preserve"> СОДЕРЖАНИЕ</w:t>
      </w:r>
    </w:p>
    <w:bookmarkEnd w:id="9"/>
    <w:bookmarkStart w:name="z16" w:id="10"/>
    <w:p>
      <w:pPr>
        <w:spacing w:after="0"/>
        <w:ind w:left="0"/>
        <w:jc w:val="both"/>
      </w:pPr>
      <w:r>
        <w:rPr>
          <w:rFonts w:ascii="Times New Roman"/>
          <w:b w:val="false"/>
          <w:i w:val="false"/>
          <w:color w:val="000000"/>
          <w:sz w:val="28"/>
        </w:rPr>
        <w:t>
      Введение</w:t>
      </w:r>
    </w:p>
    <w:bookmarkEnd w:id="10"/>
    <w:bookmarkStart w:name="z17" w:id="11"/>
    <w:p>
      <w:pPr>
        <w:spacing w:after="0"/>
        <w:ind w:left="0"/>
        <w:jc w:val="both"/>
      </w:pPr>
      <w:r>
        <w:rPr>
          <w:rFonts w:ascii="Times New Roman"/>
          <w:b w:val="false"/>
          <w:i w:val="false"/>
          <w:color w:val="000000"/>
          <w:sz w:val="28"/>
        </w:rPr>
        <w:t>
      Раздел 1. Анализ и оценка экономического потенциала территорий</w:t>
      </w:r>
    </w:p>
    <w:bookmarkEnd w:id="11"/>
    <w:bookmarkStart w:name="z18" w:id="12"/>
    <w:p>
      <w:pPr>
        <w:spacing w:after="0"/>
        <w:ind w:left="0"/>
        <w:jc w:val="both"/>
      </w:pPr>
      <w:r>
        <w:rPr>
          <w:rFonts w:ascii="Times New Roman"/>
          <w:b w:val="false"/>
          <w:i w:val="false"/>
          <w:color w:val="000000"/>
          <w:sz w:val="28"/>
        </w:rPr>
        <w:t>
      Раздел 2. Направления территориально-пространственного развития</w:t>
      </w:r>
    </w:p>
    <w:bookmarkEnd w:id="12"/>
    <w:bookmarkStart w:name="z19" w:id="13"/>
    <w:p>
      <w:pPr>
        <w:spacing w:after="0"/>
        <w:ind w:left="0"/>
        <w:jc w:val="both"/>
      </w:pPr>
      <w:r>
        <w:rPr>
          <w:rFonts w:ascii="Times New Roman"/>
          <w:b w:val="false"/>
          <w:i w:val="false"/>
          <w:color w:val="000000"/>
          <w:sz w:val="28"/>
        </w:rPr>
        <w:t>
      Раздел 3. Прогнозные параметры развития страны</w:t>
      </w:r>
    </w:p>
    <w:bookmarkEnd w:id="13"/>
    <w:bookmarkStart w:name="z20" w:id="14"/>
    <w:p>
      <w:pPr>
        <w:spacing w:after="0"/>
        <w:ind w:left="0"/>
        <w:jc w:val="both"/>
      </w:pPr>
      <w:r>
        <w:rPr>
          <w:rFonts w:ascii="Times New Roman"/>
          <w:b w:val="false"/>
          <w:i w:val="false"/>
          <w:color w:val="000000"/>
          <w:sz w:val="28"/>
        </w:rPr>
        <w:t>
      Раздел 4. Схемы перспективного развития регионов</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15"/>
    <w:bookmarkStart w:name="z22" w:id="16"/>
    <w:p>
      <w:pPr>
        <w:spacing w:after="0"/>
        <w:ind w:left="0"/>
        <w:jc w:val="both"/>
      </w:pPr>
      <w:r>
        <w:rPr>
          <w:rFonts w:ascii="Times New Roman"/>
          <w:b w:val="false"/>
          <w:i w:val="false"/>
          <w:color w:val="000000"/>
          <w:sz w:val="28"/>
        </w:rPr>
        <w:t>
      Прогнозная схема территориально-пространственного развития страны до 2030 года (далее - Прогнозная схема) является стратегическим документом первого уровня системы государственного планирования, определяющим долгосрочное видение развития страны.</w:t>
      </w:r>
    </w:p>
    <w:bookmarkEnd w:id="16"/>
    <w:bookmarkStart w:name="z23" w:id="17"/>
    <w:p>
      <w:pPr>
        <w:spacing w:after="0"/>
        <w:ind w:left="0"/>
        <w:jc w:val="both"/>
      </w:pPr>
      <w:r>
        <w:rPr>
          <w:rFonts w:ascii="Times New Roman"/>
          <w:b w:val="false"/>
          <w:i w:val="false"/>
          <w:color w:val="000000"/>
          <w:sz w:val="28"/>
        </w:rPr>
        <w:t>
      Основанием для разработки Прогнозной схемы является Стратегия развития Казахстана до 2050 года, Концепция по вхождению Казахстана в число 30-ти самых развитых государств мира.</w:t>
      </w:r>
    </w:p>
    <w:bookmarkEnd w:id="17"/>
    <w:bookmarkStart w:name="z24" w:id="18"/>
    <w:p>
      <w:pPr>
        <w:spacing w:after="0"/>
        <w:ind w:left="0"/>
        <w:jc w:val="both"/>
      </w:pPr>
      <w:r>
        <w:rPr>
          <w:rFonts w:ascii="Times New Roman"/>
          <w:b w:val="false"/>
          <w:i w:val="false"/>
          <w:color w:val="000000"/>
          <w:sz w:val="28"/>
        </w:rPr>
        <w:t>
      Прогнозная схема разрабатывается в целях реализации Стратегического плана развития Республики Казахстан до 2025 года (далее - Стратегический план - 2025).</w:t>
      </w:r>
    </w:p>
    <w:bookmarkEnd w:id="18"/>
    <w:bookmarkStart w:name="z25" w:id="19"/>
    <w:p>
      <w:pPr>
        <w:spacing w:after="0"/>
        <w:ind w:left="0"/>
        <w:jc w:val="both"/>
      </w:pPr>
      <w:r>
        <w:rPr>
          <w:rFonts w:ascii="Times New Roman"/>
          <w:b w:val="false"/>
          <w:i w:val="false"/>
          <w:color w:val="000000"/>
          <w:sz w:val="28"/>
        </w:rPr>
        <w:t>
      Прогнозная схема разработана в соответствии с Системой государственного планирования Республики Казахстан.</w:t>
      </w:r>
    </w:p>
    <w:bookmarkEnd w:id="19"/>
    <w:bookmarkStart w:name="z26" w:id="20"/>
    <w:p>
      <w:pPr>
        <w:spacing w:after="0"/>
        <w:ind w:left="0"/>
        <w:jc w:val="both"/>
      </w:pPr>
      <w:r>
        <w:rPr>
          <w:rFonts w:ascii="Times New Roman"/>
          <w:b w:val="false"/>
          <w:i w:val="false"/>
          <w:color w:val="000000"/>
          <w:sz w:val="28"/>
        </w:rPr>
        <w:t>
      Территориально-пространственное планирование является государственной функцией управления на всех уровнях, определяющей на перспективу распределение экономической деятельности и расселение населения по стране, и призвано обеспечить рациональное использование земельных ресурсов, сбалансированность потребностей экономического развития и охрану окружающей среды.</w:t>
      </w:r>
    </w:p>
    <w:bookmarkEnd w:id="20"/>
    <w:bookmarkStart w:name="z27" w:id="21"/>
    <w:p>
      <w:pPr>
        <w:spacing w:after="0"/>
        <w:ind w:left="0"/>
        <w:jc w:val="both"/>
      </w:pPr>
      <w:r>
        <w:rPr>
          <w:rFonts w:ascii="Times New Roman"/>
          <w:b w:val="false"/>
          <w:i w:val="false"/>
          <w:color w:val="000000"/>
          <w:sz w:val="28"/>
        </w:rPr>
        <w:t>
      Территориально-пространственное планирование позволяет координировать политику в таких отраслях, как транспорт, сельское хозяйство и окружающая среда.</w:t>
      </w:r>
    </w:p>
    <w:bookmarkEnd w:id="21"/>
    <w:bookmarkStart w:name="z28" w:id="22"/>
    <w:p>
      <w:pPr>
        <w:spacing w:after="0"/>
        <w:ind w:left="0"/>
        <w:jc w:val="both"/>
      </w:pPr>
      <w:r>
        <w:rPr>
          <w:rFonts w:ascii="Times New Roman"/>
          <w:b w:val="false"/>
          <w:i w:val="false"/>
          <w:color w:val="000000"/>
          <w:sz w:val="28"/>
        </w:rPr>
        <w:t>
      Эффективное территориально-пространственное планирование направлено на предотвращение дублирования усилий и мероприятий, в том числе носящих межотраслевой характер.</w:t>
      </w:r>
    </w:p>
    <w:bookmarkEnd w:id="22"/>
    <w:bookmarkStart w:name="z29" w:id="23"/>
    <w:p>
      <w:pPr>
        <w:spacing w:after="0"/>
        <w:ind w:left="0"/>
        <w:jc w:val="left"/>
      </w:pPr>
      <w:r>
        <w:rPr>
          <w:rFonts w:ascii="Times New Roman"/>
          <w:b/>
          <w:i w:val="false"/>
          <w:color w:val="000000"/>
        </w:rPr>
        <w:t xml:space="preserve"> Раздел 1. Анализ и оценка экономического потенциала территорий</w:t>
      </w:r>
    </w:p>
    <w:bookmarkEnd w:id="23"/>
    <w:bookmarkStart w:name="z30" w:id="24"/>
    <w:p>
      <w:pPr>
        <w:spacing w:after="0"/>
        <w:ind w:left="0"/>
        <w:jc w:val="left"/>
      </w:pPr>
      <w:r>
        <w:rPr>
          <w:rFonts w:ascii="Times New Roman"/>
          <w:b/>
          <w:i w:val="false"/>
          <w:color w:val="000000"/>
        </w:rPr>
        <w:t xml:space="preserve"> 1.1. Анализ и оценка ресурсного потенциала регионов страны, обеспеченности производственной и социальной инфраструктурой</w:t>
      </w:r>
    </w:p>
    <w:bookmarkEnd w:id="24"/>
    <w:bookmarkStart w:name="z31" w:id="25"/>
    <w:p>
      <w:pPr>
        <w:spacing w:after="0"/>
        <w:ind w:left="0"/>
        <w:jc w:val="both"/>
      </w:pPr>
      <w:r>
        <w:rPr>
          <w:rFonts w:ascii="Times New Roman"/>
          <w:b w:val="false"/>
          <w:i w:val="false"/>
          <w:color w:val="000000"/>
          <w:sz w:val="28"/>
        </w:rPr>
        <w:t xml:space="preserve">
      </w:t>
      </w:r>
      <w:r>
        <w:rPr>
          <w:rFonts w:ascii="Times New Roman"/>
          <w:b/>
          <w:i w:val="false"/>
          <w:color w:val="000000"/>
          <w:sz w:val="28"/>
        </w:rPr>
        <w:t>Земельные, лесные, водные ресурсы</w:t>
      </w:r>
    </w:p>
    <w:bookmarkEnd w:id="25"/>
    <w:bookmarkStart w:name="z32" w:id="26"/>
    <w:p>
      <w:pPr>
        <w:spacing w:after="0"/>
        <w:ind w:left="0"/>
        <w:jc w:val="both"/>
      </w:pPr>
      <w:r>
        <w:rPr>
          <w:rFonts w:ascii="Times New Roman"/>
          <w:b w:val="false"/>
          <w:i w:val="false"/>
          <w:color w:val="000000"/>
          <w:sz w:val="28"/>
        </w:rPr>
        <w:t>
      Территориально-пространственное планирование направлено на обеспечение рационального использования земель, усиление связи между видами землепользования, сбалансированность потребностей экономики и необходимости охраны окружающей среды.</w:t>
      </w:r>
    </w:p>
    <w:bookmarkEnd w:id="26"/>
    <w:bookmarkStart w:name="z33" w:id="27"/>
    <w:p>
      <w:pPr>
        <w:spacing w:after="0"/>
        <w:ind w:left="0"/>
        <w:jc w:val="both"/>
      </w:pPr>
      <w:r>
        <w:rPr>
          <w:rFonts w:ascii="Times New Roman"/>
          <w:b w:val="false"/>
          <w:i w:val="false"/>
          <w:color w:val="000000"/>
          <w:sz w:val="28"/>
        </w:rPr>
        <w:t>
      Основными проблемами использования земель сельскохозяйственного назначения являются деградация пахотных земель, недостаточно эффективное использование орошаемых земель, значительный износ оросительных и дренажных систем, сопровождающийся ухудшением мелиоративного состояния земель.</w:t>
      </w:r>
    </w:p>
    <w:bookmarkEnd w:id="27"/>
    <w:bookmarkStart w:name="z34" w:id="28"/>
    <w:p>
      <w:pPr>
        <w:spacing w:after="0"/>
        <w:ind w:left="0"/>
        <w:jc w:val="both"/>
      </w:pPr>
      <w:r>
        <w:rPr>
          <w:rFonts w:ascii="Times New Roman"/>
          <w:b w:val="false"/>
          <w:i w:val="false"/>
          <w:color w:val="000000"/>
          <w:sz w:val="28"/>
        </w:rPr>
        <w:t>
      Площадь земель сельскохозяйственного назначения увеличилась на 11,4 %, с 93,3 млн. га в 2010 году до 104,1 млн. га в 2017 году.</w:t>
      </w:r>
    </w:p>
    <w:bookmarkEnd w:id="28"/>
    <w:bookmarkStart w:name="z35" w:id="29"/>
    <w:p>
      <w:pPr>
        <w:spacing w:after="0"/>
        <w:ind w:left="0"/>
        <w:jc w:val="both"/>
      </w:pPr>
      <w:r>
        <w:rPr>
          <w:rFonts w:ascii="Times New Roman"/>
          <w:b w:val="false"/>
          <w:i w:val="false"/>
          <w:color w:val="000000"/>
          <w:sz w:val="28"/>
        </w:rPr>
        <w:t>
      Доля пашни от общей площади территории страны составляет 9,3 %. В 2017 году площадь пашни составляла 25,2 млн. га, в сравнении с 2010 годом (24,2 млн. га) увеличилась на 4,4 %.</w:t>
      </w:r>
    </w:p>
    <w:bookmarkEnd w:id="29"/>
    <w:bookmarkStart w:name="z36" w:id="30"/>
    <w:p>
      <w:pPr>
        <w:spacing w:after="0"/>
        <w:ind w:left="0"/>
        <w:jc w:val="both"/>
      </w:pPr>
      <w:r>
        <w:rPr>
          <w:rFonts w:ascii="Times New Roman"/>
          <w:b w:val="false"/>
          <w:i w:val="false"/>
          <w:color w:val="000000"/>
          <w:sz w:val="28"/>
        </w:rPr>
        <w:t>
      Площадь земель, подверженных водной эрозии, составляла в 2015 году 4,9 млн. га, по сравнению с 2010 годом (1,0 млн. га) увеличилась в 4,8 раза. В 2015 году площадь земель, подверженных ветровой эрозии, составляла 24,2 млн. га и увеличилась в 41 раз по сравнению с 2010 годом (0,6 млн. га).</w:t>
      </w:r>
      <w:r>
        <w:rPr>
          <w:rFonts w:ascii="Times New Roman"/>
          <w:b w:val="false"/>
          <w:i w:val="false"/>
          <w:color w:val="000000"/>
          <w:vertAlign w:val="superscript"/>
        </w:rPr>
        <w:t>1</w:t>
      </w:r>
    </w:p>
    <w:bookmarkEnd w:id="30"/>
    <w:bookmarkStart w:name="z37" w:id="31"/>
    <w:p>
      <w:pPr>
        <w:spacing w:after="0"/>
        <w:ind w:left="0"/>
        <w:jc w:val="both"/>
      </w:pPr>
      <w:r>
        <w:rPr>
          <w:rFonts w:ascii="Times New Roman"/>
          <w:b w:val="false"/>
          <w:i w:val="false"/>
          <w:color w:val="000000"/>
          <w:sz w:val="28"/>
        </w:rPr>
        <w:t>
      За период 2010 - 2017 годов площадь орошаемых земель увеличилась с 2,1 до 2,2 млн. га или на 4,6 %. Наименее обеспечены орошаемыми землями Акмолинская (31 тыс. га.), Актюбинская (28,1), Атырауская (21,8), Северо- Казахстанская (17) и Мангистауская (2,3) области.</w:t>
      </w:r>
    </w:p>
    <w:bookmarkEnd w:id="31"/>
    <w:bookmarkStart w:name="z38" w:id="32"/>
    <w:p>
      <w:pPr>
        <w:spacing w:after="0"/>
        <w:ind w:left="0"/>
        <w:jc w:val="both"/>
      </w:pPr>
      <w:r>
        <w:rPr>
          <w:rFonts w:ascii="Times New Roman"/>
          <w:b w:val="false"/>
          <w:i w:val="false"/>
          <w:color w:val="000000"/>
          <w:sz w:val="28"/>
        </w:rPr>
        <w:t>
      Доля пастбищ от общей площади территории республики составляет 68,4 %. Площадь пастбищ в 2017 году составляла 186,4 млн. га, что на 1,02 % меньше чем в 2010 году (188,3 млн. га).</w:t>
      </w:r>
    </w:p>
    <w:bookmarkEnd w:id="32"/>
    <w:bookmarkStart w:name="z39" w:id="33"/>
    <w:p>
      <w:pPr>
        <w:spacing w:after="0"/>
        <w:ind w:left="0"/>
        <w:jc w:val="both"/>
      </w:pPr>
      <w:r>
        <w:rPr>
          <w:rFonts w:ascii="Times New Roman"/>
          <w:b w:val="false"/>
          <w:i w:val="false"/>
          <w:color w:val="000000"/>
          <w:sz w:val="28"/>
        </w:rPr>
        <w:t>
      В 2018 году площадь земель запаса составляла 96,7 млн. га, и по сравнению с 2010 годом (111,8 млн. га) уменьшилась на 13,5 %.</w:t>
      </w:r>
    </w:p>
    <w:bookmarkEnd w:id="33"/>
    <w:bookmarkStart w:name="z40" w:id="34"/>
    <w:p>
      <w:pPr>
        <w:spacing w:after="0"/>
        <w:ind w:left="0"/>
        <w:jc w:val="both"/>
      </w:pPr>
      <w:r>
        <w:rPr>
          <w:rFonts w:ascii="Times New Roman"/>
          <w:b w:val="false"/>
          <w:i w:val="false"/>
          <w:color w:val="000000"/>
          <w:sz w:val="28"/>
        </w:rPr>
        <w:t>
      Наибольшая доля эродированных сельскохозяйственных угодий (более 30 % от их общей площади) находится в Алматинской, Атырауской и Туркестанской областях.</w:t>
      </w:r>
    </w:p>
    <w:bookmarkEnd w:id="34"/>
    <w:bookmarkStart w:name="z41" w:id="35"/>
    <w:p>
      <w:pPr>
        <w:spacing w:after="0"/>
        <w:ind w:left="0"/>
        <w:jc w:val="both"/>
      </w:pPr>
      <w:r>
        <w:rPr>
          <w:rFonts w:ascii="Times New Roman"/>
          <w:b w:val="false"/>
          <w:i w:val="false"/>
          <w:color w:val="000000"/>
          <w:sz w:val="28"/>
        </w:rPr>
        <w:t>
      На конец 2016 года в республике насчитывалось 248,3 тыс. гектаров земель, нарушенных в ходе строительства промышленных объектов, линейных сооружений и других предприятий, при разработке месторождений полезных ископаемых, их переработке и проведении геологоразведочных работ, из них 51 тыс. га отработаны и подлежат рекультивации.</w:t>
      </w:r>
    </w:p>
    <w:bookmarkEnd w:id="35"/>
    <w:bookmarkStart w:name="z42" w:id="36"/>
    <w:p>
      <w:pPr>
        <w:spacing w:after="0"/>
        <w:ind w:left="0"/>
        <w:jc w:val="both"/>
      </w:pPr>
      <w:r>
        <w:rPr>
          <w:rFonts w:ascii="Times New Roman"/>
          <w:b w:val="false"/>
          <w:i w:val="false"/>
          <w:color w:val="000000"/>
          <w:sz w:val="28"/>
        </w:rPr>
        <w:t>
      В региональном плане наибольшее количество нарушенных земель находится в трех областях, в Мангистауской - 78,6 тыс. га, Карагандинской -45,3 тыс. га и Костанайской - 37,8 тыс. га. Всего в республике числится 3 346 предприятий и организаций, имеющих на своей территории нарушенные земли.</w:t>
      </w:r>
    </w:p>
    <w:bookmarkEnd w:id="36"/>
    <w:bookmarkStart w:name="z43" w:id="37"/>
    <w:p>
      <w:pPr>
        <w:spacing w:after="0"/>
        <w:ind w:left="0"/>
        <w:jc w:val="both"/>
      </w:pPr>
      <w:r>
        <w:rPr>
          <w:rFonts w:ascii="Times New Roman"/>
          <w:b w:val="false"/>
          <w:i w:val="false"/>
          <w:color w:val="000000"/>
          <w:sz w:val="28"/>
        </w:rPr>
        <w:t>
      ________________________________________________________________</w:t>
      </w:r>
    </w:p>
    <w:bookmarkEnd w:id="37"/>
    <w:bookmarkStart w:name="z44"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По данным Комитета по управлению земельными ресурсами Министерства сельского хозяйства Республики Казахстан обследование проводится 1 раз в 5 лет.</w:t>
      </w:r>
    </w:p>
    <w:bookmarkEnd w:id="38"/>
    <w:bookmarkStart w:name="z45" w:id="39"/>
    <w:p>
      <w:pPr>
        <w:spacing w:after="0"/>
        <w:ind w:left="0"/>
        <w:jc w:val="both"/>
      </w:pPr>
      <w:r>
        <w:rPr>
          <w:rFonts w:ascii="Times New Roman"/>
          <w:b w:val="false"/>
          <w:i w:val="false"/>
          <w:color w:val="000000"/>
          <w:sz w:val="28"/>
        </w:rPr>
        <w:t>
      Ожидается, что при дальнейшем повышении среднегодовой температуры усилится проблема опустынивания земель. Произойдет сдвиг сельскохозяйственных зон Казахстана на север, что негативно отразится на объемах производства в сельском хозяйстве.</w:t>
      </w:r>
    </w:p>
    <w:bookmarkEnd w:id="39"/>
    <w:bookmarkStart w:name="z46" w:id="40"/>
    <w:p>
      <w:pPr>
        <w:spacing w:after="0"/>
        <w:ind w:left="0"/>
        <w:jc w:val="both"/>
      </w:pPr>
      <w:r>
        <w:rPr>
          <w:rFonts w:ascii="Times New Roman"/>
          <w:b w:val="false"/>
          <w:i w:val="false"/>
          <w:color w:val="000000"/>
          <w:sz w:val="28"/>
        </w:rPr>
        <w:t>
      Недостаточность мер по сохранению и улучшению качества земель может стать ограничением для дальнейшего развития агропромышленного комплекса как драйвера экономического роста.</w:t>
      </w:r>
    </w:p>
    <w:bookmarkEnd w:id="40"/>
    <w:bookmarkStart w:name="z47" w:id="41"/>
    <w:p>
      <w:pPr>
        <w:spacing w:after="0"/>
        <w:ind w:left="0"/>
        <w:jc w:val="both"/>
      </w:pPr>
      <w:r>
        <w:rPr>
          <w:rFonts w:ascii="Times New Roman"/>
          <w:b w:val="false"/>
          <w:i w:val="false"/>
          <w:color w:val="000000"/>
          <w:sz w:val="28"/>
        </w:rPr>
        <w:t>
      Также необходимо уделять повышенное внимание оценке и сохранению целостности экосистемы, "зеленой" инфраструктуры</w:t>
      </w:r>
      <w:r>
        <w:rPr>
          <w:rFonts w:ascii="Times New Roman"/>
          <w:b w:val="false"/>
          <w:i w:val="false"/>
          <w:color w:val="000000"/>
          <w:vertAlign w:val="superscript"/>
        </w:rPr>
        <w:t>2</w:t>
      </w:r>
      <w:r>
        <w:rPr>
          <w:rFonts w:ascii="Times New Roman"/>
          <w:b w:val="false"/>
          <w:i w:val="false"/>
          <w:color w:val="000000"/>
          <w:sz w:val="28"/>
        </w:rPr>
        <w:t>, земель лесного фонда как элементов обеспечения высокого качества жизни населения. По итогам 2018 года площадь лесного фонда составила 29,8 млн. га (4,7 % от территорий страны), увеличившись по сравнению с 2010 годом на 1,1 млн. га. Наибольшие площади лесных земель сосредоточены в Кызылординской (6,7 млн. га), Алматинской (5,3 млн. га), Жамбылской (4,4 млн. га), Восточно-Казахстанской (3,7 млн. га) и Туркестанской (3,4 млн. га) областях. При этом позиции показателя лесистости территории несколько смещены. В частности, в Жамбылской области самая высокая лесистость территории - 15,5 %, далее идут Туркестанская - 13,9 %, Кызылординская - 13,6 %, Алматинская - 8,4 % области.</w:t>
      </w:r>
    </w:p>
    <w:bookmarkEnd w:id="41"/>
    <w:bookmarkStart w:name="z48" w:id="42"/>
    <w:p>
      <w:pPr>
        <w:spacing w:after="0"/>
        <w:ind w:left="0"/>
        <w:jc w:val="both"/>
      </w:pPr>
      <w:r>
        <w:rPr>
          <w:rFonts w:ascii="Times New Roman"/>
          <w:b w:val="false"/>
          <w:i w:val="false"/>
          <w:color w:val="000000"/>
          <w:sz w:val="28"/>
        </w:rPr>
        <w:t>
      Необходимо продолжить восстановление ленточных сосновых боров Прииртышья на базе природных резерватов "Ертыс Орманы" и "Семей Орманы" (Павлодарская и Восточно-Казахстанская области), лесоразведение на осушенном дне Аральского моря и фитолесомелиорацию в Кызылординской области.</w:t>
      </w:r>
    </w:p>
    <w:bookmarkEnd w:id="42"/>
    <w:bookmarkStart w:name="z49" w:id="43"/>
    <w:p>
      <w:pPr>
        <w:spacing w:after="0"/>
        <w:ind w:left="0"/>
        <w:jc w:val="both"/>
      </w:pPr>
      <w:r>
        <w:rPr>
          <w:rFonts w:ascii="Times New Roman"/>
          <w:b w:val="false"/>
          <w:i w:val="false"/>
          <w:color w:val="000000"/>
          <w:sz w:val="28"/>
        </w:rPr>
        <w:t>
      Кроме того, необходимо продолжить работы по увеличению воспроизводства лесов и лесоразведения до 2030 года.</w:t>
      </w:r>
    </w:p>
    <w:bookmarkEnd w:id="43"/>
    <w:bookmarkStart w:name="z50" w:id="44"/>
    <w:p>
      <w:pPr>
        <w:spacing w:after="0"/>
        <w:ind w:left="0"/>
        <w:jc w:val="both"/>
      </w:pPr>
      <w:r>
        <w:rPr>
          <w:rFonts w:ascii="Times New Roman"/>
          <w:b w:val="false"/>
          <w:i w:val="false"/>
          <w:color w:val="000000"/>
          <w:sz w:val="28"/>
        </w:rPr>
        <w:t>
      На территориально-пространственное развитие продолжают оказывать значительное влияние проблемы нарастающего дефицита и нерационального использования водных ресурсов, загрязнения поверхностных и подземных вод, межгосударственного вододеления трансграничных рек. Наиболее дефицитными по подземным водам являются Нура-Сарысуский, Есильский, Тобол-Торгайские бассейны. Значительные территории Есильского, Жайык- Каспийского, Арало-Сырдарьинского, Тобол-Торгайского и Нура-Сарысуского бассейнов испытывают дефицит как в поверхностных, так и в подземных водах.</w:t>
      </w:r>
    </w:p>
    <w:bookmarkEnd w:id="44"/>
    <w:bookmarkStart w:name="z51" w:id="45"/>
    <w:p>
      <w:pPr>
        <w:spacing w:after="0"/>
        <w:ind w:left="0"/>
        <w:jc w:val="both"/>
      </w:pPr>
      <w:r>
        <w:rPr>
          <w:rFonts w:ascii="Times New Roman"/>
          <w:b w:val="false"/>
          <w:i w:val="false"/>
          <w:color w:val="000000"/>
          <w:sz w:val="28"/>
        </w:rPr>
        <w:t>
      Для снижения риска потенциального дефицита водных ресурсов необходимо продолжить разработку и внедрение мер по водосбережению в сельском хозяйстве, промышленности и коммунальном секторе.</w:t>
      </w:r>
    </w:p>
    <w:bookmarkEnd w:id="45"/>
    <w:bookmarkStart w:name="z52" w:id="46"/>
    <w:p>
      <w:pPr>
        <w:spacing w:after="0"/>
        <w:ind w:left="0"/>
        <w:jc w:val="both"/>
      </w:pPr>
      <w:r>
        <w:rPr>
          <w:rFonts w:ascii="Times New Roman"/>
          <w:b w:val="false"/>
          <w:i w:val="false"/>
          <w:color w:val="000000"/>
          <w:sz w:val="28"/>
        </w:rPr>
        <w:t>
      В стране имеются 8 бассейнов поверхностных вод, при этом Атырауская, Мангистауская и Карагандинская области в наибольшей степени испытывают дефицит воды. В связи с этим, необходимо рассмотреть вопрос разработки экономичных технических решений по переброске водных ресурсов в вододефицитные бассейны и использованию возобновляемых подземных источников.</w:t>
      </w:r>
    </w:p>
    <w:bookmarkEnd w:id="46"/>
    <w:bookmarkStart w:name="z53" w:id="47"/>
    <w:p>
      <w:pPr>
        <w:spacing w:after="0"/>
        <w:ind w:left="0"/>
        <w:jc w:val="both"/>
      </w:pPr>
      <w:r>
        <w:rPr>
          <w:rFonts w:ascii="Times New Roman"/>
          <w:b w:val="false"/>
          <w:i w:val="false"/>
          <w:color w:val="000000"/>
          <w:sz w:val="28"/>
        </w:rPr>
        <w:t>
      _____________________________________________________________</w:t>
      </w:r>
    </w:p>
    <w:bookmarkEnd w:id="47"/>
    <w:bookmarkStart w:name="z54"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"Зеленая" инфраструктура, как экосистема, имеет стратегическое значение для жизнедеятельности человека, включая в себя лесные и природные зоны, парки, элементы ландшафта.</w:t>
      </w:r>
    </w:p>
    <w:bookmarkEnd w:id="48"/>
    <w:bookmarkStart w:name="z55" w:id="49"/>
    <w:p>
      <w:pPr>
        <w:spacing w:after="0"/>
        <w:ind w:left="0"/>
        <w:jc w:val="both"/>
      </w:pPr>
      <w:r>
        <w:rPr>
          <w:rFonts w:ascii="Times New Roman"/>
          <w:b w:val="false"/>
          <w:i w:val="false"/>
          <w:color w:val="000000"/>
          <w:sz w:val="28"/>
        </w:rPr>
        <w:t>
      Для предотвращения снижения доступных водных ресурсов на постоянной основе необходимо поддерживать контакты со всеми приграничными государствами в рамках соглашений по трансграничным рекам. Также, исходя из потребности, необходимо реализовать мероприятия по строительству новых объектов инфраструктуры для увеличения многолетних доступных запасов воды.</w:t>
      </w:r>
    </w:p>
    <w:bookmarkEnd w:id="49"/>
    <w:bookmarkStart w:name="z56" w:id="50"/>
    <w:p>
      <w:pPr>
        <w:spacing w:after="0"/>
        <w:ind w:left="0"/>
        <w:jc w:val="both"/>
      </w:pPr>
      <w:r>
        <w:rPr>
          <w:rFonts w:ascii="Times New Roman"/>
          <w:b w:val="false"/>
          <w:i w:val="false"/>
          <w:color w:val="000000"/>
          <w:sz w:val="28"/>
        </w:rPr>
        <w:t xml:space="preserve">
      </w:t>
      </w:r>
      <w:r>
        <w:rPr>
          <w:rFonts w:ascii="Times New Roman"/>
          <w:b/>
          <w:i w:val="false"/>
          <w:color w:val="000000"/>
          <w:sz w:val="28"/>
        </w:rPr>
        <w:t>Нефтяная, газовая, угольная промышленность</w:t>
      </w:r>
    </w:p>
    <w:bookmarkEnd w:id="50"/>
    <w:bookmarkStart w:name="z57" w:id="51"/>
    <w:p>
      <w:pPr>
        <w:spacing w:after="0"/>
        <w:ind w:left="0"/>
        <w:jc w:val="both"/>
      </w:pPr>
      <w:r>
        <w:rPr>
          <w:rFonts w:ascii="Times New Roman"/>
          <w:b w:val="false"/>
          <w:i w:val="false"/>
          <w:color w:val="000000"/>
          <w:sz w:val="28"/>
        </w:rPr>
        <w:t>
      За 2010-2017 годы снизились объемы добычи сырой нефти, в том числе в Актюбинской на 28,8 %, Западно-Казахстанской - на 31,7 %, Кызылординской -на 38,9 % и Мангистауской - на 2,9 % областях.</w:t>
      </w:r>
    </w:p>
    <w:bookmarkEnd w:id="51"/>
    <w:bookmarkStart w:name="z58" w:id="52"/>
    <w:p>
      <w:pPr>
        <w:spacing w:after="0"/>
        <w:ind w:left="0"/>
        <w:jc w:val="both"/>
      </w:pPr>
      <w:r>
        <w:rPr>
          <w:rFonts w:ascii="Times New Roman"/>
          <w:b w:val="false"/>
          <w:i w:val="false"/>
          <w:color w:val="000000"/>
          <w:sz w:val="28"/>
        </w:rPr>
        <w:t>
      В перспективе, согласно прогнозам Министерства энергетики Республики Казахстан по добыче нефти до 2030 года, ожидается снижение по отношению к 2018 году в Кызылординской области на 63 %, Атырауской области - на 33 %, Мангистауской области - на 23 %, Западно-Казахстанской области - на 10 %, Актюбинской области - на 4,3 %. В связи с сохранением тенденций истощения природных ресурсов в данных регионах потребуется принятие мер по дальнейшей диверсификации экономики регионов, созданию рабочих мест в других отраслях, в ответ на возможное высвобождение трудовых ресурсов и сокращение поступлений в бюджет. Кроме того, необходимо предусмотреть комплекс мер по содействию добровольному переселению.</w:t>
      </w:r>
    </w:p>
    <w:bookmarkEnd w:id="52"/>
    <w:bookmarkStart w:name="z59" w:id="53"/>
    <w:p>
      <w:pPr>
        <w:spacing w:after="0"/>
        <w:ind w:left="0"/>
        <w:jc w:val="both"/>
      </w:pPr>
      <w:r>
        <w:rPr>
          <w:rFonts w:ascii="Times New Roman"/>
          <w:b w:val="false"/>
          <w:i w:val="false"/>
          <w:color w:val="000000"/>
          <w:sz w:val="28"/>
        </w:rPr>
        <w:t>
      В целом к 2030 году прогноз добычи нефти, по данным Министерства энергетики Республики Казахстан, составит 105 млн. тонн (2018 год - 90,4 млн. тонн) с учетом добычи на море (39,8 млн. тонн).</w:t>
      </w:r>
    </w:p>
    <w:bookmarkEnd w:id="53"/>
    <w:bookmarkStart w:name="z60" w:id="54"/>
    <w:p>
      <w:pPr>
        <w:spacing w:after="0"/>
        <w:ind w:left="0"/>
        <w:jc w:val="both"/>
      </w:pPr>
      <w:r>
        <w:rPr>
          <w:rFonts w:ascii="Times New Roman"/>
          <w:b w:val="false"/>
          <w:i w:val="false"/>
          <w:color w:val="000000"/>
          <w:sz w:val="28"/>
        </w:rPr>
        <w:t>
      В 2018 году добыча природного газа в стране достигла 55,5 млрд. куб. м, что на 48,4 % больше, чем в 2010 году (37,4 млрд. куб. м).</w:t>
      </w:r>
    </w:p>
    <w:bookmarkEnd w:id="54"/>
    <w:bookmarkStart w:name="z61" w:id="55"/>
    <w:p>
      <w:pPr>
        <w:spacing w:after="0"/>
        <w:ind w:left="0"/>
        <w:jc w:val="both"/>
      </w:pPr>
      <w:r>
        <w:rPr>
          <w:rFonts w:ascii="Times New Roman"/>
          <w:b w:val="false"/>
          <w:i w:val="false"/>
          <w:color w:val="000000"/>
          <w:sz w:val="28"/>
        </w:rPr>
        <w:t>
      К 2030 году прогноз добычи газа, по данным Министерства энергетики Республики Казахстан, составит 80,6 млрд. куб. м.</w:t>
      </w:r>
    </w:p>
    <w:bookmarkEnd w:id="55"/>
    <w:bookmarkStart w:name="z62" w:id="56"/>
    <w:p>
      <w:pPr>
        <w:spacing w:after="0"/>
        <w:ind w:left="0"/>
        <w:jc w:val="both"/>
      </w:pPr>
      <w:r>
        <w:rPr>
          <w:rFonts w:ascii="Times New Roman"/>
          <w:b w:val="false"/>
          <w:i w:val="false"/>
          <w:color w:val="000000"/>
          <w:sz w:val="28"/>
        </w:rPr>
        <w:t>
      Для дальнейшего развития газовой промышленности необходима в первую очередь модернизация газотранспортной инфраструктуры.</w:t>
      </w:r>
    </w:p>
    <w:bookmarkEnd w:id="56"/>
    <w:bookmarkStart w:name="z63" w:id="57"/>
    <w:p>
      <w:pPr>
        <w:spacing w:after="0"/>
        <w:ind w:left="0"/>
        <w:jc w:val="both"/>
      </w:pPr>
      <w:r>
        <w:rPr>
          <w:rFonts w:ascii="Times New Roman"/>
          <w:b w:val="false"/>
          <w:i w:val="false"/>
          <w:color w:val="000000"/>
          <w:sz w:val="28"/>
        </w:rPr>
        <w:t>
      Угледобывающими регионами являются Карагандинская, Павлодарская, Восточно-Казахстанская и Костанайская области.</w:t>
      </w:r>
    </w:p>
    <w:bookmarkEnd w:id="57"/>
    <w:bookmarkStart w:name="z64" w:id="58"/>
    <w:p>
      <w:pPr>
        <w:spacing w:after="0"/>
        <w:ind w:left="0"/>
        <w:jc w:val="both"/>
      </w:pPr>
      <w:r>
        <w:rPr>
          <w:rFonts w:ascii="Times New Roman"/>
          <w:b w:val="false"/>
          <w:i w:val="false"/>
          <w:color w:val="000000"/>
          <w:sz w:val="28"/>
        </w:rPr>
        <w:t>
      В последние годы наблюдается сокращение экспорта угля на 6,6 % (2017 год - 29,2 млн. тонн, 2010 год - 31,3 млн. тонн)</w:t>
      </w:r>
      <w:r>
        <w:rPr>
          <w:rFonts w:ascii="Times New Roman"/>
          <w:b w:val="false"/>
          <w:i w:val="false"/>
          <w:color w:val="000000"/>
          <w:vertAlign w:val="superscript"/>
        </w:rPr>
        <w:t>3</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Основными причинами дальнейшего снижения объемов производства угольной промышленности являются сокращение экспорта, дальнейшая газификация страны, развитие возобновляемых источников энергии (далее - ВИЭ), повышение экологических требований.</w:t>
      </w:r>
    </w:p>
    <w:bookmarkEnd w:id="59"/>
    <w:bookmarkStart w:name="z66" w:id="60"/>
    <w:p>
      <w:pPr>
        <w:spacing w:after="0"/>
        <w:ind w:left="0"/>
        <w:jc w:val="both"/>
      </w:pPr>
      <w:r>
        <w:rPr>
          <w:rFonts w:ascii="Times New Roman"/>
          <w:b w:val="false"/>
          <w:i w:val="false"/>
          <w:color w:val="000000"/>
          <w:sz w:val="28"/>
        </w:rPr>
        <w:t>
      _________________________________________________________</w:t>
      </w:r>
    </w:p>
    <w:bookmarkEnd w:id="60"/>
    <w:bookmarkStart w:name="z67" w:id="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сборник Топливно-энергетический баланс Республики Казахстан.</w:t>
      </w:r>
    </w:p>
    <w:bookmarkEnd w:id="61"/>
    <w:bookmarkStart w:name="z68" w:id="62"/>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Автомобильные дороги, железнодорожный, воздушный и водный транспорт</w:t>
      </w:r>
    </w:p>
    <w:bookmarkEnd w:id="62"/>
    <w:bookmarkStart w:name="z69" w:id="63"/>
    <w:p>
      <w:pPr>
        <w:spacing w:after="0"/>
        <w:ind w:left="0"/>
        <w:jc w:val="both"/>
      </w:pPr>
      <w:r>
        <w:rPr>
          <w:rFonts w:ascii="Times New Roman"/>
          <w:b w:val="false"/>
          <w:i w:val="false"/>
          <w:color w:val="000000"/>
          <w:sz w:val="28"/>
        </w:rPr>
        <w:t>
      Территориально-связующая инфраструктура характеризуется увеличением доли автомобильных дорог республиканского значения, находящихся в хорошем и удовлетворительном состоянии, до 87 % в 2018 году.</w:t>
      </w:r>
    </w:p>
    <w:bookmarkEnd w:id="63"/>
    <w:bookmarkStart w:name="z70" w:id="64"/>
    <w:p>
      <w:pPr>
        <w:spacing w:after="0"/>
        <w:ind w:left="0"/>
        <w:jc w:val="both"/>
      </w:pPr>
      <w:r>
        <w:rPr>
          <w:rFonts w:ascii="Times New Roman"/>
          <w:b w:val="false"/>
          <w:i w:val="false"/>
          <w:color w:val="000000"/>
          <w:sz w:val="28"/>
        </w:rPr>
        <w:t>
      Сохраняется высокая доля местных дорог в неудовлетворительном состоянии в Западно-Казахстанской (71,3 %), Актюбинской (47 %), Атырауской (46 %) и Северо-Казахстанской (39 %) областях. Развитие сети местных дорог должно быть направлено на улучшение связанности райцентров с опорными сельскими населенными пунктами и городами областей.</w:t>
      </w:r>
    </w:p>
    <w:bookmarkEnd w:id="64"/>
    <w:bookmarkStart w:name="z71" w:id="65"/>
    <w:p>
      <w:pPr>
        <w:spacing w:after="0"/>
        <w:ind w:left="0"/>
        <w:jc w:val="both"/>
      </w:pPr>
      <w:r>
        <w:rPr>
          <w:rFonts w:ascii="Times New Roman"/>
          <w:b w:val="false"/>
          <w:i w:val="false"/>
          <w:color w:val="000000"/>
          <w:sz w:val="28"/>
        </w:rPr>
        <w:t>
      С 2010 года реализованы крупные проекты по строительству железных дорог: "Узень - государственная граница с Туркменистаном" - 146 км, "Жетыген - Коргас" - 293 км, "Жезказган - Бейнеу" - 1036 км, "Боржакты - Ерсай" - 14 км, "Аркалык - Шубарколь" - 214 км, а также вторые пути "Алматы - Шу" - 112 км.</w:t>
      </w:r>
    </w:p>
    <w:bookmarkEnd w:id="65"/>
    <w:bookmarkStart w:name="z72" w:id="66"/>
    <w:p>
      <w:pPr>
        <w:spacing w:after="0"/>
        <w:ind w:left="0"/>
        <w:jc w:val="both"/>
      </w:pPr>
      <w:r>
        <w:rPr>
          <w:rFonts w:ascii="Times New Roman"/>
          <w:b w:val="false"/>
          <w:i w:val="false"/>
          <w:color w:val="000000"/>
          <w:sz w:val="28"/>
        </w:rPr>
        <w:t>
      Наблюдается рост и востребованность железнодорожных перевозок. В 2018 году перевезено грузобагажа на 272 млн. тонн, что на 1,5 % больше чем в 2010 году (267,9 млн. тонн). Перевезено пассажиров в 2018 году 22,9 млн. человек, что по сравнению с 2010 годом (19,5 млн. человек) больше на 17,4 %.</w:t>
      </w:r>
    </w:p>
    <w:bookmarkEnd w:id="66"/>
    <w:bookmarkStart w:name="z73" w:id="67"/>
    <w:p>
      <w:pPr>
        <w:spacing w:after="0"/>
        <w:ind w:left="0"/>
        <w:jc w:val="both"/>
      </w:pPr>
      <w:r>
        <w:rPr>
          <w:rFonts w:ascii="Times New Roman"/>
          <w:b w:val="false"/>
          <w:i w:val="false"/>
          <w:color w:val="000000"/>
          <w:sz w:val="28"/>
        </w:rPr>
        <w:t>
      Основными ограничениями дальнейшего развития железнодорожного транспорта остается высокий износ основных активов, в том числе магистральной железнодорожной сети - 58 % (2018 год) и парка пассажирских вагонов - 46 % (2018 год).</w:t>
      </w:r>
    </w:p>
    <w:bookmarkEnd w:id="67"/>
    <w:bookmarkStart w:name="z74" w:id="68"/>
    <w:p>
      <w:pPr>
        <w:spacing w:after="0"/>
        <w:ind w:left="0"/>
        <w:jc w:val="both"/>
      </w:pPr>
      <w:r>
        <w:rPr>
          <w:rFonts w:ascii="Times New Roman"/>
          <w:b w:val="false"/>
          <w:i w:val="false"/>
          <w:color w:val="000000"/>
          <w:sz w:val="28"/>
        </w:rPr>
        <w:t>
      Существующие проблемы в железнодорожной отрасли в перспективе могут привести к снижению эффективности функционирования транспортной инфраструктуры, негативно отразиться на развитии транзитного потенциала.</w:t>
      </w:r>
    </w:p>
    <w:bookmarkEnd w:id="68"/>
    <w:bookmarkStart w:name="z75" w:id="69"/>
    <w:p>
      <w:pPr>
        <w:spacing w:after="0"/>
        <w:ind w:left="0"/>
        <w:jc w:val="both"/>
      </w:pPr>
      <w:r>
        <w:rPr>
          <w:rFonts w:ascii="Times New Roman"/>
          <w:b w:val="false"/>
          <w:i w:val="false"/>
          <w:color w:val="000000"/>
          <w:sz w:val="28"/>
        </w:rPr>
        <w:t>
      Наблюдаются рост и востребованность услуг авиаперевозок. Так, количество перевезенных пассажиров увеличилось в 2,2 раза, до 7,4 млн. человек в 2017 году (2010 год - 3,4 млн. человек).</w:t>
      </w:r>
    </w:p>
    <w:bookmarkEnd w:id="69"/>
    <w:bookmarkStart w:name="z76" w:id="70"/>
    <w:p>
      <w:pPr>
        <w:spacing w:after="0"/>
        <w:ind w:left="0"/>
        <w:jc w:val="both"/>
      </w:pPr>
      <w:r>
        <w:rPr>
          <w:rFonts w:ascii="Times New Roman"/>
          <w:b w:val="false"/>
          <w:i w:val="false"/>
          <w:color w:val="000000"/>
          <w:sz w:val="28"/>
        </w:rPr>
        <w:t>
      В целом все регионы страны охвачены воздушным сообщением с крупными региональными центрами - городами Нур-Султан и Алматы. Однако имеет место низкий охват воздушным сообщением между самими регионами.</w:t>
      </w:r>
    </w:p>
    <w:bookmarkEnd w:id="70"/>
    <w:bookmarkStart w:name="z77" w:id="71"/>
    <w:p>
      <w:pPr>
        <w:spacing w:after="0"/>
        <w:ind w:left="0"/>
        <w:jc w:val="both"/>
      </w:pPr>
      <w:r>
        <w:rPr>
          <w:rFonts w:ascii="Times New Roman"/>
          <w:b w:val="false"/>
          <w:i w:val="false"/>
          <w:color w:val="000000"/>
          <w:sz w:val="28"/>
        </w:rPr>
        <w:t>
      Всего по стране действуют 18 аэропортов республиканского и областного значения. Из 17 аэропортов, допущенных к обслуживанию международных рейсов, 16 соответствуют стандартам ICAO</w:t>
      </w:r>
      <w:r>
        <w:rPr>
          <w:rFonts w:ascii="Times New Roman"/>
          <w:b w:val="false"/>
          <w:i w:val="false"/>
          <w:color w:val="000000"/>
          <w:vertAlign w:val="superscript"/>
        </w:rPr>
        <w:t>4</w:t>
      </w:r>
      <w:r>
        <w:rPr>
          <w:rFonts w:ascii="Times New Roman"/>
          <w:b w:val="false"/>
          <w:i w:val="false"/>
          <w:color w:val="000000"/>
          <w:sz w:val="28"/>
        </w:rPr>
        <w:t>. В целях расширения международных связей Казахстана, акцент должен быть сделан на развитие авиасообщений с мировыми экономическими центрами, такими как: Франкфурт, Лондон, Париж, Амстердам, Стамбул, Дубай, Абу-Даби, Москва, Пекин, Сеул, Дели, Куала-Лумпур, Бангкок и другие. В перспективе прямое авиасообщение будет осуществляться и с городами Соединенных штатов Америки (далее - США) и Японии.</w:t>
      </w:r>
    </w:p>
    <w:bookmarkEnd w:id="71"/>
    <w:bookmarkStart w:name="z78" w:id="72"/>
    <w:p>
      <w:pPr>
        <w:spacing w:after="0"/>
        <w:ind w:left="0"/>
        <w:jc w:val="both"/>
      </w:pPr>
      <w:r>
        <w:rPr>
          <w:rFonts w:ascii="Times New Roman"/>
          <w:b w:val="false"/>
          <w:i w:val="false"/>
          <w:color w:val="000000"/>
          <w:sz w:val="28"/>
        </w:rPr>
        <w:t>
      В целях модернизации инфраструктуры воздушного транспорта был построен новый терминал аэропорта города Нур-Султан, обеспечивающий комфортное обслуживание пассажиров на международных авиалиниях и имеющий возможность обслуживания трансфертных и транзитных пассажиров. В 2018 году завершены работы по реконструкции взлетно-посадочной полосы и аэровокзального комплекса аэропорта города Семея. Также будет продолжена реконструкция взлетно-посадочных полос аэропортов городов Костаная и Усть- Каменогорск.</w:t>
      </w:r>
    </w:p>
    <w:bookmarkEnd w:id="72"/>
    <w:bookmarkStart w:name="z79" w:id="73"/>
    <w:p>
      <w:pPr>
        <w:spacing w:after="0"/>
        <w:ind w:left="0"/>
        <w:jc w:val="both"/>
      </w:pPr>
      <w:r>
        <w:rPr>
          <w:rFonts w:ascii="Times New Roman"/>
          <w:b w:val="false"/>
          <w:i w:val="false"/>
          <w:color w:val="000000"/>
          <w:sz w:val="28"/>
        </w:rPr>
        <w:t>
      __________________________________________________________________</w:t>
      </w:r>
    </w:p>
    <w:bookmarkEnd w:id="73"/>
    <w:bookmarkStart w:name="z80" w:id="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ICAO - Международная организация гражданской авиации (ИКАО от англ. ICAO - International Civil Aviation Organization).</w:t>
      </w:r>
    </w:p>
    <w:bookmarkEnd w:id="74"/>
    <w:bookmarkStart w:name="z81" w:id="75"/>
    <w:p>
      <w:pPr>
        <w:spacing w:after="0"/>
        <w:ind w:left="0"/>
        <w:jc w:val="both"/>
      </w:pPr>
      <w:r>
        <w:rPr>
          <w:rFonts w:ascii="Times New Roman"/>
          <w:b w:val="false"/>
          <w:i w:val="false"/>
          <w:color w:val="000000"/>
          <w:sz w:val="28"/>
        </w:rPr>
        <w:t>
      Планируется реконструкция терминала аэропортов гг. Атырау, Шымкента, Кызылорды, Уральска, Усть-Каменогорска, Костаная.</w:t>
      </w:r>
    </w:p>
    <w:bookmarkEnd w:id="75"/>
    <w:bookmarkStart w:name="z82" w:id="76"/>
    <w:p>
      <w:pPr>
        <w:spacing w:after="0"/>
        <w:ind w:left="0"/>
        <w:jc w:val="both"/>
      </w:pPr>
      <w:r>
        <w:rPr>
          <w:rFonts w:ascii="Times New Roman"/>
          <w:b w:val="false"/>
          <w:i w:val="false"/>
          <w:color w:val="000000"/>
          <w:sz w:val="28"/>
        </w:rPr>
        <w:t>
      Основными проблемами воздушного транспорта остается устаревший парк воздушных судов, неразвитая инфраструктура аэропортов и недостаточный пассажирский спрос.</w:t>
      </w:r>
    </w:p>
    <w:bookmarkEnd w:id="76"/>
    <w:bookmarkStart w:name="z83" w:id="77"/>
    <w:p>
      <w:pPr>
        <w:spacing w:after="0"/>
        <w:ind w:left="0"/>
        <w:jc w:val="both"/>
      </w:pPr>
      <w:r>
        <w:rPr>
          <w:rFonts w:ascii="Times New Roman"/>
          <w:b w:val="false"/>
          <w:i w:val="false"/>
          <w:color w:val="000000"/>
          <w:sz w:val="28"/>
        </w:rPr>
        <w:t>
      По итогам 2018 года морским транспортом перевезено 6,5 млн. тонн грузов, речным транспортом - 1,34 млн. тонн.</w:t>
      </w:r>
    </w:p>
    <w:bookmarkEnd w:id="77"/>
    <w:bookmarkStart w:name="z84" w:id="78"/>
    <w:p>
      <w:pPr>
        <w:spacing w:after="0"/>
        <w:ind w:left="0"/>
        <w:jc w:val="both"/>
      </w:pPr>
      <w:r>
        <w:rPr>
          <w:rFonts w:ascii="Times New Roman"/>
          <w:b w:val="false"/>
          <w:i w:val="false"/>
          <w:color w:val="000000"/>
          <w:sz w:val="28"/>
        </w:rPr>
        <w:t>
      Протяженность внутренних водных путей составляет 4 151 км.</w:t>
      </w:r>
    </w:p>
    <w:bookmarkEnd w:id="78"/>
    <w:bookmarkStart w:name="z85" w:id="79"/>
    <w:p>
      <w:pPr>
        <w:spacing w:after="0"/>
        <w:ind w:left="0"/>
        <w:jc w:val="both"/>
      </w:pPr>
      <w:r>
        <w:rPr>
          <w:rFonts w:ascii="Times New Roman"/>
          <w:b w:val="false"/>
          <w:i w:val="false"/>
          <w:color w:val="000000"/>
          <w:sz w:val="28"/>
        </w:rPr>
        <w:t>
      Функционируют морские порты Актау, Баутино и Курык.</w:t>
      </w:r>
    </w:p>
    <w:bookmarkEnd w:id="79"/>
    <w:bookmarkStart w:name="z86" w:id="80"/>
    <w:p>
      <w:pPr>
        <w:spacing w:after="0"/>
        <w:ind w:left="0"/>
        <w:jc w:val="both"/>
      </w:pPr>
      <w:r>
        <w:rPr>
          <w:rFonts w:ascii="Times New Roman"/>
          <w:b w:val="false"/>
          <w:i w:val="false"/>
          <w:color w:val="000000"/>
          <w:sz w:val="28"/>
        </w:rPr>
        <w:t>
      Действуют Атырауский устьевой порт с выходом в Каспийское море, Павлодарский речной порт (Иртышский бассейн).</w:t>
      </w:r>
    </w:p>
    <w:bookmarkEnd w:id="80"/>
    <w:bookmarkStart w:name="z87" w:id="81"/>
    <w:p>
      <w:pPr>
        <w:spacing w:after="0"/>
        <w:ind w:left="0"/>
        <w:jc w:val="both"/>
      </w:pPr>
      <w:r>
        <w:rPr>
          <w:rFonts w:ascii="Times New Roman"/>
          <w:b w:val="false"/>
          <w:i w:val="false"/>
          <w:color w:val="000000"/>
          <w:sz w:val="28"/>
        </w:rPr>
        <w:t>
      Обновление и ремонт судов обеспечиваются судостроительными и судоремонтными заводами в городах Уральске, Семее, Павлодаре, Усть- Каменогорске. Основными проблемами отрасли являются изношенность судов водного транспорта, нехватка квалифицированных кадров, отсутствие взаимодействия с транспортно-логистическими центрами и другие.</w:t>
      </w:r>
    </w:p>
    <w:bookmarkEnd w:id="81"/>
    <w:bookmarkStart w:name="z88" w:id="82"/>
    <w:p>
      <w:pPr>
        <w:spacing w:after="0"/>
        <w:ind w:left="0"/>
        <w:jc w:val="both"/>
      </w:pPr>
      <w:r>
        <w:rPr>
          <w:rFonts w:ascii="Times New Roman"/>
          <w:b w:val="false"/>
          <w:i w:val="false"/>
          <w:color w:val="000000"/>
          <w:sz w:val="28"/>
        </w:rPr>
        <w:t>
      Меры по развитию водного транспорта в перспективе будут направлены на дальнейшее развитие и модернизацию инфраструктуры морских портов, реконструкцию береговой инфраструктуры, обновление судов водного транспорта и другие.</w:t>
      </w:r>
    </w:p>
    <w:bookmarkEnd w:id="82"/>
    <w:bookmarkStart w:name="z89" w:id="83"/>
    <w:p>
      <w:pPr>
        <w:spacing w:after="0"/>
        <w:ind w:left="0"/>
        <w:jc w:val="both"/>
      </w:pPr>
      <w:r>
        <w:rPr>
          <w:rFonts w:ascii="Times New Roman"/>
          <w:b w:val="false"/>
          <w:i w:val="false"/>
          <w:color w:val="000000"/>
          <w:sz w:val="28"/>
        </w:rPr>
        <w:t xml:space="preserve">
      </w:t>
      </w:r>
      <w:r>
        <w:rPr>
          <w:rFonts w:ascii="Times New Roman"/>
          <w:b/>
          <w:i w:val="false"/>
          <w:color w:val="000000"/>
          <w:sz w:val="28"/>
        </w:rPr>
        <w:t>Инфокоммуникационная инфраструктура</w:t>
      </w:r>
    </w:p>
    <w:bookmarkEnd w:id="83"/>
    <w:bookmarkStart w:name="z90" w:id="84"/>
    <w:p>
      <w:pPr>
        <w:spacing w:after="0"/>
        <w:ind w:left="0"/>
        <w:jc w:val="both"/>
      </w:pPr>
      <w:r>
        <w:rPr>
          <w:rFonts w:ascii="Times New Roman"/>
          <w:b w:val="false"/>
          <w:i w:val="false"/>
          <w:color w:val="000000"/>
          <w:sz w:val="28"/>
        </w:rPr>
        <w:t>
      Плотность абонентов фиксированного Интернета с использованием широкополосного доступа (далее - ШПД) на 100 человек в 2018 году составил 14 единиц и увеличился в 2,5 раза по сравнению с 2010 годом.</w:t>
      </w:r>
    </w:p>
    <w:bookmarkEnd w:id="84"/>
    <w:bookmarkStart w:name="z91" w:id="85"/>
    <w:p>
      <w:pPr>
        <w:spacing w:after="0"/>
        <w:ind w:left="0"/>
        <w:jc w:val="both"/>
      </w:pPr>
      <w:r>
        <w:rPr>
          <w:rFonts w:ascii="Times New Roman"/>
          <w:b w:val="false"/>
          <w:i w:val="false"/>
          <w:color w:val="000000"/>
          <w:sz w:val="28"/>
        </w:rPr>
        <w:t>
      Проблемой инфокоммуникационной инфраструктуры является неполный охват мобильной связью и Интернетом автомобильных и железных дорог, сельских населенных пунктов (4G), что сохраняет цифровое неравенство. В настоящее время ведется работа по обеспечению сельских населенных пунктов широкополосным доступом к сети Интернет с использованием волоконно- оптических линий связи и беспроводных сетей беспроводного радиодоступа LTE (4G), а также сетей связи нового поколения 5G.</w:t>
      </w:r>
    </w:p>
    <w:bookmarkEnd w:id="85"/>
    <w:bookmarkStart w:name="z92" w:id="86"/>
    <w:p>
      <w:pPr>
        <w:spacing w:after="0"/>
        <w:ind w:left="0"/>
        <w:jc w:val="both"/>
      </w:pPr>
      <w:r>
        <w:rPr>
          <w:rFonts w:ascii="Times New Roman"/>
          <w:b w:val="false"/>
          <w:i w:val="false"/>
          <w:color w:val="000000"/>
          <w:sz w:val="28"/>
        </w:rPr>
        <w:t>
      Действуют дата-центры в городах Павлодаре и Алматы. Перспективными для размещения дата-центров будут регионы с избытком электроэнергии и необходимой инфраструктурой.</w:t>
      </w:r>
    </w:p>
    <w:bookmarkEnd w:id="86"/>
    <w:bookmarkStart w:name="z93" w:id="87"/>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Энергообеспеченность</w:t>
      </w:r>
    </w:p>
    <w:bookmarkEnd w:id="87"/>
    <w:bookmarkStart w:name="z94" w:id="88"/>
    <w:p>
      <w:pPr>
        <w:spacing w:after="0"/>
        <w:ind w:left="0"/>
        <w:jc w:val="both"/>
      </w:pPr>
      <w:r>
        <w:rPr>
          <w:rFonts w:ascii="Times New Roman"/>
          <w:b w:val="false"/>
          <w:i w:val="false"/>
          <w:color w:val="000000"/>
          <w:sz w:val="28"/>
        </w:rPr>
        <w:t>
      Энергетика является важным сектором в территориально-пространственном развитии страны, обеспечении бесперебойным энергоснабжением, что является предпосылкой конкурентоспособности экономики.</w:t>
      </w:r>
    </w:p>
    <w:bookmarkEnd w:id="88"/>
    <w:bookmarkStart w:name="z95" w:id="89"/>
    <w:p>
      <w:pPr>
        <w:spacing w:after="0"/>
        <w:ind w:left="0"/>
        <w:jc w:val="both"/>
      </w:pPr>
      <w:r>
        <w:rPr>
          <w:rFonts w:ascii="Times New Roman"/>
          <w:b w:val="false"/>
          <w:i w:val="false"/>
          <w:color w:val="000000"/>
          <w:sz w:val="28"/>
        </w:rPr>
        <w:t>
      С точки зрения качества жизни населения важно, чтобы энергетическая инфраструктура была доступной и устойчивой для людей и производства.</w:t>
      </w:r>
    </w:p>
    <w:bookmarkEnd w:id="89"/>
    <w:bookmarkStart w:name="z96" w:id="90"/>
    <w:p>
      <w:pPr>
        <w:spacing w:after="0"/>
        <w:ind w:left="0"/>
        <w:jc w:val="both"/>
      </w:pPr>
      <w:r>
        <w:rPr>
          <w:rFonts w:ascii="Times New Roman"/>
          <w:b w:val="false"/>
          <w:i w:val="false"/>
          <w:color w:val="000000"/>
          <w:sz w:val="28"/>
        </w:rPr>
        <w:t>
      Единая электроэнергетическая система (далее - ЕЭС) Казахстана работает устойчиво в параллельном режиме с энергосистемами Российской Федерации и стран Центральной Азии. Обеспечена системная надежность, потребность экономики и населения в электроэнергии удовлетворена.</w:t>
      </w:r>
    </w:p>
    <w:bookmarkEnd w:id="90"/>
    <w:bookmarkStart w:name="z97" w:id="91"/>
    <w:p>
      <w:pPr>
        <w:spacing w:after="0"/>
        <w:ind w:left="0"/>
        <w:jc w:val="both"/>
      </w:pPr>
      <w:r>
        <w:rPr>
          <w:rFonts w:ascii="Times New Roman"/>
          <w:b w:val="false"/>
          <w:i w:val="false"/>
          <w:color w:val="000000"/>
          <w:sz w:val="28"/>
        </w:rPr>
        <w:t>
      ЕЭС условно разделена на Северную, Южную и Западную зоны. Согласно Концепции развития топливно-энергетического комплекса Республики Казахстан до 2030 года, Северная зона будет оставаться энергоизбыточной. Ее электрической мощности будет достаточно, чтобы покрывать нехватку мощностей Южной зоны через транзит Север-Юг. Западная зона будет оставаться самобалансирующейся.</w:t>
      </w:r>
    </w:p>
    <w:bookmarkEnd w:id="91"/>
    <w:bookmarkStart w:name="z98" w:id="92"/>
    <w:p>
      <w:pPr>
        <w:spacing w:after="0"/>
        <w:ind w:left="0"/>
        <w:jc w:val="both"/>
      </w:pPr>
      <w:r>
        <w:rPr>
          <w:rFonts w:ascii="Times New Roman"/>
          <w:b w:val="false"/>
          <w:i w:val="false"/>
          <w:color w:val="000000"/>
          <w:sz w:val="28"/>
        </w:rPr>
        <w:t>
      В то же время, одним из важных вопросов выступает потребность в маневренных мощностях. Актуальность данного вопроса усиливается в связи с ежегодным увеличением доли энергоустановок, использующих ВИЭ.</w:t>
      </w:r>
    </w:p>
    <w:bookmarkEnd w:id="92"/>
    <w:bookmarkStart w:name="z99" w:id="93"/>
    <w:p>
      <w:pPr>
        <w:spacing w:after="0"/>
        <w:ind w:left="0"/>
        <w:jc w:val="both"/>
      </w:pPr>
      <w:r>
        <w:rPr>
          <w:rFonts w:ascii="Times New Roman"/>
          <w:b w:val="false"/>
          <w:i w:val="false"/>
          <w:color w:val="000000"/>
          <w:sz w:val="28"/>
        </w:rPr>
        <w:t>
      В республике имеется значительный потенциал по развитию ВИЭ, в том числе ветро-, гидро-, солнечной и геотермальной энергии.</w:t>
      </w:r>
    </w:p>
    <w:bookmarkEnd w:id="93"/>
    <w:bookmarkStart w:name="z100" w:id="94"/>
    <w:p>
      <w:pPr>
        <w:spacing w:after="0"/>
        <w:ind w:left="0"/>
        <w:jc w:val="both"/>
      </w:pPr>
      <w:r>
        <w:rPr>
          <w:rFonts w:ascii="Times New Roman"/>
          <w:b w:val="false"/>
          <w:i w:val="false"/>
          <w:color w:val="000000"/>
          <w:sz w:val="28"/>
        </w:rPr>
        <w:t>
      В 2018 году объектами ВИЭ выработано 1352 млн. кВтч электроэнергии, что составляет 1,27 % в общем объеме производства электроэнергии. Основные гидроэнергетические мощности расположены в Алматинской, Жамбылской, Мангистауской, Северо-Казахстанской и Туркестанской областях.</w:t>
      </w:r>
    </w:p>
    <w:bookmarkEnd w:id="94"/>
    <w:bookmarkStart w:name="z101" w:id="95"/>
    <w:p>
      <w:pPr>
        <w:spacing w:after="0"/>
        <w:ind w:left="0"/>
        <w:jc w:val="both"/>
      </w:pPr>
      <w:r>
        <w:rPr>
          <w:rFonts w:ascii="Times New Roman"/>
          <w:b w:val="false"/>
          <w:i w:val="false"/>
          <w:color w:val="000000"/>
          <w:sz w:val="28"/>
        </w:rPr>
        <w:t>
      Генерирующие мощности по производству ветровой электроэнергии действуют в Акмолинской, Жамбылской, Алматинской и Северо- Казахстанской областях.</w:t>
      </w:r>
    </w:p>
    <w:bookmarkEnd w:id="95"/>
    <w:bookmarkStart w:name="z102" w:id="96"/>
    <w:p>
      <w:pPr>
        <w:spacing w:after="0"/>
        <w:ind w:left="0"/>
        <w:jc w:val="both"/>
      </w:pPr>
      <w:r>
        <w:rPr>
          <w:rFonts w:ascii="Times New Roman"/>
          <w:b w:val="false"/>
          <w:i w:val="false"/>
          <w:color w:val="000000"/>
          <w:sz w:val="28"/>
        </w:rPr>
        <w:t>
      Имеется высокий потенциал для развития ветроэнергетики в Акмолинской, Актюбинской, Восточно-Казахстанской, Карагандинской, Костанайской, Северо-Казахстанской, Алматинской, Жамбылской, Атырауской и Мангистауской областях. Есть ресурсы для строительства гидроэлектростанций в Восточно-Казахстанской, Карагандинской, Алматинской, Жамбылской и Туркестанской областях.</w:t>
      </w:r>
    </w:p>
    <w:bookmarkEnd w:id="96"/>
    <w:bookmarkStart w:name="z103" w:id="97"/>
    <w:p>
      <w:pPr>
        <w:spacing w:after="0"/>
        <w:ind w:left="0"/>
        <w:jc w:val="both"/>
      </w:pPr>
      <w:r>
        <w:rPr>
          <w:rFonts w:ascii="Times New Roman"/>
          <w:b w:val="false"/>
          <w:i w:val="false"/>
          <w:color w:val="000000"/>
          <w:sz w:val="28"/>
        </w:rPr>
        <w:t>
      Условия для развития солнечной энергетики имеются в Акмолинской, Восточно-Казахстанской, Карагандинской, Алматинской, Жамбылской, Кызылординской, Туркестанской и Мангистауской областях.</w:t>
      </w:r>
    </w:p>
    <w:bookmarkEnd w:id="97"/>
    <w:bookmarkStart w:name="z104" w:id="98"/>
    <w:p>
      <w:pPr>
        <w:spacing w:after="0"/>
        <w:ind w:left="0"/>
        <w:jc w:val="both"/>
      </w:pPr>
      <w:r>
        <w:rPr>
          <w:rFonts w:ascii="Times New Roman"/>
          <w:b w:val="false"/>
          <w:i w:val="false"/>
          <w:color w:val="000000"/>
          <w:sz w:val="28"/>
        </w:rPr>
        <w:t>
      Газоснабжение населенных пунктов влияет на комфорт и качество жизни населения, сокращает выбросы загрязняющих веществ. В настоящее время централизованным газоснабжением охвачены 9 млн. человек в 12 регионах страны - Актюбинской, Алматинской, Атырауской, Жамбылской, Западно- Казахстанской, Костанайской, Кызылординской, Мангистауской, Туркестанской, Восточно-Казахстанской областях и городах Алматы и Шымкенте.</w:t>
      </w:r>
    </w:p>
    <w:bookmarkEnd w:id="98"/>
    <w:bookmarkStart w:name="z105" w:id="99"/>
    <w:p>
      <w:pPr>
        <w:spacing w:after="0"/>
        <w:ind w:left="0"/>
        <w:jc w:val="both"/>
      </w:pPr>
      <w:r>
        <w:rPr>
          <w:rFonts w:ascii="Times New Roman"/>
          <w:b w:val="false"/>
          <w:i w:val="false"/>
          <w:color w:val="000000"/>
          <w:sz w:val="28"/>
        </w:rPr>
        <w:t>
      К 2030 году планируется увеличить охват газификацией до 13,55 млн. человек за счет ввода магистрального газопровода "Сарыарка".</w:t>
      </w:r>
    </w:p>
    <w:bookmarkEnd w:id="99"/>
    <w:bookmarkStart w:name="z106" w:id="100"/>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Водоснабжение и водоотведение</w:t>
      </w:r>
    </w:p>
    <w:bookmarkEnd w:id="100"/>
    <w:bookmarkStart w:name="z107" w:id="101"/>
    <w:p>
      <w:pPr>
        <w:spacing w:after="0"/>
        <w:ind w:left="0"/>
        <w:jc w:val="both"/>
      </w:pPr>
      <w:r>
        <w:rPr>
          <w:rFonts w:ascii="Times New Roman"/>
          <w:b w:val="false"/>
          <w:i w:val="false"/>
          <w:color w:val="000000"/>
          <w:sz w:val="28"/>
        </w:rPr>
        <w:t>
      По итогам 2018 года обеспеченность населения централизованным водоснабжением в городах составила 94,5 %, в селах - 59,9 %. В 2,6 тыс. сельских населенных пунктах (далее - СНП) отсутствует централизованное водоснабжение, из них 70 % СНП приходится на Акмолинскую, Восточно- Казахстанскую, Западно-Казахстанскую, Карагандинскую, Павлодарскую, Северо-Казахстанскую и Туркестанскую области.</w:t>
      </w:r>
    </w:p>
    <w:bookmarkEnd w:id="101"/>
    <w:bookmarkStart w:name="z108" w:id="102"/>
    <w:p>
      <w:pPr>
        <w:spacing w:after="0"/>
        <w:ind w:left="0"/>
        <w:jc w:val="both"/>
      </w:pPr>
      <w:r>
        <w:rPr>
          <w:rFonts w:ascii="Times New Roman"/>
          <w:b w:val="false"/>
          <w:i w:val="false"/>
          <w:color w:val="000000"/>
          <w:sz w:val="28"/>
        </w:rPr>
        <w:t>
      Одной из проблем городов остается недостаточный охват водоотведением, в 2017 году он составлял 88 %. Охват населения очисткой сточных вод в городах составляет 68,7 %, в селах - 8,6 %.</w:t>
      </w:r>
    </w:p>
    <w:bookmarkEnd w:id="102"/>
    <w:bookmarkStart w:name="z109" w:id="103"/>
    <w:p>
      <w:pPr>
        <w:spacing w:after="0"/>
        <w:ind w:left="0"/>
        <w:jc w:val="both"/>
      </w:pPr>
      <w:r>
        <w:rPr>
          <w:rFonts w:ascii="Times New Roman"/>
          <w:b w:val="false"/>
          <w:i w:val="false"/>
          <w:color w:val="000000"/>
          <w:sz w:val="28"/>
        </w:rPr>
        <w:t>
      Из 87 городов в 28 городах страны отсутствуют канализационно-очистные сооружения. Из 58 канализационно-очистных сооружений в городах в 26 требуются модернизация и реконструкция.</w:t>
      </w:r>
    </w:p>
    <w:bookmarkEnd w:id="103"/>
    <w:bookmarkStart w:name="z110" w:id="104"/>
    <w:p>
      <w:pPr>
        <w:spacing w:after="0"/>
        <w:ind w:left="0"/>
        <w:jc w:val="both"/>
      </w:pPr>
      <w:r>
        <w:rPr>
          <w:rFonts w:ascii="Times New Roman"/>
          <w:b w:val="false"/>
          <w:i w:val="false"/>
          <w:color w:val="000000"/>
          <w:sz w:val="28"/>
        </w:rPr>
        <w:t>
      Применение "зеленых" технологий, основанных на переработке ила с возможностью производства биогаза, электричества и удобрений, позволит значительно снизить затраты по модернизации канализационно-очистных сооружений и увеличить инвестиционную привлекательность таких проектов для инвесторов.</w:t>
      </w:r>
    </w:p>
    <w:bookmarkEnd w:id="104"/>
    <w:bookmarkStart w:name="z111" w:id="105"/>
    <w:p>
      <w:pPr>
        <w:spacing w:after="0"/>
        <w:ind w:left="0"/>
        <w:jc w:val="both"/>
      </w:pPr>
      <w:r>
        <w:rPr>
          <w:rFonts w:ascii="Times New Roman"/>
          <w:b w:val="false"/>
          <w:i w:val="false"/>
          <w:color w:val="000000"/>
          <w:sz w:val="28"/>
        </w:rPr>
        <w:t>
      Уже имеются предложения от международных финансовых организаций по предоставлению льготных займов, а также от крупных строительных компаний, готовых инвестировать по механизму государственно-частного партнерства (далее - ГЧП).</w:t>
      </w:r>
    </w:p>
    <w:bookmarkEnd w:id="105"/>
    <w:bookmarkStart w:name="z112" w:id="106"/>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Социальная инфраструктура</w:t>
      </w:r>
    </w:p>
    <w:bookmarkEnd w:id="106"/>
    <w:bookmarkStart w:name="z113" w:id="107"/>
    <w:p>
      <w:pPr>
        <w:spacing w:after="0"/>
        <w:ind w:left="0"/>
        <w:jc w:val="both"/>
      </w:pPr>
      <w:r>
        <w:rPr>
          <w:rFonts w:ascii="Times New Roman"/>
          <w:b w:val="false"/>
          <w:i w:val="false"/>
          <w:color w:val="000000"/>
          <w:sz w:val="28"/>
        </w:rPr>
        <w:t xml:space="preserve">
      </w:t>
      </w:r>
      <w:r>
        <w:rPr>
          <w:rFonts w:ascii="Times New Roman"/>
          <w:b/>
          <w:i w:val="false"/>
          <w:color w:val="000000"/>
          <w:sz w:val="28"/>
        </w:rPr>
        <w:t>Жилищная политика</w:t>
      </w:r>
    </w:p>
    <w:bookmarkEnd w:id="107"/>
    <w:bookmarkStart w:name="z114" w:id="108"/>
    <w:p>
      <w:pPr>
        <w:spacing w:after="0"/>
        <w:ind w:left="0"/>
        <w:jc w:val="both"/>
      </w:pPr>
      <w:r>
        <w:rPr>
          <w:rFonts w:ascii="Times New Roman"/>
          <w:b w:val="false"/>
          <w:i w:val="false"/>
          <w:color w:val="000000"/>
          <w:sz w:val="28"/>
        </w:rPr>
        <w:t>
      Обеспеченность жильем на одного проживающего выросла за период 2010-2017 годов с 18,4 м</w:t>
      </w:r>
      <w:r>
        <w:rPr>
          <w:rFonts w:ascii="Times New Roman"/>
          <w:b w:val="false"/>
          <w:i w:val="false"/>
          <w:color w:val="000000"/>
          <w:vertAlign w:val="superscript"/>
        </w:rPr>
        <w:t>2</w:t>
      </w:r>
      <w:r>
        <w:rPr>
          <w:rFonts w:ascii="Times New Roman"/>
          <w:b w:val="false"/>
          <w:i w:val="false"/>
          <w:color w:val="000000"/>
          <w:sz w:val="28"/>
        </w:rPr>
        <w:t xml:space="preserve"> до 21,6 м</w:t>
      </w:r>
      <w:r>
        <w:rPr>
          <w:rFonts w:ascii="Times New Roman"/>
          <w:b w:val="false"/>
          <w:i w:val="false"/>
          <w:color w:val="000000"/>
          <w:vertAlign w:val="superscript"/>
        </w:rPr>
        <w:t>2</w:t>
      </w:r>
      <w:r>
        <w:rPr>
          <w:rFonts w:ascii="Times New Roman"/>
          <w:b w:val="false"/>
          <w:i w:val="false"/>
          <w:color w:val="000000"/>
          <w:sz w:val="28"/>
        </w:rPr>
        <w:t>. Наибольшая обеспеченность жильем наблюдается в городах Нур-Султане (29,8 м2 на одного проживающего), Алматы (27,1), Шымкенте (24,2), Мангистауской (23,3) и Карагандинской (23) областях. Наименьшая обеспеченность жильем отмечена в Жамбылской (16,6) и Туркестанской (17,9) областях.</w:t>
      </w:r>
    </w:p>
    <w:bookmarkEnd w:id="108"/>
    <w:bookmarkStart w:name="z115" w:id="109"/>
    <w:p>
      <w:pPr>
        <w:spacing w:after="0"/>
        <w:ind w:left="0"/>
        <w:jc w:val="both"/>
      </w:pPr>
      <w:r>
        <w:rPr>
          <w:rFonts w:ascii="Times New Roman"/>
          <w:b w:val="false"/>
          <w:i w:val="false"/>
          <w:color w:val="000000"/>
          <w:sz w:val="28"/>
        </w:rPr>
        <w:t>
      По стране в 2017 году насчитывалось 3 293 жилых домов в аварийном состоянии (2010 год - 3686 ед.). Наблюдается положительная тенденция по снижению аварийного и ветхого жилья, кроме Актюбинской области, где количество домов в аварийном состоянии увеличилось на 22 %, а в Атырауской области увеличилось в 3,9 раз.</w:t>
      </w:r>
    </w:p>
    <w:bookmarkEnd w:id="109"/>
    <w:bookmarkStart w:name="z116" w:id="110"/>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Образование</w:t>
      </w:r>
    </w:p>
    <w:bookmarkEnd w:id="110"/>
    <w:bookmarkStart w:name="z117" w:id="111"/>
    <w:p>
      <w:pPr>
        <w:spacing w:after="0"/>
        <w:ind w:left="0"/>
        <w:jc w:val="both"/>
      </w:pPr>
      <w:r>
        <w:rPr>
          <w:rFonts w:ascii="Times New Roman"/>
          <w:b w:val="false"/>
          <w:i w:val="false"/>
          <w:color w:val="000000"/>
          <w:sz w:val="28"/>
        </w:rPr>
        <w:t>
      Детское дошкольное образование</w:t>
      </w:r>
    </w:p>
    <w:bookmarkEnd w:id="111"/>
    <w:bookmarkStart w:name="z118" w:id="112"/>
    <w:p>
      <w:pPr>
        <w:spacing w:after="0"/>
        <w:ind w:left="0"/>
        <w:jc w:val="both"/>
      </w:pPr>
      <w:r>
        <w:rPr>
          <w:rFonts w:ascii="Times New Roman"/>
          <w:b w:val="false"/>
          <w:i w:val="false"/>
          <w:color w:val="000000"/>
          <w:sz w:val="28"/>
        </w:rPr>
        <w:t>
      С 2010 по 2017 годы обеспеченность детскими дошкольными организациями улучшилась со 104,9 до 96,1 детей на 100 мест. В отдельных регионах наблюдается нехватка мест в детских садах - Мангистауская область (115,6 ребенка на 100 мест), город Нур-Султан (110,9), Павлодарская область (109,1) и так далее. Основными проблемами детского дошкольного образования остаются дефицит мест в отдельных регионах, большая доля детских дошкольных организаций, расположенных в приспособленных зданиях, особенно в Туркестанской, Кызылординской и Алматинской областях, дефицит квалифицированного педагогического персонала.</w:t>
      </w:r>
    </w:p>
    <w:bookmarkEnd w:id="112"/>
    <w:bookmarkStart w:name="z119" w:id="113"/>
    <w:p>
      <w:pPr>
        <w:spacing w:after="0"/>
        <w:ind w:left="0"/>
        <w:jc w:val="both"/>
      </w:pPr>
      <w:r>
        <w:rPr>
          <w:rFonts w:ascii="Times New Roman"/>
          <w:b w:val="false"/>
          <w:i w:val="false"/>
          <w:color w:val="000000"/>
          <w:sz w:val="28"/>
        </w:rPr>
        <w:t>
      Общее среднее образование</w:t>
      </w:r>
    </w:p>
    <w:bookmarkEnd w:id="113"/>
    <w:bookmarkStart w:name="z120" w:id="114"/>
    <w:p>
      <w:pPr>
        <w:spacing w:after="0"/>
        <w:ind w:left="0"/>
        <w:jc w:val="both"/>
      </w:pPr>
      <w:r>
        <w:rPr>
          <w:rFonts w:ascii="Times New Roman"/>
          <w:b w:val="false"/>
          <w:i w:val="false"/>
          <w:color w:val="000000"/>
          <w:sz w:val="28"/>
        </w:rPr>
        <w:t>
      В настоящее время насчитывается 7 393 школ, в том числе в городской местности - 2 055, сельской местности - 5 285. В последние годы количество городских школ увеличивается, а сельских сокращается. Так с 2010 по 2018 годы количество сельских школ сократилось с 5 996 до 5 285 ед.</w:t>
      </w:r>
    </w:p>
    <w:bookmarkEnd w:id="114"/>
    <w:bookmarkStart w:name="z121" w:id="115"/>
    <w:p>
      <w:pPr>
        <w:spacing w:after="0"/>
        <w:ind w:left="0"/>
        <w:jc w:val="both"/>
      </w:pPr>
      <w:r>
        <w:rPr>
          <w:rFonts w:ascii="Times New Roman"/>
          <w:b w:val="false"/>
          <w:i w:val="false"/>
          <w:color w:val="000000"/>
          <w:sz w:val="28"/>
        </w:rPr>
        <w:t>
      Основной проблемой общего среднего образования является дефицит квалифицированных кадров. Также имеются проблемы с низким уровнем материально-технической базы, неполным комплектованием педагогического персонала. Кроме того, имеет место проблема аварийных и трехсменных школ, а также недостаточный охват горячим питанием, что сказывается на качестве и безопасности обучения.</w:t>
      </w:r>
    </w:p>
    <w:bookmarkEnd w:id="115"/>
    <w:bookmarkStart w:name="z122" w:id="116"/>
    <w:p>
      <w:pPr>
        <w:spacing w:after="0"/>
        <w:ind w:left="0"/>
        <w:jc w:val="both"/>
      </w:pPr>
      <w:r>
        <w:rPr>
          <w:rFonts w:ascii="Times New Roman"/>
          <w:b w:val="false"/>
          <w:i w:val="false"/>
          <w:color w:val="000000"/>
          <w:sz w:val="28"/>
        </w:rPr>
        <w:t>
      По состоянию на октябрь 2018 года насчитывалось 31 аварийных школ. В настоящее время наиболее остро проблема с аварийными школами стоит в Туркестанской (22,6 % от всех аварийных школ по стране), Атырауской (16,1 %), Западно-Казахстанской (16,1 %) и Жамбылской (12,9 %) областях.</w:t>
      </w:r>
    </w:p>
    <w:bookmarkEnd w:id="116"/>
    <w:bookmarkStart w:name="z123" w:id="117"/>
    <w:p>
      <w:pPr>
        <w:spacing w:after="0"/>
        <w:ind w:left="0"/>
        <w:jc w:val="both"/>
      </w:pPr>
      <w:r>
        <w:rPr>
          <w:rFonts w:ascii="Times New Roman"/>
          <w:b w:val="false"/>
          <w:i w:val="false"/>
          <w:color w:val="000000"/>
          <w:sz w:val="28"/>
        </w:rPr>
        <w:t>
      Насчитывается 128 трехсменных школ</w:t>
      </w:r>
      <w:r>
        <w:rPr>
          <w:rFonts w:ascii="Times New Roman"/>
          <w:b w:val="false"/>
          <w:i w:val="false"/>
          <w:color w:val="000000"/>
          <w:vertAlign w:val="superscript"/>
        </w:rPr>
        <w:t>5</w:t>
      </w:r>
      <w:r>
        <w:rPr>
          <w:rFonts w:ascii="Times New Roman"/>
          <w:b w:val="false"/>
          <w:i w:val="false"/>
          <w:color w:val="000000"/>
          <w:sz w:val="28"/>
        </w:rPr>
        <w:t>, в том числе в городе Шымкенте, а также в Актюбинской, Атырауской, Алматинской, Акмолинской и Туркестанской областях. За три года доля школ с доступом к Интернету увеличилась с 75,9 % до 98,7 %, в том числе в 2018 году 93 % школ имели доступ к сети Интернет со скоростью 4 Мбит/с и выше.</w:t>
      </w:r>
    </w:p>
    <w:bookmarkEnd w:id="117"/>
    <w:bookmarkStart w:name="z124" w:id="118"/>
    <w:p>
      <w:pPr>
        <w:spacing w:after="0"/>
        <w:ind w:left="0"/>
        <w:jc w:val="both"/>
      </w:pPr>
      <w:r>
        <w:rPr>
          <w:rFonts w:ascii="Times New Roman"/>
          <w:b w:val="false"/>
          <w:i w:val="false"/>
          <w:color w:val="000000"/>
          <w:sz w:val="28"/>
        </w:rPr>
        <w:t>
      Доля школ с центральным отоплением на начало 2018 года составила 21,4 % (1 507 ед.). Значительная часть школ (45,5 %) отапливается автономно с использованием твердого топлива. Отопление на газовом топливе используется лишь в 17 % школ.</w:t>
      </w:r>
    </w:p>
    <w:bookmarkEnd w:id="118"/>
    <w:bookmarkStart w:name="z125" w:id="119"/>
    <w:p>
      <w:pPr>
        <w:spacing w:after="0"/>
        <w:ind w:left="0"/>
        <w:jc w:val="both"/>
      </w:pPr>
      <w:r>
        <w:rPr>
          <w:rFonts w:ascii="Times New Roman"/>
          <w:b w:val="false"/>
          <w:i w:val="false"/>
          <w:color w:val="000000"/>
          <w:sz w:val="28"/>
        </w:rPr>
        <w:t>
      Техническое и профессиональное образование (далее - ТиПО)</w:t>
      </w:r>
    </w:p>
    <w:bookmarkEnd w:id="119"/>
    <w:bookmarkStart w:name="z126" w:id="120"/>
    <w:p>
      <w:pPr>
        <w:spacing w:after="0"/>
        <w:ind w:left="0"/>
        <w:jc w:val="both"/>
      </w:pPr>
      <w:r>
        <w:rPr>
          <w:rFonts w:ascii="Times New Roman"/>
          <w:b w:val="false"/>
          <w:i w:val="false"/>
          <w:color w:val="000000"/>
          <w:sz w:val="28"/>
        </w:rPr>
        <w:t>
      В сфере ТиПО в 2018 году функционировали 821 организация, число которых уменьшилось по сравнению с 2010 годом на 73 единицы или на 7 %. В разрезе регионов, наибольшее количество организаций ТиПО представлено в городе Алматы (93 ед.), Туркестанской (66 ед.), Восточно-Казахстанской (87 ед.), Алматинской (74 ед.) и Карагандинской (70 ед.) областях.</w:t>
      </w:r>
    </w:p>
    <w:bookmarkEnd w:id="120"/>
    <w:bookmarkStart w:name="z127" w:id="121"/>
    <w:p>
      <w:pPr>
        <w:spacing w:after="0"/>
        <w:ind w:left="0"/>
        <w:jc w:val="both"/>
      </w:pPr>
      <w:r>
        <w:rPr>
          <w:rFonts w:ascii="Times New Roman"/>
          <w:b w:val="false"/>
          <w:i w:val="false"/>
          <w:color w:val="000000"/>
          <w:sz w:val="28"/>
        </w:rPr>
        <w:t>
      В 2018 году в колледжах обучалось 488,7 тыс. учащихся, что меньше чем в 2010 году на 120,3 тыс. учащихся. По состоянию на 2018 год в сельской местности функционировали 174 колледжей с 40,9 тыс. учащихся.</w:t>
      </w:r>
    </w:p>
    <w:bookmarkEnd w:id="121"/>
    <w:bookmarkStart w:name="z128" w:id="122"/>
    <w:p>
      <w:pPr>
        <w:spacing w:after="0"/>
        <w:ind w:left="0"/>
        <w:jc w:val="both"/>
      </w:pPr>
      <w:r>
        <w:rPr>
          <w:rFonts w:ascii="Times New Roman"/>
          <w:b w:val="false"/>
          <w:i w:val="false"/>
          <w:color w:val="000000"/>
          <w:sz w:val="28"/>
        </w:rPr>
        <w:t>
      Основными проблемами развития сферы ТиПО являются несоответствие компетенций выпускников требованиям рынка труда, недостаток квалифицированного педагогического персонала, непривлекательность сферы ТиПО для молодых квалифицированных специалистов.</w:t>
      </w:r>
    </w:p>
    <w:bookmarkEnd w:id="122"/>
    <w:bookmarkStart w:name="z129" w:id="123"/>
    <w:p>
      <w:pPr>
        <w:spacing w:after="0"/>
        <w:ind w:left="0"/>
        <w:jc w:val="both"/>
      </w:pPr>
      <w:r>
        <w:rPr>
          <w:rFonts w:ascii="Times New Roman"/>
          <w:b w:val="false"/>
          <w:i w:val="false"/>
          <w:color w:val="000000"/>
          <w:sz w:val="28"/>
        </w:rPr>
        <w:t xml:space="preserve">
      </w:t>
      </w:r>
      <w:r>
        <w:rPr>
          <w:rFonts w:ascii="Times New Roman"/>
          <w:b/>
          <w:i w:val="false"/>
          <w:color w:val="000000"/>
          <w:sz w:val="28"/>
        </w:rPr>
        <w:t>Здравоохранение</w:t>
      </w:r>
    </w:p>
    <w:bookmarkEnd w:id="123"/>
    <w:bookmarkStart w:name="z130" w:id="124"/>
    <w:p>
      <w:pPr>
        <w:spacing w:after="0"/>
        <w:ind w:left="0"/>
        <w:jc w:val="both"/>
      </w:pPr>
      <w:r>
        <w:rPr>
          <w:rFonts w:ascii="Times New Roman"/>
          <w:b w:val="false"/>
          <w:i w:val="false"/>
          <w:color w:val="000000"/>
          <w:sz w:val="28"/>
        </w:rPr>
        <w:t>
      Доступ к качественным услугам здравоохранения является одним из важных условий повышения качества жизни населения. С 2010 года произошла оптимизация сети больничных организаций на 14,5 %, отмечается увеличение количества частных больниц на 33,3 %. При этом за период с 2010 по 2017 годы также наблюдается сокращение фельдшерских амбулаторных пунктов и медицинских пунктов на 9,6 % или на 419 единиц.</w:t>
      </w:r>
    </w:p>
    <w:bookmarkEnd w:id="124"/>
    <w:bookmarkStart w:name="z131" w:id="125"/>
    <w:p>
      <w:pPr>
        <w:spacing w:after="0"/>
        <w:ind w:left="0"/>
        <w:jc w:val="both"/>
      </w:pPr>
      <w:r>
        <w:rPr>
          <w:rFonts w:ascii="Times New Roman"/>
          <w:b w:val="false"/>
          <w:i w:val="false"/>
          <w:color w:val="000000"/>
          <w:sz w:val="28"/>
        </w:rPr>
        <w:t>
      Обеспеченность населения больничными койками в целом по республике снизилась почти на 37,8 %, с 72,4 коек в 2010 году до 45 коек в 2018 году (в расчете на 10 тыс. человек). Сокращение коечного фонда связано с изменением подходов в системе финансирования здравоохранения, а также с внедрением стационарно-замещающих технологий.</w:t>
      </w:r>
    </w:p>
    <w:bookmarkEnd w:id="125"/>
    <w:bookmarkStart w:name="z132" w:id="126"/>
    <w:p>
      <w:pPr>
        <w:spacing w:after="0"/>
        <w:ind w:left="0"/>
        <w:jc w:val="both"/>
      </w:pPr>
      <w:r>
        <w:rPr>
          <w:rFonts w:ascii="Times New Roman"/>
          <w:b w:val="false"/>
          <w:i w:val="false"/>
          <w:color w:val="000000"/>
          <w:sz w:val="28"/>
        </w:rPr>
        <w:t>
      ___________________________________________________________________</w:t>
      </w:r>
    </w:p>
    <w:bookmarkEnd w:id="126"/>
    <w:bookmarkStart w:name="z133" w:id="1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"Статистика системы образования Республики Казахстан". Национальный сборник, 2018.</w:t>
      </w:r>
    </w:p>
    <w:bookmarkEnd w:id="127"/>
    <w:bookmarkStart w:name="z134" w:id="128"/>
    <w:p>
      <w:pPr>
        <w:spacing w:after="0"/>
        <w:ind w:left="0"/>
        <w:jc w:val="both"/>
      </w:pPr>
      <w:r>
        <w:rPr>
          <w:rFonts w:ascii="Times New Roman"/>
          <w:b w:val="false"/>
          <w:i w:val="false"/>
          <w:color w:val="000000"/>
          <w:sz w:val="28"/>
        </w:rPr>
        <w:t>
      Кадровый резерв включает 72,8 тыс. врачей и 175,7 тыс. средних медицинских работников, в том числе в сельской местности - 2,4 тыс. врачей и 45,6 тыс. средних медицинских работников.</w:t>
      </w:r>
    </w:p>
    <w:bookmarkEnd w:id="128"/>
    <w:bookmarkStart w:name="z135" w:id="129"/>
    <w:p>
      <w:pPr>
        <w:spacing w:after="0"/>
        <w:ind w:left="0"/>
        <w:jc w:val="both"/>
      </w:pPr>
      <w:r>
        <w:rPr>
          <w:rFonts w:ascii="Times New Roman"/>
          <w:b w:val="false"/>
          <w:i w:val="false"/>
          <w:color w:val="000000"/>
          <w:sz w:val="28"/>
        </w:rPr>
        <w:t>
      Сохраняется существенная диспропорция в обеспеченности врачами между городом и селом. Так, в 2018 году на 10 тыс. человек населения в городах приходилось 58 врачебных единиц, в сельской местности - 16. Наименее обеспеченными являются Алматинская, Акмолинская, Атырауская, Костанайская, Северо-Казахстанская, Мангистауская, Туркестанская и Жамбылская области.</w:t>
      </w:r>
    </w:p>
    <w:bookmarkEnd w:id="129"/>
    <w:bookmarkStart w:name="z136" w:id="130"/>
    <w:p>
      <w:pPr>
        <w:spacing w:after="0"/>
        <w:ind w:left="0"/>
        <w:jc w:val="both"/>
      </w:pPr>
      <w:r>
        <w:rPr>
          <w:rFonts w:ascii="Times New Roman"/>
          <w:b w:val="false"/>
          <w:i w:val="false"/>
          <w:color w:val="000000"/>
          <w:sz w:val="28"/>
        </w:rPr>
        <w:t>
      В случае сохранения разрывов в обеспеченности врачами между городской и сельской местностью могут ухудшиться показатели доступности медицинских услуг и заболеваемости в сельской местности.</w:t>
      </w:r>
    </w:p>
    <w:bookmarkEnd w:id="130"/>
    <w:bookmarkStart w:name="z137" w:id="131"/>
    <w:p>
      <w:pPr>
        <w:spacing w:after="0"/>
        <w:ind w:left="0"/>
        <w:jc w:val="both"/>
      </w:pPr>
      <w:r>
        <w:rPr>
          <w:rFonts w:ascii="Times New Roman"/>
          <w:b w:val="false"/>
          <w:i w:val="false"/>
          <w:color w:val="000000"/>
          <w:sz w:val="28"/>
        </w:rPr>
        <w:t>
      В целом системными проблемами сферы здравоохранения остаются низкая оплата труда медицинских работников, оснащение материально- технической базы организаций, уровень профессиональной подготовленности кадров и другие.</w:t>
      </w:r>
    </w:p>
    <w:bookmarkEnd w:id="131"/>
    <w:bookmarkStart w:name="z138" w:id="132"/>
    <w:p>
      <w:pPr>
        <w:spacing w:after="0"/>
        <w:ind w:left="0"/>
        <w:jc w:val="both"/>
      </w:pPr>
      <w:r>
        <w:rPr>
          <w:rFonts w:ascii="Times New Roman"/>
          <w:b w:val="false"/>
          <w:i w:val="false"/>
          <w:color w:val="000000"/>
          <w:sz w:val="28"/>
        </w:rPr>
        <w:t xml:space="preserve">
      </w:t>
      </w:r>
      <w:r>
        <w:rPr>
          <w:rFonts w:ascii="Times New Roman"/>
          <w:b/>
          <w:i w:val="false"/>
          <w:color w:val="000000"/>
          <w:sz w:val="28"/>
        </w:rPr>
        <w:t>Разрывы между регионами</w:t>
      </w:r>
    </w:p>
    <w:bookmarkEnd w:id="132"/>
    <w:bookmarkStart w:name="z139" w:id="133"/>
    <w:p>
      <w:pPr>
        <w:spacing w:after="0"/>
        <w:ind w:left="0"/>
        <w:jc w:val="both"/>
      </w:pPr>
      <w:r>
        <w:rPr>
          <w:rFonts w:ascii="Times New Roman"/>
          <w:b w:val="false"/>
          <w:i w:val="false"/>
          <w:color w:val="000000"/>
          <w:sz w:val="28"/>
        </w:rPr>
        <w:t>
      Для расчета разрывов между регионами по показателям доступности и обеспеченности социальными благами и услугами были взяты соотношения среднего значения по восьми регионам с самыми высокими показателями к среднему значению по восьми (девяти с городом Шымкентом) регионам с самыми низкими показателями. Анализ проводился на основе данных ИАС "Талдау", Комитета по статистике Министерства национальной экономики Республики Казахстан (далее - КС МНЭ РК), Министерства здравоохранения Республики Казахстан, Министерства образования и науки Республики Казахстан, а также АО "Информационно-аналитический центр".</w:t>
      </w:r>
    </w:p>
    <w:bookmarkEnd w:id="133"/>
    <w:bookmarkStart w:name="z140" w:id="134"/>
    <w:p>
      <w:pPr>
        <w:spacing w:after="0"/>
        <w:ind w:left="0"/>
        <w:jc w:val="both"/>
      </w:pPr>
      <w:r>
        <w:rPr>
          <w:rFonts w:ascii="Times New Roman"/>
          <w:b w:val="false"/>
          <w:i w:val="false"/>
          <w:color w:val="000000"/>
          <w:sz w:val="28"/>
        </w:rPr>
        <w:t>
      По всем проанализированным показателям наблюдается тенденция к сокращению разрывов между группами регионов, исключение составляет лишь обеспеченность детей местами в дошкольных организациях (таблица 1). При этом проблемы с обеспечением отдельными благами и услугами в отдельных регионах остаются все еще значительными.</w:t>
      </w:r>
    </w:p>
    <w:bookmarkEnd w:id="134"/>
    <w:bookmarkStart w:name="z141" w:id="135"/>
    <w:p>
      <w:pPr>
        <w:spacing w:after="0"/>
        <w:ind w:left="0"/>
        <w:jc w:val="both"/>
      </w:pPr>
      <w:r>
        <w:rPr>
          <w:rFonts w:ascii="Times New Roman"/>
          <w:b w:val="false"/>
          <w:i w:val="false"/>
          <w:color w:val="000000"/>
          <w:sz w:val="28"/>
        </w:rPr>
        <w:t>
      Таблица 1 - Динамика разрывов между регионами в доступности и обеспеченности социальными благами и необходимой инфраструктурой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3307"/>
        <w:gridCol w:w="3308"/>
        <w:gridCol w:w="1979"/>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между регионами в 2010 году, раз</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между регионами в 2017 году, раз</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отклонение</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врачами на 10000 человек населения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средним медицинским персоналом на 10000 человек населения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детей местами в дошкольных организациях, детей на 100 мест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общеобразовательны школ, охваченных горячим питанием, от общего числа обучающихся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государственных общеобразовательных школ широкополосной сетью интернет со скоростью выше 4 Мбит/с</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государственных общеобразовательных школ центральным отоплением</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питьевой водой из централизованных систем водоснабжения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находящихся в хорошем состоянии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жильем, м2 на чел.</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домашних хозяйств, имеющих доступ к сети интернет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bookmarkStart w:name="z142" w:id="136"/>
    <w:p>
      <w:pPr>
        <w:spacing w:after="0"/>
        <w:ind w:left="0"/>
        <w:jc w:val="both"/>
      </w:pPr>
      <w:r>
        <w:rPr>
          <w:rFonts w:ascii="Times New Roman"/>
          <w:b w:val="false"/>
          <w:i w:val="false"/>
          <w:color w:val="000000"/>
          <w:sz w:val="28"/>
        </w:rPr>
        <w:t>
      * по данным "Статистика системы образования Республики Казахстан" Национальный сборник Нур-Султан - 2014 год, http://edu.gov.kz</w:t>
      </w:r>
    </w:p>
    <w:bookmarkEnd w:id="136"/>
    <w:bookmarkStart w:name="z143" w:id="137"/>
    <w:p>
      <w:pPr>
        <w:spacing w:after="0"/>
        <w:ind w:left="0"/>
        <w:jc w:val="both"/>
      </w:pPr>
      <w:r>
        <w:rPr>
          <w:rFonts w:ascii="Times New Roman"/>
          <w:b w:val="false"/>
          <w:i w:val="false"/>
          <w:color w:val="000000"/>
          <w:sz w:val="28"/>
        </w:rPr>
        <w:t>
      ** по показателю использованы имеющиеся данные 2015 года, http://roads.miid.gov.kz</w:t>
      </w:r>
    </w:p>
    <w:bookmarkEnd w:id="137"/>
    <w:bookmarkStart w:name="z144" w:id="138"/>
    <w:p>
      <w:pPr>
        <w:spacing w:after="0"/>
        <w:ind w:left="0"/>
        <w:jc w:val="both"/>
      </w:pPr>
      <w:r>
        <w:rPr>
          <w:rFonts w:ascii="Times New Roman"/>
          <w:b w:val="false"/>
          <w:i w:val="false"/>
          <w:color w:val="000000"/>
          <w:sz w:val="28"/>
        </w:rPr>
        <w:t>
      *** по показателю использованы имеющиеся данные 2013 года, www.stat.gov</w:t>
      </w:r>
    </w:p>
    <w:bookmarkEnd w:id="138"/>
    <w:bookmarkStart w:name="z145" w:id="139"/>
    <w:p>
      <w:pPr>
        <w:spacing w:after="0"/>
        <w:ind w:left="0"/>
        <w:jc w:val="both"/>
      </w:pPr>
      <w:r>
        <w:rPr>
          <w:rFonts w:ascii="Times New Roman"/>
          <w:b w:val="false"/>
          <w:i w:val="false"/>
          <w:color w:val="000000"/>
          <w:sz w:val="28"/>
        </w:rPr>
        <w:t>
      Анализ разрывов в обеспеченности социальными благами и необходимой инфраструктурой между регионами, показал наличие системных проблем. К примеру, в западных регионах, в том числе в Западно-Казахстанской, Актюбинской и Атырауской областях высокая доля дорог местной сети, находящихся в неудовлетворительном состоянии (46-71 %). В Жамбылской, Павлодарской, Алматинской и Восточно-Казахстанской областях доля местных дорог в неудовлетворительном состоянии находится в пределах 19-22 %.</w:t>
      </w:r>
    </w:p>
    <w:bookmarkEnd w:id="139"/>
    <w:bookmarkStart w:name="z146" w:id="140"/>
    <w:p>
      <w:pPr>
        <w:spacing w:after="0"/>
        <w:ind w:left="0"/>
        <w:jc w:val="both"/>
      </w:pPr>
      <w:r>
        <w:rPr>
          <w:rFonts w:ascii="Times New Roman"/>
          <w:b w:val="false"/>
          <w:i w:val="false"/>
          <w:color w:val="000000"/>
          <w:sz w:val="28"/>
        </w:rPr>
        <w:t>
      Высокая региональная дифференциация отмечается в обеспеченности врачами. Например, в Алматинской области на 10 тыс. чел. населения приходится всего 23,3 врача, в то время как в Восточно-Казахстанской области 42,5.</w:t>
      </w:r>
    </w:p>
    <w:bookmarkEnd w:id="140"/>
    <w:bookmarkStart w:name="z147" w:id="141"/>
    <w:p>
      <w:pPr>
        <w:spacing w:after="0"/>
        <w:ind w:left="0"/>
        <w:jc w:val="both"/>
      </w:pPr>
      <w:r>
        <w:rPr>
          <w:rFonts w:ascii="Times New Roman"/>
          <w:b w:val="false"/>
          <w:i w:val="false"/>
          <w:color w:val="000000"/>
          <w:sz w:val="28"/>
        </w:rPr>
        <w:t>
      Имеется региональная дифференциация по уровню развития жилищного строительства. Значительные разрывы наблюдаются между Алматинской, Жамбылской, Кызылординской областями и остальными регионами.</w:t>
      </w:r>
    </w:p>
    <w:bookmarkEnd w:id="141"/>
    <w:bookmarkStart w:name="z148" w:id="142"/>
    <w:p>
      <w:pPr>
        <w:spacing w:after="0"/>
        <w:ind w:left="0"/>
        <w:jc w:val="both"/>
      </w:pPr>
      <w:r>
        <w:rPr>
          <w:rFonts w:ascii="Times New Roman"/>
          <w:b w:val="false"/>
          <w:i w:val="false"/>
          <w:color w:val="000000"/>
          <w:sz w:val="28"/>
        </w:rPr>
        <w:t>
      Неравномерность наблюдается и по информатизации школ. Например, в Акмолинской области 95 % школ обеспечены ШПД к сети интернет со скоростью выше 4 Мбит/с, в то время как в Актюбинской - их всего 30 %.</w:t>
      </w:r>
    </w:p>
    <w:bookmarkEnd w:id="142"/>
    <w:bookmarkStart w:name="z149" w:id="14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Особенности территориального развития страны. Система расселения и характер рыночных связей</w:t>
      </w:r>
    </w:p>
    <w:bookmarkEnd w:id="143"/>
    <w:bookmarkStart w:name="z150" w:id="144"/>
    <w:p>
      <w:pPr>
        <w:spacing w:after="0"/>
        <w:ind w:left="0"/>
        <w:jc w:val="both"/>
      </w:pPr>
      <w:r>
        <w:rPr>
          <w:rFonts w:ascii="Times New Roman"/>
          <w:b w:val="false"/>
          <w:i w:val="false"/>
          <w:color w:val="000000"/>
          <w:sz w:val="28"/>
        </w:rPr>
        <w:t>
      Анализ проблем, тенденций агломерационного развития.</w:t>
      </w:r>
    </w:p>
    <w:bookmarkEnd w:id="144"/>
    <w:bookmarkStart w:name="z151" w:id="145"/>
    <w:p>
      <w:pPr>
        <w:spacing w:after="0"/>
        <w:ind w:left="0"/>
        <w:jc w:val="both"/>
      </w:pPr>
      <w:r>
        <w:rPr>
          <w:rFonts w:ascii="Times New Roman"/>
          <w:b w:val="false"/>
          <w:i w:val="false"/>
          <w:color w:val="000000"/>
          <w:sz w:val="28"/>
        </w:rPr>
        <w:t>
      Сегодня в четырех агломерациях страны проживает 36 % населения страны. Активные миграционные потоки за последние годы привели к ускоренному росту центров агломерации. Так, положительное сальдо миграции по центрам агломераций за 2010-2017 годы составило 480 тыс. чел.</w:t>
      </w:r>
    </w:p>
    <w:bookmarkEnd w:id="145"/>
    <w:bookmarkStart w:name="z152" w:id="146"/>
    <w:p>
      <w:pPr>
        <w:spacing w:after="0"/>
        <w:ind w:left="0"/>
        <w:jc w:val="both"/>
      </w:pPr>
      <w:r>
        <w:rPr>
          <w:rFonts w:ascii="Times New Roman"/>
          <w:b w:val="false"/>
          <w:i w:val="false"/>
          <w:color w:val="000000"/>
          <w:sz w:val="28"/>
        </w:rPr>
        <w:t>
      В центрах агломераций генерируется примерно 1/3 валового внутреннего продукта (далее - ВВП) страны. На долю агломераций приходится более 60 % привлекаемых в страну иностранных инвестиций. Города Нур-Султан и Алматы, концентрируя в себя экономическую деятельность, людей и ресурсы, уже сейчас становятся драйверами экономического роста страны.</w:t>
      </w:r>
    </w:p>
    <w:bookmarkEnd w:id="146"/>
    <w:bookmarkStart w:name="z153" w:id="147"/>
    <w:p>
      <w:pPr>
        <w:spacing w:after="0"/>
        <w:ind w:left="0"/>
        <w:jc w:val="both"/>
      </w:pPr>
      <w:r>
        <w:rPr>
          <w:rFonts w:ascii="Times New Roman"/>
          <w:b w:val="false"/>
          <w:i w:val="false"/>
          <w:color w:val="000000"/>
          <w:sz w:val="28"/>
        </w:rPr>
        <w:t>
      Вместе с тем, анализ развития городских агломераций в стране свидетельствует о наличии ряда проблем, сдерживающих их развитие.</w:t>
      </w:r>
    </w:p>
    <w:bookmarkEnd w:id="147"/>
    <w:bookmarkStart w:name="z154" w:id="148"/>
    <w:p>
      <w:pPr>
        <w:spacing w:after="0"/>
        <w:ind w:left="0"/>
        <w:jc w:val="both"/>
      </w:pPr>
      <w:r>
        <w:rPr>
          <w:rFonts w:ascii="Times New Roman"/>
          <w:b w:val="false"/>
          <w:i w:val="false"/>
          <w:color w:val="000000"/>
          <w:sz w:val="28"/>
        </w:rPr>
        <w:t>
      Недостаточная координация инфраструктурного развития и бюджетного планирования центра агломерации и окружающих населенных пунктов, приводит к неравномерному развитию центральных и пригородных зон. Центр стягивает на себя ресурсы, тем самым снижая привлекательность периферийных зон для людей и инвестиций.</w:t>
      </w:r>
    </w:p>
    <w:bookmarkEnd w:id="148"/>
    <w:bookmarkStart w:name="z155" w:id="149"/>
    <w:p>
      <w:pPr>
        <w:spacing w:after="0"/>
        <w:ind w:left="0"/>
        <w:jc w:val="both"/>
      </w:pPr>
      <w:r>
        <w:rPr>
          <w:rFonts w:ascii="Times New Roman"/>
          <w:b w:val="false"/>
          <w:i w:val="false"/>
          <w:color w:val="000000"/>
          <w:sz w:val="28"/>
        </w:rPr>
        <w:t>
      Актуальными остаются проблемы, связанные с высоким износом сетей, слабой транспортной связанностью. В центрах агломераций сохраняется проблема стихийного разрастания окраин. Это приводит к вытеснению природных ландшафтов и усилению антропогенного воздействия на экологическую систему. Для центров агломераций характерна высокая загрязненность атмосферного воздуха. По итогам 2018 года в городах Нур-Султане, Алматы и Актобе зафиксирован высокий уровень загрязнения атмосферного воздуха (ИЗА 5 - 7-13), а в городе Шымкенте зафиксирован повышенный уровень загрязнения (ИЗА 5 - 5-6). Имеются проблемы, связанные с переработкой твердых бытовых отходов (далее - ТБО).</w:t>
      </w:r>
    </w:p>
    <w:bookmarkEnd w:id="149"/>
    <w:bookmarkStart w:name="z156" w:id="150"/>
    <w:p>
      <w:pPr>
        <w:spacing w:after="0"/>
        <w:ind w:left="0"/>
        <w:jc w:val="both"/>
      </w:pPr>
      <w:r>
        <w:rPr>
          <w:rFonts w:ascii="Times New Roman"/>
          <w:b w:val="false"/>
          <w:i w:val="false"/>
          <w:color w:val="000000"/>
          <w:sz w:val="28"/>
        </w:rPr>
        <w:t>
      В результате ежедневной маятниковой миграции центры агломераций испытывают значительные нагрузки на социальную и инженерную инфраструктуру, нехватку жилья и так далее.</w:t>
      </w:r>
    </w:p>
    <w:bookmarkEnd w:id="150"/>
    <w:bookmarkStart w:name="z157" w:id="151"/>
    <w:p>
      <w:pPr>
        <w:spacing w:after="0"/>
        <w:ind w:left="0"/>
        <w:jc w:val="both"/>
      </w:pPr>
      <w:r>
        <w:rPr>
          <w:rFonts w:ascii="Times New Roman"/>
          <w:b w:val="false"/>
          <w:i w:val="false"/>
          <w:color w:val="000000"/>
          <w:sz w:val="28"/>
        </w:rPr>
        <w:t>
      Необходимо пересмотреть существующие границы агломераций. К примеру, территории столичной (21,7 тыс. кв. км) и Алматинской (9,4) агломераций значительно превышают площадь территорий крупнейших агломераций в мире, таких как Токио (8,5), Чикаго (6,8), Шанхай (3,5), Сан- Паулу (3,2).</w:t>
      </w:r>
    </w:p>
    <w:bookmarkEnd w:id="151"/>
    <w:bookmarkStart w:name="z158" w:id="152"/>
    <w:p>
      <w:pPr>
        <w:spacing w:after="0"/>
        <w:ind w:left="0"/>
        <w:jc w:val="both"/>
      </w:pPr>
      <w:r>
        <w:rPr>
          <w:rFonts w:ascii="Times New Roman"/>
          <w:b w:val="false"/>
          <w:i w:val="false"/>
          <w:color w:val="000000"/>
          <w:sz w:val="28"/>
        </w:rPr>
        <w:t>
      Столичная агломерация. За последние 10 лет валовой региональный продукт (далее - ВРП) города вырос в 4,2 раза, а доля города в ВВП страны за 2018 год (по предварительным данным) выросла до 9,8 %, при этом почти 80 % ВРП формирует сфера услуг.</w:t>
      </w:r>
    </w:p>
    <w:bookmarkEnd w:id="152"/>
    <w:bookmarkStart w:name="z159" w:id="153"/>
    <w:p>
      <w:pPr>
        <w:spacing w:after="0"/>
        <w:ind w:left="0"/>
        <w:jc w:val="both"/>
      </w:pPr>
      <w:r>
        <w:rPr>
          <w:rFonts w:ascii="Times New Roman"/>
          <w:b w:val="false"/>
          <w:i w:val="false"/>
          <w:color w:val="000000"/>
          <w:sz w:val="28"/>
        </w:rPr>
        <w:t>
      Численность населения центра за последние 10 лет выросла на 70 % и составила 1 078,3 тыс. человек.</w:t>
      </w:r>
    </w:p>
    <w:bookmarkEnd w:id="153"/>
    <w:bookmarkStart w:name="z160" w:id="154"/>
    <w:p>
      <w:pPr>
        <w:spacing w:after="0"/>
        <w:ind w:left="0"/>
        <w:jc w:val="both"/>
      </w:pPr>
      <w:r>
        <w:rPr>
          <w:rFonts w:ascii="Times New Roman"/>
          <w:b w:val="false"/>
          <w:i w:val="false"/>
          <w:color w:val="000000"/>
          <w:sz w:val="28"/>
        </w:rPr>
        <w:t>
      Стремительный рост численности населения создает ряд проблем, основными из которых являются обеспеченность врачебными кадрами, обеспеченность детей местами в дошкольных организациях, нехватка объектов инженерной инфраструктуры (JIPT, ливневой канализации, паркингов).</w:t>
      </w:r>
    </w:p>
    <w:bookmarkEnd w:id="154"/>
    <w:bookmarkStart w:name="z161" w:id="155"/>
    <w:p>
      <w:pPr>
        <w:spacing w:after="0"/>
        <w:ind w:left="0"/>
        <w:jc w:val="both"/>
      </w:pPr>
      <w:r>
        <w:rPr>
          <w:rFonts w:ascii="Times New Roman"/>
          <w:b w:val="false"/>
          <w:i w:val="false"/>
          <w:color w:val="000000"/>
          <w:sz w:val="28"/>
        </w:rPr>
        <w:t>
      Сохраняются и другие проблемные вопросы инфраструктурного характера: аварийное жилье, износ сетей водоснабжения (40-42 %), дорожные заторы, инфраструктурная необустроенность окраин города.</w:t>
      </w:r>
    </w:p>
    <w:bookmarkEnd w:id="155"/>
    <w:bookmarkStart w:name="z162" w:id="156"/>
    <w:p>
      <w:pPr>
        <w:spacing w:after="0"/>
        <w:ind w:left="0"/>
        <w:jc w:val="both"/>
      </w:pPr>
      <w:r>
        <w:rPr>
          <w:rFonts w:ascii="Times New Roman"/>
          <w:b w:val="false"/>
          <w:i w:val="false"/>
          <w:color w:val="000000"/>
          <w:sz w:val="28"/>
        </w:rPr>
        <w:t>
      На рынке труда агломерации имеет место дисбаланс спроса и предложения рабочей силы.</w:t>
      </w:r>
    </w:p>
    <w:bookmarkEnd w:id="156"/>
    <w:bookmarkStart w:name="z163" w:id="157"/>
    <w:p>
      <w:pPr>
        <w:spacing w:after="0"/>
        <w:ind w:left="0"/>
        <w:jc w:val="both"/>
      </w:pPr>
      <w:r>
        <w:rPr>
          <w:rFonts w:ascii="Times New Roman"/>
          <w:b w:val="false"/>
          <w:i w:val="false"/>
          <w:color w:val="000000"/>
          <w:sz w:val="28"/>
        </w:rPr>
        <w:t>
      Острой проблемой остается загрязнение атмосферы выбросами от ТЭЦ-1 и ТЭЦ-2, автотранспорта, а также частных домов.</w:t>
      </w:r>
    </w:p>
    <w:bookmarkEnd w:id="157"/>
    <w:bookmarkStart w:name="z164" w:id="158"/>
    <w:p>
      <w:pPr>
        <w:spacing w:after="0"/>
        <w:ind w:left="0"/>
        <w:jc w:val="both"/>
      </w:pPr>
      <w:r>
        <w:rPr>
          <w:rFonts w:ascii="Times New Roman"/>
          <w:b w:val="false"/>
          <w:i w:val="false"/>
          <w:color w:val="000000"/>
          <w:sz w:val="28"/>
        </w:rPr>
        <w:t>
      Сброс неочищенных производственных и коммунально-бытовых стоков, а также несовершенство в городе ливневой системы загрязняет реку Есиль.</w:t>
      </w:r>
    </w:p>
    <w:bookmarkEnd w:id="158"/>
    <w:bookmarkStart w:name="z165" w:id="159"/>
    <w:p>
      <w:pPr>
        <w:spacing w:after="0"/>
        <w:ind w:left="0"/>
        <w:jc w:val="both"/>
      </w:pPr>
      <w:r>
        <w:rPr>
          <w:rFonts w:ascii="Times New Roman"/>
          <w:b w:val="false"/>
          <w:i w:val="false"/>
          <w:color w:val="000000"/>
          <w:sz w:val="28"/>
        </w:rPr>
        <w:t>
      Алматинская агломерация. Ядро агломерации обладает развитой сервисной экономикой, доля услуг в ВРП составляет 87 %. Не имея сырьевой базы, город опирается на человеческий капитал и предпринимательство. По итогам 2018 года, в городе Алматы действуют 174 тыс. субъектов малого и среднего бизнеса (далее - МСБ). Доля МСБ в структуре ВРП составляет 39,5 %.</w:t>
      </w:r>
    </w:p>
    <w:bookmarkEnd w:id="159"/>
    <w:bookmarkStart w:name="z166" w:id="160"/>
    <w:p>
      <w:pPr>
        <w:spacing w:after="0"/>
        <w:ind w:left="0"/>
        <w:jc w:val="both"/>
      </w:pPr>
      <w:r>
        <w:rPr>
          <w:rFonts w:ascii="Times New Roman"/>
          <w:b w:val="false"/>
          <w:i w:val="false"/>
          <w:color w:val="000000"/>
          <w:sz w:val="28"/>
        </w:rPr>
        <w:t>
      Численность населения центра агломерации за последние 10 лет выросла на 32,3 % и составила по итогам 2018 года 1,8 млн. человек.</w:t>
      </w:r>
    </w:p>
    <w:bookmarkEnd w:id="160"/>
    <w:bookmarkStart w:name="z167" w:id="161"/>
    <w:p>
      <w:pPr>
        <w:spacing w:after="0"/>
        <w:ind w:left="0"/>
        <w:jc w:val="both"/>
      </w:pPr>
      <w:r>
        <w:rPr>
          <w:rFonts w:ascii="Times New Roman"/>
          <w:b w:val="false"/>
          <w:i w:val="false"/>
          <w:color w:val="000000"/>
          <w:sz w:val="28"/>
        </w:rPr>
        <w:t>
      Одной из основных проблем центра агломерации является преодоление последствий высокого уровня миграции в город, разрастание окраин города.</w:t>
      </w:r>
    </w:p>
    <w:bookmarkEnd w:id="161"/>
    <w:bookmarkStart w:name="z168" w:id="162"/>
    <w:p>
      <w:pPr>
        <w:spacing w:after="0"/>
        <w:ind w:left="0"/>
        <w:jc w:val="both"/>
      </w:pPr>
      <w:r>
        <w:rPr>
          <w:rFonts w:ascii="Times New Roman"/>
          <w:b w:val="false"/>
          <w:i w:val="false"/>
          <w:color w:val="000000"/>
          <w:sz w:val="28"/>
        </w:rPr>
        <w:t>
      Городу требуется решение проблем в системе жилищно-коммунального хозяйства: высокий уровень износа сетей электро- и теплоснабжения, водоснабжения и водоотведения (более 60 %) и, как следствие, потери в сетях.</w:t>
      </w:r>
    </w:p>
    <w:bookmarkEnd w:id="162"/>
    <w:bookmarkStart w:name="z169" w:id="163"/>
    <w:p>
      <w:pPr>
        <w:spacing w:after="0"/>
        <w:ind w:left="0"/>
        <w:jc w:val="both"/>
      </w:pPr>
      <w:r>
        <w:rPr>
          <w:rFonts w:ascii="Times New Roman"/>
          <w:b w:val="false"/>
          <w:i w:val="false"/>
          <w:color w:val="000000"/>
          <w:sz w:val="28"/>
        </w:rPr>
        <w:t>
      Основным источником загрязнения атмосферного воздуха является автотранспорт. Валовые выбросы от стационарных источников (с учетом ТЭЦ - 2) составляют 39 тыс. тонн (около 32 %), от индивидуального жилого сектора 3,9 тыс. тонн (3 %), от передвижных источников - 80 тыс. тонн (65 %).</w:t>
      </w:r>
    </w:p>
    <w:bookmarkEnd w:id="163"/>
    <w:bookmarkStart w:name="z170" w:id="164"/>
    <w:p>
      <w:pPr>
        <w:spacing w:after="0"/>
        <w:ind w:left="0"/>
        <w:jc w:val="both"/>
      </w:pPr>
      <w:r>
        <w:rPr>
          <w:rFonts w:ascii="Times New Roman"/>
          <w:b w:val="false"/>
          <w:i w:val="false"/>
          <w:color w:val="000000"/>
          <w:sz w:val="28"/>
        </w:rPr>
        <w:t>
      Ввиду географических особенностей расположения Алматы, он является одним из самых сейсмоопасных и селеопасных регионов.</w:t>
      </w:r>
    </w:p>
    <w:bookmarkEnd w:id="164"/>
    <w:bookmarkStart w:name="z171" w:id="165"/>
    <w:p>
      <w:pPr>
        <w:spacing w:after="0"/>
        <w:ind w:left="0"/>
        <w:jc w:val="both"/>
      </w:pPr>
      <w:r>
        <w:rPr>
          <w:rFonts w:ascii="Times New Roman"/>
          <w:b w:val="false"/>
          <w:i w:val="false"/>
          <w:color w:val="000000"/>
          <w:sz w:val="28"/>
        </w:rPr>
        <w:t>
      Шымкентская агломерация. Численность населения города Шымкента за последние 10 лет выросла на 69 % и составила по итогам 2018 года 1,011 тыс. чел. В структуре ВРП 26,6 % занимает промышленность, 15,4 % - оптовая и розничная торговля.</w:t>
      </w:r>
    </w:p>
    <w:bookmarkEnd w:id="165"/>
    <w:bookmarkStart w:name="z172" w:id="166"/>
    <w:p>
      <w:pPr>
        <w:spacing w:after="0"/>
        <w:ind w:left="0"/>
        <w:jc w:val="both"/>
      </w:pPr>
      <w:r>
        <w:rPr>
          <w:rFonts w:ascii="Times New Roman"/>
          <w:b w:val="false"/>
          <w:i w:val="false"/>
          <w:color w:val="000000"/>
          <w:sz w:val="28"/>
        </w:rPr>
        <w:t>
      Неконтролируемое разрастание центра агломерации без доступа населения к базовой инженерной и социальной инфраструктуре приводит к снижению экономической плотности в центре агломерации и росту расходов города на ее строительство и содержание.</w:t>
      </w:r>
    </w:p>
    <w:bookmarkEnd w:id="166"/>
    <w:bookmarkStart w:name="z173" w:id="167"/>
    <w:p>
      <w:pPr>
        <w:spacing w:after="0"/>
        <w:ind w:left="0"/>
        <w:jc w:val="both"/>
      </w:pPr>
      <w:r>
        <w:rPr>
          <w:rFonts w:ascii="Times New Roman"/>
          <w:b w:val="false"/>
          <w:i w:val="false"/>
          <w:color w:val="000000"/>
          <w:sz w:val="28"/>
        </w:rPr>
        <w:t>
      Порядка 50 % объема промышленной продукции приходится на центр агломерации. При этом 61 % продукции обрабатывающей промышленности приходится на город Шымкент. Большая часть основных средств региона также приходится на центр агломерации - 68 %.</w:t>
      </w:r>
    </w:p>
    <w:bookmarkEnd w:id="167"/>
    <w:bookmarkStart w:name="z174" w:id="168"/>
    <w:p>
      <w:pPr>
        <w:spacing w:after="0"/>
        <w:ind w:left="0"/>
        <w:jc w:val="both"/>
      </w:pPr>
      <w:r>
        <w:rPr>
          <w:rFonts w:ascii="Times New Roman"/>
          <w:b w:val="false"/>
          <w:i w:val="false"/>
          <w:color w:val="000000"/>
          <w:sz w:val="28"/>
        </w:rPr>
        <w:t>
      В центре агломерации имеются проблемы, связанные с низкой обеспеченностью медицинскими кадрами, дефицитом мест в детских дошкольных учреждениях и наличием трехсменного обучения в школах.</w:t>
      </w:r>
    </w:p>
    <w:bookmarkEnd w:id="168"/>
    <w:bookmarkStart w:name="z175" w:id="169"/>
    <w:p>
      <w:pPr>
        <w:spacing w:after="0"/>
        <w:ind w:left="0"/>
        <w:jc w:val="both"/>
      </w:pPr>
      <w:r>
        <w:rPr>
          <w:rFonts w:ascii="Times New Roman"/>
          <w:b w:val="false"/>
          <w:i w:val="false"/>
          <w:color w:val="000000"/>
          <w:sz w:val="28"/>
        </w:rPr>
        <w:t>
      Требует улучшения дорожная инфраструктура города. Более половины дорог города находятся в неудовлетворительном состоянии.</w:t>
      </w:r>
    </w:p>
    <w:bookmarkEnd w:id="169"/>
    <w:bookmarkStart w:name="z176" w:id="170"/>
    <w:p>
      <w:pPr>
        <w:spacing w:after="0"/>
        <w:ind w:left="0"/>
        <w:jc w:val="both"/>
      </w:pPr>
      <w:r>
        <w:rPr>
          <w:rFonts w:ascii="Times New Roman"/>
          <w:b w:val="false"/>
          <w:i w:val="false"/>
          <w:color w:val="000000"/>
          <w:sz w:val="28"/>
        </w:rPr>
        <w:t>
      Актюбинская агломерация. В Актюбинской агломерации в настоящее время проживает 638 тыс. чел. За последние 10 лет численность населения центра агломерации выросла на 19 % и составила по итогам 2018 года 430 тыс. чел.</w:t>
      </w:r>
    </w:p>
    <w:bookmarkEnd w:id="170"/>
    <w:bookmarkStart w:name="z177" w:id="171"/>
    <w:p>
      <w:pPr>
        <w:spacing w:after="0"/>
        <w:ind w:left="0"/>
        <w:jc w:val="both"/>
      </w:pPr>
      <w:r>
        <w:rPr>
          <w:rFonts w:ascii="Times New Roman"/>
          <w:b w:val="false"/>
          <w:i w:val="false"/>
          <w:color w:val="000000"/>
          <w:sz w:val="28"/>
        </w:rPr>
        <w:t>
      На центр агломерации приходится порядка 33 % объема производства промышленной продукции Актюбинской области и 82,5 % от всего объема обрабатывающей промышленности.</w:t>
      </w:r>
    </w:p>
    <w:bookmarkEnd w:id="171"/>
    <w:bookmarkStart w:name="z178" w:id="172"/>
    <w:p>
      <w:pPr>
        <w:spacing w:after="0"/>
        <w:ind w:left="0"/>
        <w:jc w:val="both"/>
      </w:pPr>
      <w:r>
        <w:rPr>
          <w:rFonts w:ascii="Times New Roman"/>
          <w:b w:val="false"/>
          <w:i w:val="false"/>
          <w:color w:val="000000"/>
          <w:sz w:val="28"/>
        </w:rPr>
        <w:t>
      Экономика агломерации испытывает сильную зависимость от сырьевых рынков. Экспортная корзина агломерации характеризуется низкой диверсификацией. Для устойчивости экономики необходимо принять меры по развитию обрабатывающей промышленности и сферы услуг на базе имеющихся мощностей.</w:t>
      </w:r>
    </w:p>
    <w:bookmarkEnd w:id="172"/>
    <w:bookmarkStart w:name="z179" w:id="173"/>
    <w:p>
      <w:pPr>
        <w:spacing w:after="0"/>
        <w:ind w:left="0"/>
        <w:jc w:val="both"/>
      </w:pPr>
      <w:r>
        <w:rPr>
          <w:rFonts w:ascii="Times New Roman"/>
          <w:b w:val="false"/>
          <w:i w:val="false"/>
          <w:color w:val="000000"/>
          <w:sz w:val="28"/>
        </w:rPr>
        <w:t>
      Слабо диверсифицированная экономика, неразвитость рынка труда и преобладание добывающих отраслей приводит к оттоку квалифицированных кадров за пределы агломерации. Оттоку населения способствует близость российских городов-миллионников.</w:t>
      </w:r>
    </w:p>
    <w:bookmarkEnd w:id="173"/>
    <w:bookmarkStart w:name="z180" w:id="174"/>
    <w:p>
      <w:pPr>
        <w:spacing w:after="0"/>
        <w:ind w:left="0"/>
        <w:jc w:val="both"/>
      </w:pPr>
      <w:r>
        <w:rPr>
          <w:rFonts w:ascii="Times New Roman"/>
          <w:b w:val="false"/>
          <w:i w:val="false"/>
          <w:color w:val="000000"/>
          <w:sz w:val="28"/>
        </w:rPr>
        <w:t>
      Помимо агломерации центрами функциональных городских районов (далее - ФГР) являются все областные центры и город Семей. В целом в агломерациях и других функциональных городских районах сосредоточены 34 города и около более 500 СНП, где проживают более 11 млн. человек. Необходимо отметить, что ФГР являются локальными центрами регионального роста.</w:t>
      </w:r>
    </w:p>
    <w:bookmarkEnd w:id="174"/>
    <w:bookmarkStart w:name="z181" w:id="175"/>
    <w:p>
      <w:pPr>
        <w:spacing w:after="0"/>
        <w:ind w:left="0"/>
        <w:jc w:val="both"/>
      </w:pPr>
      <w:r>
        <w:rPr>
          <w:rFonts w:ascii="Times New Roman"/>
          <w:b w:val="false"/>
          <w:i w:val="false"/>
          <w:color w:val="000000"/>
          <w:sz w:val="28"/>
        </w:rPr>
        <w:t>
      Анализ проблем, тенденций развития моно и малых городов. Фактически во всех моно и малых городах показатели социально-экономического развития сложились ниже среднереспубликанских показателей и имеют тенденцию к снижению, например, спад объемов производства (в среднем до 30 %), высокий износ инженерной и социальной инфраструктуры (в среднем более 50 %), отрицательное сальдо миграции (около 20 тыс. человек), высокая доля населения пенсионного возраста (10 % от численности населения), расстояние до крупного населенного пункта, с которым имеется более тесная социально- экономическая связь (в среднем 134 км).</w:t>
      </w:r>
    </w:p>
    <w:bookmarkEnd w:id="175"/>
    <w:bookmarkStart w:name="z182" w:id="176"/>
    <w:p>
      <w:pPr>
        <w:spacing w:after="0"/>
        <w:ind w:left="0"/>
        <w:jc w:val="both"/>
      </w:pPr>
      <w:r>
        <w:rPr>
          <w:rFonts w:ascii="Times New Roman"/>
          <w:b w:val="false"/>
          <w:i w:val="false"/>
          <w:color w:val="000000"/>
          <w:sz w:val="28"/>
        </w:rPr>
        <w:t>
      В основном, проблемы моногородов связаны с низкой степенью диверсификации их экономики, высокой зависимостью занятости населения от перспектив развития градообразующего предприятия, истощением запасов сырья (например, города Жанаозена, Аркалыка).</w:t>
      </w:r>
    </w:p>
    <w:bookmarkEnd w:id="176"/>
    <w:bookmarkStart w:name="z183" w:id="177"/>
    <w:p>
      <w:pPr>
        <w:spacing w:after="0"/>
        <w:ind w:left="0"/>
        <w:jc w:val="both"/>
      </w:pPr>
      <w:r>
        <w:rPr>
          <w:rFonts w:ascii="Times New Roman"/>
          <w:b w:val="false"/>
          <w:i w:val="false"/>
          <w:color w:val="000000"/>
          <w:sz w:val="28"/>
        </w:rPr>
        <w:t>
      Среди городов, имеющих стабильный рост экономики и перспективы развития, стоят проблемные вопросы наличия профессиональных кадров, в первую очередь инженерно-технических работников.</w:t>
      </w:r>
    </w:p>
    <w:bookmarkEnd w:id="177"/>
    <w:bookmarkStart w:name="z184" w:id="178"/>
    <w:p>
      <w:pPr>
        <w:spacing w:after="0"/>
        <w:ind w:left="0"/>
        <w:jc w:val="both"/>
      </w:pPr>
      <w:r>
        <w:rPr>
          <w:rFonts w:ascii="Times New Roman"/>
          <w:b w:val="false"/>
          <w:i w:val="false"/>
          <w:color w:val="000000"/>
          <w:sz w:val="28"/>
        </w:rPr>
        <w:t>
      Моно- и малые города в составе ФГР имеют перспективы экономического развития, в то время как потенциал остальных городов не имеет положительной динамики. Вместе с тем, большие моногорода с населением 50 тыс. чел. и более, не входящих в состав ФГР, требуют особого внимания государства в связи с наличием в них значительного кадрового потенциала и необходимости их трудоустройства в случае снижения объемов производства на градообразующих предприятиях.</w:t>
      </w:r>
    </w:p>
    <w:bookmarkEnd w:id="178"/>
    <w:bookmarkStart w:name="z185" w:id="179"/>
    <w:p>
      <w:pPr>
        <w:spacing w:after="0"/>
        <w:ind w:left="0"/>
        <w:jc w:val="both"/>
      </w:pPr>
      <w:r>
        <w:rPr>
          <w:rFonts w:ascii="Times New Roman"/>
          <w:b w:val="false"/>
          <w:i w:val="false"/>
          <w:color w:val="000000"/>
          <w:sz w:val="28"/>
        </w:rPr>
        <w:t>
      14 городов (2 моногорода, 12 малых городов) по численности населения не соответствуют городскому статусу.</w:t>
      </w:r>
    </w:p>
    <w:bookmarkEnd w:id="179"/>
    <w:bookmarkStart w:name="z186" w:id="180"/>
    <w:p>
      <w:pPr>
        <w:spacing w:after="0"/>
        <w:ind w:left="0"/>
        <w:jc w:val="both"/>
      </w:pPr>
      <w:r>
        <w:rPr>
          <w:rFonts w:ascii="Times New Roman"/>
          <w:b w:val="false"/>
          <w:i w:val="false"/>
          <w:color w:val="000000"/>
          <w:sz w:val="28"/>
        </w:rPr>
        <w:t>
      Развитие сельских территорий. Основные социально-экономические показатели развития сельских территорий за последние годы стабилизировались.</w:t>
      </w:r>
    </w:p>
    <w:bookmarkEnd w:id="180"/>
    <w:bookmarkStart w:name="z187" w:id="181"/>
    <w:p>
      <w:pPr>
        <w:spacing w:after="0"/>
        <w:ind w:left="0"/>
        <w:jc w:val="both"/>
      </w:pPr>
      <w:r>
        <w:rPr>
          <w:rFonts w:ascii="Times New Roman"/>
          <w:b w:val="false"/>
          <w:i w:val="false"/>
          <w:color w:val="000000"/>
          <w:sz w:val="28"/>
        </w:rPr>
        <w:t>
      Однако в сельской местности все еще имеется ряд проблем, требующих решения.</w:t>
      </w:r>
    </w:p>
    <w:bookmarkEnd w:id="181"/>
    <w:bookmarkStart w:name="z188" w:id="182"/>
    <w:p>
      <w:pPr>
        <w:spacing w:after="0"/>
        <w:ind w:left="0"/>
        <w:jc w:val="both"/>
      </w:pPr>
      <w:r>
        <w:rPr>
          <w:rFonts w:ascii="Times New Roman"/>
          <w:b w:val="false"/>
          <w:i w:val="false"/>
          <w:color w:val="000000"/>
          <w:sz w:val="28"/>
        </w:rPr>
        <w:t>
      В 3,5 тыс. СНП (или 52,8 % от 6,5 тыс. СНП) численность населения составляет менее 500 человек, с общей численностью проживающего населения в них 678,8 тыс. человек. Большая часть таких СНП приходится на Северо- Казахстанскую, Восточно-Казахстанскую, Акмолинскую, Костанайскую, Карагандинскую, Западно-Казахстанскую области.</w:t>
      </w:r>
    </w:p>
    <w:bookmarkEnd w:id="182"/>
    <w:bookmarkStart w:name="z189" w:id="183"/>
    <w:p>
      <w:pPr>
        <w:spacing w:after="0"/>
        <w:ind w:left="0"/>
        <w:jc w:val="both"/>
      </w:pPr>
      <w:r>
        <w:rPr>
          <w:rFonts w:ascii="Times New Roman"/>
          <w:b w:val="false"/>
          <w:i w:val="false"/>
          <w:color w:val="000000"/>
          <w:sz w:val="28"/>
        </w:rPr>
        <w:t>
      В структуре занятости сельского населения отмечается высокий уровень самозанятости (36,3 %), особенно в Западно-Казахстанской (55,5 %), Кызылординской (51,5 %), Туркестанской (47,8 %), Жамбылской (46,0 %), Акмолинской (21 %) и Восточно-Казахстанской (44,0 %) областях.</w:t>
      </w:r>
    </w:p>
    <w:bookmarkEnd w:id="183"/>
    <w:bookmarkStart w:name="z190" w:id="184"/>
    <w:p>
      <w:pPr>
        <w:spacing w:after="0"/>
        <w:ind w:left="0"/>
        <w:jc w:val="both"/>
      </w:pPr>
      <w:r>
        <w:rPr>
          <w:rFonts w:ascii="Times New Roman"/>
          <w:b w:val="false"/>
          <w:i w:val="false"/>
          <w:color w:val="000000"/>
          <w:sz w:val="28"/>
        </w:rPr>
        <w:t>
      В СНП требует решения проблема обеспечения централизованным водоснабжением. В настоящее время 59,9 % или 84,5 % сельского населения обеспечены централизованным водоснабжением. В Павлодарской, Костанайской, Западно-Казахстанской, Жамбылской, Восточно-Казахстанской, Актюбинской, Карагандинской, Акмолинской, Северо-Казахстанской и Мангистауской областях от 30 до 70 % СНП не имеют доступа к централизованному водоснабжению. Данный вопрос малочисленных СНП решается путем обеспечения как централизованным водоснабжением, так и локальными модуль-блоками.</w:t>
      </w:r>
    </w:p>
    <w:bookmarkEnd w:id="184"/>
    <w:bookmarkStart w:name="z191" w:id="185"/>
    <w:p>
      <w:pPr>
        <w:spacing w:after="0"/>
        <w:ind w:left="0"/>
        <w:jc w:val="both"/>
      </w:pPr>
      <w:r>
        <w:rPr>
          <w:rFonts w:ascii="Times New Roman"/>
          <w:b w:val="false"/>
          <w:i w:val="false"/>
          <w:color w:val="000000"/>
          <w:sz w:val="28"/>
        </w:rPr>
        <w:t>
      Общая протяженность дорог местной сети составляет 70,6 тыс. км. При этом 32 % местных дорог находятся в неудовлетворительном состоянии: в Западно-Казахстанской (71,3 %), Актюбинской (47 %), Атырауской (46 %), Северо-Казахстанской (39 %) и Кызылординской (36,5 %) областях.</w:t>
      </w:r>
    </w:p>
    <w:bookmarkEnd w:id="185"/>
    <w:bookmarkStart w:name="z192" w:id="186"/>
    <w:p>
      <w:pPr>
        <w:spacing w:after="0"/>
        <w:ind w:left="0"/>
        <w:jc w:val="both"/>
      </w:pPr>
      <w:r>
        <w:rPr>
          <w:rFonts w:ascii="Times New Roman"/>
          <w:b w:val="false"/>
          <w:i w:val="false"/>
          <w:color w:val="000000"/>
          <w:sz w:val="28"/>
        </w:rPr>
        <w:t>
      Также имеются проблемы по концентрации сил и средств государства по развитию социальной и инженерной инфраструктуры СНП, имеющих достаточный экономический потенциал на средне- и долгосрочную перспективу.</w:t>
      </w:r>
    </w:p>
    <w:bookmarkEnd w:id="186"/>
    <w:bookmarkStart w:name="z193" w:id="187"/>
    <w:p>
      <w:pPr>
        <w:spacing w:after="0"/>
        <w:ind w:left="0"/>
        <w:jc w:val="both"/>
      </w:pPr>
      <w:r>
        <w:rPr>
          <w:rFonts w:ascii="Times New Roman"/>
          <w:b w:val="false"/>
          <w:i w:val="false"/>
          <w:color w:val="000000"/>
          <w:sz w:val="28"/>
        </w:rPr>
        <w:t>
      Анализ проблем развития приграничных территорий. Ежегодно уменьшается количество приграничных СНП и численность населения. На текущий момент в приграничных регионах имеются 1,2 тыс. СНП с численностью порядка 1,5 млн. человек, миграционный отток по итогам 2017 года составил 16 тыс. человек.</w:t>
      </w:r>
    </w:p>
    <w:bookmarkEnd w:id="187"/>
    <w:bookmarkStart w:name="z194" w:id="188"/>
    <w:p>
      <w:pPr>
        <w:spacing w:after="0"/>
        <w:ind w:left="0"/>
        <w:jc w:val="both"/>
      </w:pPr>
      <w:r>
        <w:rPr>
          <w:rFonts w:ascii="Times New Roman"/>
          <w:b w:val="false"/>
          <w:i w:val="false"/>
          <w:color w:val="000000"/>
          <w:sz w:val="28"/>
        </w:rPr>
        <w:t>
      Однако в настоящее время потенциал приграничного месторасположения регионов страны недостаточно реализован. Если в южных регионах и Мангистауской области наблюдается приток мигрантов из Китайской Народной Республики (далее - КНР), Узбекистана, Туркменистана и Кыргызстана, то в граничащих с Российской Федерацией (далее - РФ) северных регионах наблюдается миграционный отток населения в ее крупные города. Приграничные регионы Казахстана отстают от ряда приграничных областей других государств по размеру среднедушевых доходов населения, наличию конкурентоспособных учебных заведений профессионального образования, что в перспективе создает риск оттока квалифицированных специалистов и молодежи.</w:t>
      </w:r>
    </w:p>
    <w:bookmarkEnd w:id="188"/>
    <w:bookmarkStart w:name="z195" w:id="189"/>
    <w:p>
      <w:pPr>
        <w:spacing w:after="0"/>
        <w:ind w:left="0"/>
        <w:jc w:val="both"/>
      </w:pPr>
      <w:r>
        <w:rPr>
          <w:rFonts w:ascii="Times New Roman"/>
          <w:b w:val="false"/>
          <w:i w:val="false"/>
          <w:color w:val="000000"/>
          <w:sz w:val="28"/>
        </w:rPr>
        <w:t>
      Дальнейшее развитие приграничных территорий будет связано с решением следующих системных проблем:</w:t>
      </w:r>
    </w:p>
    <w:bookmarkEnd w:id="189"/>
    <w:bookmarkStart w:name="z196" w:id="190"/>
    <w:p>
      <w:pPr>
        <w:spacing w:after="0"/>
        <w:ind w:left="0"/>
        <w:jc w:val="both"/>
      </w:pPr>
      <w:r>
        <w:rPr>
          <w:rFonts w:ascii="Times New Roman"/>
          <w:b w:val="false"/>
          <w:i w:val="false"/>
          <w:color w:val="000000"/>
          <w:sz w:val="28"/>
        </w:rPr>
        <w:t>
      непривлекательные условия для инвестирования;</w:t>
      </w:r>
    </w:p>
    <w:bookmarkEnd w:id="190"/>
    <w:bookmarkStart w:name="z197" w:id="191"/>
    <w:p>
      <w:pPr>
        <w:spacing w:after="0"/>
        <w:ind w:left="0"/>
        <w:jc w:val="both"/>
      </w:pPr>
      <w:r>
        <w:rPr>
          <w:rFonts w:ascii="Times New Roman"/>
          <w:b w:val="false"/>
          <w:i w:val="false"/>
          <w:color w:val="000000"/>
          <w:sz w:val="28"/>
        </w:rPr>
        <w:t>
      недостаточное обеспечение занятости населения;</w:t>
      </w:r>
    </w:p>
    <w:bookmarkEnd w:id="191"/>
    <w:bookmarkStart w:name="z198" w:id="192"/>
    <w:p>
      <w:pPr>
        <w:spacing w:after="0"/>
        <w:ind w:left="0"/>
        <w:jc w:val="both"/>
      </w:pPr>
      <w:r>
        <w:rPr>
          <w:rFonts w:ascii="Times New Roman"/>
          <w:b w:val="false"/>
          <w:i w:val="false"/>
          <w:color w:val="000000"/>
          <w:sz w:val="28"/>
        </w:rPr>
        <w:t>
      недостаточное финансирование инфраструктурных проектов, как самих населенных пунктов (строительство и реконструкция школ, больниц, дорог, систем водообеспечения, благоустройство и т.д.), так и пограничной инфраструктуры (обустройство мест пересечения государственной границы, пограничных застав, таможенной и пограничной инфраструктуры, повышение технической оснащенности существующих пограничных переходов, контрольно-пропускных и таможенных постов);</w:t>
      </w:r>
    </w:p>
    <w:bookmarkEnd w:id="192"/>
    <w:bookmarkStart w:name="z199" w:id="193"/>
    <w:p>
      <w:pPr>
        <w:spacing w:after="0"/>
        <w:ind w:left="0"/>
        <w:jc w:val="both"/>
      </w:pPr>
      <w:r>
        <w:rPr>
          <w:rFonts w:ascii="Times New Roman"/>
          <w:b w:val="false"/>
          <w:i w:val="false"/>
          <w:color w:val="000000"/>
          <w:sz w:val="28"/>
        </w:rPr>
        <w:t>
      неудовлетворительное состояние автомобильных дорог;</w:t>
      </w:r>
    </w:p>
    <w:bookmarkEnd w:id="193"/>
    <w:bookmarkStart w:name="z200" w:id="194"/>
    <w:p>
      <w:pPr>
        <w:spacing w:after="0"/>
        <w:ind w:left="0"/>
        <w:jc w:val="both"/>
      </w:pPr>
      <w:r>
        <w:rPr>
          <w:rFonts w:ascii="Times New Roman"/>
          <w:b w:val="false"/>
          <w:i w:val="false"/>
          <w:color w:val="000000"/>
          <w:sz w:val="28"/>
        </w:rPr>
        <w:t>
      высокий износ объектов социальной инфраструктуры и жилищно- коммунального хозяйства;</w:t>
      </w:r>
    </w:p>
    <w:bookmarkEnd w:id="194"/>
    <w:bookmarkStart w:name="z201" w:id="195"/>
    <w:p>
      <w:pPr>
        <w:spacing w:after="0"/>
        <w:ind w:left="0"/>
        <w:jc w:val="both"/>
      </w:pPr>
      <w:r>
        <w:rPr>
          <w:rFonts w:ascii="Times New Roman"/>
          <w:b w:val="false"/>
          <w:i w:val="false"/>
          <w:color w:val="000000"/>
          <w:sz w:val="28"/>
        </w:rPr>
        <w:t>
      нехватка специалистов в бюджетных организациях образования, здравоохранения, культуры и спорта;</w:t>
      </w:r>
    </w:p>
    <w:bookmarkEnd w:id="195"/>
    <w:bookmarkStart w:name="z202" w:id="196"/>
    <w:p>
      <w:pPr>
        <w:spacing w:after="0"/>
        <w:ind w:left="0"/>
        <w:jc w:val="both"/>
      </w:pPr>
      <w:r>
        <w:rPr>
          <w:rFonts w:ascii="Times New Roman"/>
          <w:b w:val="false"/>
          <w:i w:val="false"/>
          <w:color w:val="000000"/>
          <w:sz w:val="28"/>
        </w:rPr>
        <w:t>
      износ пастбищных угодий.</w:t>
      </w:r>
    </w:p>
    <w:bookmarkEnd w:id="196"/>
    <w:bookmarkStart w:name="z203" w:id="197"/>
    <w:p>
      <w:pPr>
        <w:spacing w:after="0"/>
        <w:ind w:left="0"/>
        <w:jc w:val="both"/>
      </w:pPr>
      <w:r>
        <w:rPr>
          <w:rFonts w:ascii="Times New Roman"/>
          <w:b w:val="false"/>
          <w:i w:val="false"/>
          <w:color w:val="000000"/>
          <w:sz w:val="28"/>
        </w:rPr>
        <w:t xml:space="preserve">
      </w:t>
      </w:r>
      <w:r>
        <w:rPr>
          <w:rFonts w:ascii="Times New Roman"/>
          <w:b/>
          <w:i w:val="false"/>
          <w:color w:val="000000"/>
          <w:sz w:val="28"/>
        </w:rPr>
        <w:t>Классификация и анализ регионов по экономической специализации</w:t>
      </w:r>
      <w:r>
        <w:rPr>
          <w:rFonts w:ascii="Times New Roman"/>
          <w:b w:val="false"/>
          <w:i w:val="false"/>
          <w:color w:val="000000"/>
          <w:vertAlign w:val="superscript"/>
        </w:rPr>
        <w:t>6</w:t>
      </w:r>
      <w:r>
        <w:rPr>
          <w:rFonts w:ascii="Times New Roman"/>
          <w:b/>
          <w:i w:val="false"/>
          <w:color w:val="000000"/>
          <w:sz w:val="28"/>
        </w:rPr>
        <w:t xml:space="preserve"> Акмолинская область</w:t>
      </w:r>
    </w:p>
    <w:bookmarkEnd w:id="197"/>
    <w:bookmarkStart w:name="z204" w:id="198"/>
    <w:p>
      <w:pPr>
        <w:spacing w:after="0"/>
        <w:ind w:left="0"/>
        <w:jc w:val="both"/>
      </w:pPr>
      <w:r>
        <w:rPr>
          <w:rFonts w:ascii="Times New Roman"/>
          <w:b w:val="false"/>
          <w:i w:val="false"/>
          <w:color w:val="000000"/>
          <w:sz w:val="28"/>
        </w:rPr>
        <w:t>
      Специализация области носит индустриально-аграрный характер. Доля области в валовом выпуске сельского хозяйства в 2018 году составляла 9 % (5-е место). Основной продукцией сельского хозяйства региона являются зерновые культуры, посевная площадь которых в области самая большая в Казахстане - 4,3 млн. га или 27,9 % от всей посевной площади в стране. В отраслевой структуре сельского хозяйства области преобладает растениеводство - 64,6 %.</w:t>
      </w:r>
    </w:p>
    <w:bookmarkEnd w:id="198"/>
    <w:bookmarkStart w:name="z205" w:id="199"/>
    <w:p>
      <w:pPr>
        <w:spacing w:after="0"/>
        <w:ind w:left="0"/>
        <w:jc w:val="both"/>
      </w:pPr>
      <w:r>
        <w:rPr>
          <w:rFonts w:ascii="Times New Roman"/>
          <w:b w:val="false"/>
          <w:i w:val="false"/>
          <w:color w:val="000000"/>
          <w:sz w:val="28"/>
        </w:rPr>
        <w:t>
      В структуре ВРП области доля промышленности составляет 25,7 %. Специализация промышленности представлена добычей золотосодержащих руд, химической промышленностью, производством продуктов питания, машиностроением, а также производством строительных материалов.</w:t>
      </w:r>
    </w:p>
    <w:bookmarkEnd w:id="199"/>
    <w:bookmarkStart w:name="z206" w:id="200"/>
    <w:p>
      <w:pPr>
        <w:spacing w:after="0"/>
        <w:ind w:left="0"/>
        <w:jc w:val="both"/>
      </w:pPr>
      <w:r>
        <w:rPr>
          <w:rFonts w:ascii="Times New Roman"/>
          <w:b w:val="false"/>
          <w:i w:val="false"/>
          <w:color w:val="000000"/>
          <w:sz w:val="28"/>
        </w:rPr>
        <w:t xml:space="preserve">
      </w:t>
      </w:r>
      <w:r>
        <w:rPr>
          <w:rFonts w:ascii="Times New Roman"/>
          <w:b/>
          <w:i w:val="false"/>
          <w:color w:val="000000"/>
          <w:sz w:val="28"/>
        </w:rPr>
        <w:t>Актюбинская область</w:t>
      </w:r>
    </w:p>
    <w:bookmarkEnd w:id="200"/>
    <w:bookmarkStart w:name="z207" w:id="201"/>
    <w:p>
      <w:pPr>
        <w:spacing w:after="0"/>
        <w:ind w:left="0"/>
        <w:jc w:val="both"/>
      </w:pPr>
      <w:r>
        <w:rPr>
          <w:rFonts w:ascii="Times New Roman"/>
          <w:b w:val="false"/>
          <w:i w:val="false"/>
          <w:color w:val="000000"/>
          <w:sz w:val="28"/>
        </w:rPr>
        <w:t>
      Область относится к индустриально-аграрным регионам страны. В структуре ВРП основную часть занимает промышленность (38,4), которая представлена добычей нефти и газа, металлургией, химической промышленностью и машиностроением. На регион приходится 6,7 % горнодобывающей промышленности страны (4 место). По объему ВРП регион занимает 9 место.</w:t>
      </w:r>
    </w:p>
    <w:bookmarkEnd w:id="201"/>
    <w:bookmarkStart w:name="z208" w:id="202"/>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Алматинская область</w:t>
      </w:r>
    </w:p>
    <w:bookmarkEnd w:id="202"/>
    <w:bookmarkStart w:name="z209" w:id="203"/>
    <w:p>
      <w:pPr>
        <w:spacing w:after="0"/>
        <w:ind w:left="0"/>
        <w:jc w:val="both"/>
      </w:pPr>
      <w:r>
        <w:rPr>
          <w:rFonts w:ascii="Times New Roman"/>
          <w:b w:val="false"/>
          <w:i w:val="false"/>
          <w:color w:val="000000"/>
          <w:sz w:val="28"/>
        </w:rPr>
        <w:t>
      Область является индустриально-аграрной, где 77 % населения проживает в сельской местности. Регион занимает первое место в стране по объему валовой продукции сельского хозяйства, с равными долями растениеводства и животноводства.</w:t>
      </w:r>
    </w:p>
    <w:bookmarkEnd w:id="203"/>
    <w:bookmarkStart w:name="z210" w:id="204"/>
    <w:p>
      <w:pPr>
        <w:spacing w:after="0"/>
        <w:ind w:left="0"/>
        <w:jc w:val="both"/>
      </w:pPr>
      <w:r>
        <w:rPr>
          <w:rFonts w:ascii="Times New Roman"/>
          <w:b w:val="false"/>
          <w:i w:val="false"/>
          <w:color w:val="000000"/>
          <w:sz w:val="28"/>
        </w:rPr>
        <w:t>
      __________________________________________________________________</w:t>
      </w:r>
    </w:p>
    <w:bookmarkEnd w:id="204"/>
    <w:bookmarkStart w:name="z211" w:id="2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Далее по подразделу "Классификация и анализ регионов по экономической специализации" данные приведены за 2018 год</w:t>
      </w:r>
    </w:p>
    <w:bookmarkEnd w:id="205"/>
    <w:bookmarkStart w:name="z212" w:id="206"/>
    <w:p>
      <w:pPr>
        <w:spacing w:after="0"/>
        <w:ind w:left="0"/>
        <w:jc w:val="both"/>
      </w:pPr>
      <w:r>
        <w:rPr>
          <w:rFonts w:ascii="Times New Roman"/>
          <w:b w:val="false"/>
          <w:i w:val="false"/>
          <w:color w:val="000000"/>
          <w:sz w:val="28"/>
        </w:rPr>
        <w:t>
      В ВРП региона доля сельского хозяйства составляет 14,7 %, промышленности - 24,4 %. Основу промышленности составляет производство продуктов питания. Отрасль промышленности также представлена производством строительных материалов, машиностроением и металлургией.</w:t>
      </w:r>
    </w:p>
    <w:bookmarkEnd w:id="206"/>
    <w:bookmarkStart w:name="z213" w:id="207"/>
    <w:p>
      <w:pPr>
        <w:spacing w:after="0"/>
        <w:ind w:left="0"/>
        <w:jc w:val="both"/>
      </w:pPr>
      <w:r>
        <w:rPr>
          <w:rFonts w:ascii="Times New Roman"/>
          <w:b w:val="false"/>
          <w:i w:val="false"/>
          <w:color w:val="000000"/>
          <w:sz w:val="28"/>
        </w:rPr>
        <w:t xml:space="preserve">
      </w:t>
      </w:r>
      <w:r>
        <w:rPr>
          <w:rFonts w:ascii="Times New Roman"/>
          <w:b/>
          <w:i w:val="false"/>
          <w:color w:val="000000"/>
          <w:sz w:val="28"/>
        </w:rPr>
        <w:t>Атырауская область</w:t>
      </w:r>
    </w:p>
    <w:bookmarkEnd w:id="207"/>
    <w:bookmarkStart w:name="z214" w:id="208"/>
    <w:p>
      <w:pPr>
        <w:spacing w:after="0"/>
        <w:ind w:left="0"/>
        <w:jc w:val="both"/>
      </w:pPr>
      <w:r>
        <w:rPr>
          <w:rFonts w:ascii="Times New Roman"/>
          <w:b w:val="false"/>
          <w:i w:val="false"/>
          <w:color w:val="000000"/>
          <w:sz w:val="28"/>
        </w:rPr>
        <w:t>
      Область является лидером по производству промышленной продукции. Регион производит 27,2 % от общереспубликанского объема промышленной продукции страны. В структуре ВРП доля промышленности составляет 52 %, при этом более 85 % от всего объема промышленного производства приходится на долю нефтегазовой отрасли.</w:t>
      </w:r>
    </w:p>
    <w:bookmarkEnd w:id="208"/>
    <w:bookmarkStart w:name="z215" w:id="209"/>
    <w:p>
      <w:pPr>
        <w:spacing w:after="0"/>
        <w:ind w:left="0"/>
        <w:jc w:val="both"/>
      </w:pPr>
      <w:r>
        <w:rPr>
          <w:rFonts w:ascii="Times New Roman"/>
          <w:b w:val="false"/>
          <w:i w:val="false"/>
          <w:color w:val="000000"/>
          <w:sz w:val="28"/>
        </w:rPr>
        <w:t>
      Регион также специализируется на переработке нефти, нефтехимии, рыбоводстве и производстве строительных материалов.</w:t>
      </w:r>
    </w:p>
    <w:bookmarkEnd w:id="209"/>
    <w:bookmarkStart w:name="z216" w:id="210"/>
    <w:p>
      <w:pPr>
        <w:spacing w:after="0"/>
        <w:ind w:left="0"/>
        <w:jc w:val="both"/>
      </w:pPr>
      <w:r>
        <w:rPr>
          <w:rFonts w:ascii="Times New Roman"/>
          <w:b w:val="false"/>
          <w:i w:val="false"/>
          <w:color w:val="000000"/>
          <w:sz w:val="28"/>
        </w:rPr>
        <w:t xml:space="preserve">
      </w:t>
      </w:r>
      <w:r>
        <w:rPr>
          <w:rFonts w:ascii="Times New Roman"/>
          <w:b/>
          <w:i w:val="false"/>
          <w:color w:val="000000"/>
          <w:sz w:val="28"/>
        </w:rPr>
        <w:t>Восточно-Казахстанская область</w:t>
      </w:r>
    </w:p>
    <w:bookmarkEnd w:id="210"/>
    <w:bookmarkStart w:name="z217" w:id="211"/>
    <w:p>
      <w:pPr>
        <w:spacing w:after="0"/>
        <w:ind w:left="0"/>
        <w:jc w:val="both"/>
      </w:pPr>
      <w:r>
        <w:rPr>
          <w:rFonts w:ascii="Times New Roman"/>
          <w:b w:val="false"/>
          <w:i w:val="false"/>
          <w:color w:val="000000"/>
          <w:sz w:val="28"/>
        </w:rPr>
        <w:t>
      Область относится к числу индустриально-аграрных регионов страны. В регионе развита добыча металлических руд, металлургия, машиностроение, автомобилестроение, химическая промышленность, животноводство, растениеводство, производство продуктов питания. На регион приходится 10 % объемов обрабатывающей промышленности страны (3 место), а также 11,6 % объемов сельскохозяйственного производства страны (3 место).</w:t>
      </w:r>
    </w:p>
    <w:bookmarkEnd w:id="211"/>
    <w:bookmarkStart w:name="z218" w:id="212"/>
    <w:p>
      <w:pPr>
        <w:spacing w:after="0"/>
        <w:ind w:left="0"/>
        <w:jc w:val="both"/>
      </w:pPr>
      <w:r>
        <w:rPr>
          <w:rFonts w:ascii="Times New Roman"/>
          <w:b w:val="false"/>
          <w:i w:val="false"/>
          <w:color w:val="000000"/>
          <w:sz w:val="28"/>
        </w:rPr>
        <w:t xml:space="preserve">
      </w:t>
      </w:r>
      <w:r>
        <w:rPr>
          <w:rFonts w:ascii="Times New Roman"/>
          <w:b/>
          <w:i w:val="false"/>
          <w:color w:val="000000"/>
          <w:sz w:val="28"/>
        </w:rPr>
        <w:t>Жамбылская область</w:t>
      </w:r>
    </w:p>
    <w:bookmarkEnd w:id="212"/>
    <w:bookmarkStart w:name="z219" w:id="213"/>
    <w:p>
      <w:pPr>
        <w:spacing w:after="0"/>
        <w:ind w:left="0"/>
        <w:jc w:val="both"/>
      </w:pPr>
      <w:r>
        <w:rPr>
          <w:rFonts w:ascii="Times New Roman"/>
          <w:b w:val="false"/>
          <w:i w:val="false"/>
          <w:color w:val="000000"/>
          <w:sz w:val="28"/>
        </w:rPr>
        <w:t>
      Жамбылская область является индустриально-аграрным регионом. В структуре ВРП доля промышленности составляет 18 %, сельского хозяйства - 10,2 %. Основу промышленности составляет химическая промышленность, металлургия и производство продуктов питания.</w:t>
      </w:r>
    </w:p>
    <w:bookmarkEnd w:id="213"/>
    <w:bookmarkStart w:name="z220" w:id="214"/>
    <w:p>
      <w:pPr>
        <w:spacing w:after="0"/>
        <w:ind w:left="0"/>
        <w:jc w:val="both"/>
      </w:pPr>
      <w:r>
        <w:rPr>
          <w:rFonts w:ascii="Times New Roman"/>
          <w:b w:val="false"/>
          <w:i w:val="false"/>
          <w:color w:val="000000"/>
          <w:sz w:val="28"/>
        </w:rPr>
        <w:t xml:space="preserve">
      </w:t>
      </w:r>
      <w:r>
        <w:rPr>
          <w:rFonts w:ascii="Times New Roman"/>
          <w:b/>
          <w:i w:val="false"/>
          <w:color w:val="000000"/>
          <w:sz w:val="28"/>
        </w:rPr>
        <w:t>Западно-Казахстанская область</w:t>
      </w:r>
    </w:p>
    <w:bookmarkEnd w:id="214"/>
    <w:bookmarkStart w:name="z221" w:id="215"/>
    <w:p>
      <w:pPr>
        <w:spacing w:after="0"/>
        <w:ind w:left="0"/>
        <w:jc w:val="both"/>
      </w:pPr>
      <w:r>
        <w:rPr>
          <w:rFonts w:ascii="Times New Roman"/>
          <w:b w:val="false"/>
          <w:i w:val="false"/>
          <w:color w:val="000000"/>
          <w:sz w:val="28"/>
        </w:rPr>
        <w:t>
      Западно-Казахстанская область является одним из индустриально-аграрных регионов, а также третьим нефтедобывающим регионом по объемам добычи нефти и конденсата после Атырауской и Мангистауской областей. На регион приходится 97 % от общего объема добычи газового конденсата республики и 40 % от объема добычи газа. Помимо газового конденсата и нефти в области имеются месторождения боратовых руд, горючих сланцев, калийно-магниевых солей, известковых пород, цементного сырья, мела, керамзитовых глин, строительного и аллювиального песка.</w:t>
      </w:r>
    </w:p>
    <w:bookmarkEnd w:id="215"/>
    <w:bookmarkStart w:name="z222" w:id="216"/>
    <w:p>
      <w:pPr>
        <w:spacing w:after="0"/>
        <w:ind w:left="0"/>
        <w:jc w:val="both"/>
      </w:pPr>
      <w:r>
        <w:rPr>
          <w:rFonts w:ascii="Times New Roman"/>
          <w:b w:val="false"/>
          <w:i w:val="false"/>
          <w:color w:val="000000"/>
          <w:sz w:val="28"/>
        </w:rPr>
        <w:t>
      Кроме нефтегазовой отрасли развито производство продуктов питания и машиностроение.</w:t>
      </w:r>
    </w:p>
    <w:bookmarkEnd w:id="216"/>
    <w:bookmarkStart w:name="z223" w:id="217"/>
    <w:p>
      <w:pPr>
        <w:spacing w:after="0"/>
        <w:ind w:left="0"/>
        <w:jc w:val="both"/>
      </w:pPr>
      <w:r>
        <w:rPr>
          <w:rFonts w:ascii="Times New Roman"/>
          <w:b w:val="false"/>
          <w:i w:val="false"/>
          <w:color w:val="000000"/>
          <w:sz w:val="28"/>
        </w:rPr>
        <w:t xml:space="preserve">
      </w:t>
      </w:r>
      <w:r>
        <w:rPr>
          <w:rFonts w:ascii="Times New Roman"/>
          <w:b/>
          <w:i w:val="false"/>
          <w:color w:val="000000"/>
          <w:sz w:val="28"/>
        </w:rPr>
        <w:t>Карагандинская область</w:t>
      </w:r>
    </w:p>
    <w:bookmarkEnd w:id="217"/>
    <w:bookmarkStart w:name="z224" w:id="218"/>
    <w:p>
      <w:pPr>
        <w:spacing w:after="0"/>
        <w:ind w:left="0"/>
        <w:jc w:val="both"/>
      </w:pPr>
      <w:r>
        <w:rPr>
          <w:rFonts w:ascii="Times New Roman"/>
          <w:b w:val="false"/>
          <w:i w:val="false"/>
          <w:color w:val="000000"/>
          <w:sz w:val="28"/>
        </w:rPr>
        <w:t>
      Карагандинская область - один из высокоразвитых индустриальных регионов страны. Удельный вес области в ВВП страны в 2018 году составлял 7,4 % (4 место). В структуре ВРП промышленность занимает 47,8 %, при этом доля обрабатывающей промышленности составляет 32 %. Развитая структура промышленности предопределила текущую структуру расселения населения области. Область является самым урбанизированным регионом в стране (79,7 %).</w:t>
      </w:r>
    </w:p>
    <w:bookmarkEnd w:id="218"/>
    <w:bookmarkStart w:name="z225" w:id="219"/>
    <w:p>
      <w:pPr>
        <w:spacing w:after="0"/>
        <w:ind w:left="0"/>
        <w:jc w:val="both"/>
      </w:pPr>
      <w:r>
        <w:rPr>
          <w:rFonts w:ascii="Times New Roman"/>
          <w:b w:val="false"/>
          <w:i w:val="false"/>
          <w:color w:val="000000"/>
          <w:sz w:val="28"/>
        </w:rPr>
        <w:t>
      Основными направлениями экономической специализации области являются добыча металлических руд, добыча угля, металлургия, машиностроение, химическая промышленность, фармацевтика, производство продуктов питания, а также производство строительных материалов.</w:t>
      </w:r>
    </w:p>
    <w:bookmarkEnd w:id="219"/>
    <w:bookmarkStart w:name="z226" w:id="220"/>
    <w:p>
      <w:pPr>
        <w:spacing w:after="0"/>
        <w:ind w:left="0"/>
        <w:jc w:val="both"/>
      </w:pPr>
      <w:r>
        <w:rPr>
          <w:rFonts w:ascii="Times New Roman"/>
          <w:b w:val="false"/>
          <w:i w:val="false"/>
          <w:color w:val="000000"/>
          <w:sz w:val="28"/>
        </w:rPr>
        <w:t xml:space="preserve">
      </w:t>
      </w:r>
      <w:r>
        <w:rPr>
          <w:rFonts w:ascii="Times New Roman"/>
          <w:b/>
          <w:i w:val="false"/>
          <w:color w:val="000000"/>
          <w:sz w:val="28"/>
        </w:rPr>
        <w:t>Костанайская область</w:t>
      </w:r>
    </w:p>
    <w:bookmarkEnd w:id="220"/>
    <w:bookmarkStart w:name="z227" w:id="221"/>
    <w:p>
      <w:pPr>
        <w:spacing w:after="0"/>
        <w:ind w:left="0"/>
        <w:jc w:val="both"/>
      </w:pPr>
      <w:r>
        <w:rPr>
          <w:rFonts w:ascii="Times New Roman"/>
          <w:b w:val="false"/>
          <w:i w:val="false"/>
          <w:color w:val="000000"/>
          <w:sz w:val="28"/>
        </w:rPr>
        <w:t>
      Экономическая специализация региона носит индустриально-аграрный характер. В структуре ВРП удельный вес промышленности составляет 24,6 %, сельского хозяйства 11,2 %.</w:t>
      </w:r>
    </w:p>
    <w:bookmarkEnd w:id="221"/>
    <w:bookmarkStart w:name="z228" w:id="222"/>
    <w:p>
      <w:pPr>
        <w:spacing w:after="0"/>
        <w:ind w:left="0"/>
        <w:jc w:val="both"/>
      </w:pPr>
      <w:r>
        <w:rPr>
          <w:rFonts w:ascii="Times New Roman"/>
          <w:b w:val="false"/>
          <w:i w:val="false"/>
          <w:color w:val="000000"/>
          <w:sz w:val="28"/>
        </w:rPr>
        <w:t>
      Регион является крупным производителем мяса, молока и зерна (область производит 1/3 от всего объема производимой в стране пшеницы). По площади земель сельскохозяйственного назначения регион занимает первое место в стране (14,6 млн. га). Также в области сосредоточены значительные площади пастбищных угодий (12,5 млн. га).</w:t>
      </w:r>
    </w:p>
    <w:bookmarkEnd w:id="222"/>
    <w:bookmarkStart w:name="z229" w:id="223"/>
    <w:p>
      <w:pPr>
        <w:spacing w:after="0"/>
        <w:ind w:left="0"/>
        <w:jc w:val="both"/>
      </w:pPr>
      <w:r>
        <w:rPr>
          <w:rFonts w:ascii="Times New Roman"/>
          <w:b w:val="false"/>
          <w:i w:val="false"/>
          <w:color w:val="000000"/>
          <w:sz w:val="28"/>
        </w:rPr>
        <w:t>
      Богатая минерально-сырьевая база способствует развитию промышленного производства в области. Регион занимает лидирующие позиции по добыче асбеста и железных руд. Также в области развито сельскохозяйственное машиностроение, автомобилестроение и производство продуктов питания.</w:t>
      </w:r>
    </w:p>
    <w:bookmarkEnd w:id="223"/>
    <w:bookmarkStart w:name="z230" w:id="224"/>
    <w:p>
      <w:pPr>
        <w:spacing w:after="0"/>
        <w:ind w:left="0"/>
        <w:jc w:val="both"/>
      </w:pPr>
      <w:r>
        <w:rPr>
          <w:rFonts w:ascii="Times New Roman"/>
          <w:b w:val="false"/>
          <w:i w:val="false"/>
          <w:color w:val="000000"/>
          <w:sz w:val="28"/>
        </w:rPr>
        <w:t xml:space="preserve">
      </w:t>
      </w:r>
      <w:r>
        <w:rPr>
          <w:rFonts w:ascii="Times New Roman"/>
          <w:b/>
          <w:i w:val="false"/>
          <w:color w:val="000000"/>
          <w:sz w:val="28"/>
        </w:rPr>
        <w:t>Кызылординская область</w:t>
      </w:r>
    </w:p>
    <w:bookmarkEnd w:id="224"/>
    <w:bookmarkStart w:name="z231" w:id="225"/>
    <w:p>
      <w:pPr>
        <w:spacing w:after="0"/>
        <w:ind w:left="0"/>
        <w:jc w:val="both"/>
      </w:pPr>
      <w:r>
        <w:rPr>
          <w:rFonts w:ascii="Times New Roman"/>
          <w:b w:val="false"/>
          <w:i w:val="false"/>
          <w:color w:val="000000"/>
          <w:sz w:val="28"/>
        </w:rPr>
        <w:t>
      Основу экономики области составляет горнодобывающая промышленность (добыча нефти и газа). Доля отрасли в ВРП региона составляет 33 %. В структуре промышленности почти 80 % занимает горнодобывающая промышленность.</w:t>
      </w:r>
    </w:p>
    <w:bookmarkEnd w:id="225"/>
    <w:bookmarkStart w:name="z232" w:id="226"/>
    <w:p>
      <w:pPr>
        <w:spacing w:after="0"/>
        <w:ind w:left="0"/>
        <w:jc w:val="both"/>
      </w:pPr>
      <w:r>
        <w:rPr>
          <w:rFonts w:ascii="Times New Roman"/>
          <w:b w:val="false"/>
          <w:i w:val="false"/>
          <w:color w:val="000000"/>
          <w:sz w:val="28"/>
        </w:rPr>
        <w:t>
      Область также специализируется на выращивании риса и производстве поваренной соли.</w:t>
      </w:r>
    </w:p>
    <w:bookmarkEnd w:id="226"/>
    <w:bookmarkStart w:name="z233" w:id="227"/>
    <w:p>
      <w:pPr>
        <w:spacing w:after="0"/>
        <w:ind w:left="0"/>
        <w:jc w:val="both"/>
      </w:pPr>
      <w:r>
        <w:rPr>
          <w:rFonts w:ascii="Times New Roman"/>
          <w:b w:val="false"/>
          <w:i w:val="false"/>
          <w:color w:val="000000"/>
          <w:sz w:val="28"/>
        </w:rPr>
        <w:t xml:space="preserve">
      </w:t>
      </w:r>
      <w:r>
        <w:rPr>
          <w:rFonts w:ascii="Times New Roman"/>
          <w:b/>
          <w:i w:val="false"/>
          <w:color w:val="000000"/>
          <w:sz w:val="28"/>
        </w:rPr>
        <w:t>Мангистауская область</w:t>
      </w:r>
    </w:p>
    <w:bookmarkEnd w:id="227"/>
    <w:bookmarkStart w:name="z234" w:id="228"/>
    <w:p>
      <w:pPr>
        <w:spacing w:after="0"/>
        <w:ind w:left="0"/>
        <w:jc w:val="both"/>
      </w:pPr>
      <w:r>
        <w:rPr>
          <w:rFonts w:ascii="Times New Roman"/>
          <w:b w:val="false"/>
          <w:i w:val="false"/>
          <w:color w:val="000000"/>
          <w:sz w:val="28"/>
        </w:rPr>
        <w:t>
      Основу экономики области составляет нефтегазовая промышленность. На регион приходится 18 % горнодобывающей промышленности страны (2-ое место). В области также развита химическая промышленность, машиностроение, производство продуктов нефтепереработки и производство строительных материалов. По объему ВРП регион занимает 5 место.</w:t>
      </w:r>
    </w:p>
    <w:bookmarkEnd w:id="228"/>
    <w:bookmarkStart w:name="z235" w:id="229"/>
    <w:p>
      <w:pPr>
        <w:spacing w:after="0"/>
        <w:ind w:left="0"/>
        <w:jc w:val="both"/>
      </w:pPr>
      <w:r>
        <w:rPr>
          <w:rFonts w:ascii="Times New Roman"/>
          <w:b w:val="false"/>
          <w:i w:val="false"/>
          <w:color w:val="000000"/>
          <w:sz w:val="28"/>
        </w:rPr>
        <w:t xml:space="preserve">
      </w:t>
      </w:r>
      <w:r>
        <w:rPr>
          <w:rFonts w:ascii="Times New Roman"/>
          <w:b/>
          <w:i w:val="false"/>
          <w:color w:val="000000"/>
          <w:sz w:val="28"/>
        </w:rPr>
        <w:t>Павлодарская область</w:t>
      </w:r>
    </w:p>
    <w:bookmarkEnd w:id="229"/>
    <w:bookmarkStart w:name="z236" w:id="230"/>
    <w:p>
      <w:pPr>
        <w:spacing w:after="0"/>
        <w:ind w:left="0"/>
        <w:jc w:val="both"/>
      </w:pPr>
      <w:r>
        <w:rPr>
          <w:rFonts w:ascii="Times New Roman"/>
          <w:b w:val="false"/>
          <w:i w:val="false"/>
          <w:color w:val="000000"/>
          <w:sz w:val="28"/>
        </w:rPr>
        <w:t>
      Экономическая специализация области носит индустриальный характер. Доля промышленности в структуре ВРП составляет 43,5 %. В промышленности занято более четверти работающего населения области. В области производится порядка 40 % электроэнергии страны, сосредоточено 100 % производства глинозема и алюминия, а также более трети всех угольных запасов Казахстана (60 % добываемого угля).</w:t>
      </w:r>
    </w:p>
    <w:bookmarkEnd w:id="230"/>
    <w:bookmarkStart w:name="z237" w:id="231"/>
    <w:p>
      <w:pPr>
        <w:spacing w:after="0"/>
        <w:ind w:left="0"/>
        <w:jc w:val="both"/>
      </w:pPr>
      <w:r>
        <w:rPr>
          <w:rFonts w:ascii="Times New Roman"/>
          <w:b w:val="false"/>
          <w:i w:val="false"/>
          <w:color w:val="000000"/>
          <w:sz w:val="28"/>
        </w:rPr>
        <w:t>
      Основными отраслями промышленности являются металлургия, производство нефтепродуктов, химическая промышленность, машиностроение, энергетика.</w:t>
      </w:r>
    </w:p>
    <w:bookmarkEnd w:id="231"/>
    <w:bookmarkStart w:name="z238" w:id="232"/>
    <w:p>
      <w:pPr>
        <w:spacing w:after="0"/>
        <w:ind w:left="0"/>
        <w:jc w:val="both"/>
      </w:pPr>
      <w:r>
        <w:rPr>
          <w:rFonts w:ascii="Times New Roman"/>
          <w:b w:val="false"/>
          <w:i w:val="false"/>
          <w:color w:val="000000"/>
          <w:sz w:val="28"/>
        </w:rPr>
        <w:t>
      Промышленная специализация экономики области определила высокий уровень урбанизации 70,8 %.</w:t>
      </w:r>
    </w:p>
    <w:bookmarkEnd w:id="232"/>
    <w:bookmarkStart w:name="z239" w:id="233"/>
    <w:p>
      <w:pPr>
        <w:spacing w:after="0"/>
        <w:ind w:left="0"/>
        <w:jc w:val="both"/>
      </w:pPr>
      <w:r>
        <w:rPr>
          <w:rFonts w:ascii="Times New Roman"/>
          <w:b w:val="false"/>
          <w:i w:val="false"/>
          <w:color w:val="000000"/>
          <w:sz w:val="28"/>
        </w:rPr>
        <w:t xml:space="preserve">
      </w:t>
      </w:r>
      <w:r>
        <w:rPr>
          <w:rFonts w:ascii="Times New Roman"/>
          <w:b/>
          <w:i w:val="false"/>
          <w:color w:val="000000"/>
          <w:sz w:val="28"/>
        </w:rPr>
        <w:t>Северо-Казахстанская область</w:t>
      </w:r>
    </w:p>
    <w:bookmarkEnd w:id="233"/>
    <w:bookmarkStart w:name="z240" w:id="234"/>
    <w:p>
      <w:pPr>
        <w:spacing w:after="0"/>
        <w:ind w:left="0"/>
        <w:jc w:val="both"/>
      </w:pPr>
      <w:r>
        <w:rPr>
          <w:rFonts w:ascii="Times New Roman"/>
          <w:b w:val="false"/>
          <w:i w:val="false"/>
          <w:color w:val="000000"/>
          <w:sz w:val="28"/>
        </w:rPr>
        <w:t>
      Область является одним из аграрных регионов страны. Доля сельского хозяйства в экономике области составляет 24 %. Область производит 21,4 % от всего объема выращиваемой в стране пшеницы.</w:t>
      </w:r>
    </w:p>
    <w:bookmarkEnd w:id="234"/>
    <w:bookmarkStart w:name="z241" w:id="235"/>
    <w:p>
      <w:pPr>
        <w:spacing w:after="0"/>
        <w:ind w:left="0"/>
        <w:jc w:val="both"/>
      </w:pPr>
      <w:r>
        <w:rPr>
          <w:rFonts w:ascii="Times New Roman"/>
          <w:b w:val="false"/>
          <w:i w:val="false"/>
          <w:color w:val="000000"/>
          <w:sz w:val="28"/>
        </w:rPr>
        <w:t>
      Промышленность занимает 14 % в структуре ВРП области и представлена производством продуктов питания и машиностроительной отраслью.</w:t>
      </w:r>
    </w:p>
    <w:bookmarkEnd w:id="235"/>
    <w:bookmarkStart w:name="z242" w:id="236"/>
    <w:p>
      <w:pPr>
        <w:spacing w:after="0"/>
        <w:ind w:left="0"/>
        <w:jc w:val="both"/>
      </w:pPr>
      <w:r>
        <w:rPr>
          <w:rFonts w:ascii="Times New Roman"/>
          <w:b w:val="false"/>
          <w:i w:val="false"/>
          <w:color w:val="000000"/>
          <w:sz w:val="28"/>
        </w:rPr>
        <w:t>
      Аграрная направленность экономики области предопределила высокую долю сельского населения (55,6 %).</w:t>
      </w:r>
    </w:p>
    <w:bookmarkEnd w:id="236"/>
    <w:bookmarkStart w:name="z243" w:id="237"/>
    <w:p>
      <w:pPr>
        <w:spacing w:after="0"/>
        <w:ind w:left="0"/>
        <w:jc w:val="both"/>
      </w:pPr>
      <w:r>
        <w:rPr>
          <w:rFonts w:ascii="Times New Roman"/>
          <w:b w:val="false"/>
          <w:i w:val="false"/>
          <w:color w:val="000000"/>
          <w:sz w:val="28"/>
        </w:rPr>
        <w:t xml:space="preserve">
      </w:t>
      </w:r>
      <w:r>
        <w:rPr>
          <w:rFonts w:ascii="Times New Roman"/>
          <w:b/>
          <w:i w:val="false"/>
          <w:color w:val="000000"/>
          <w:sz w:val="28"/>
        </w:rPr>
        <w:t>Туркестанская область</w:t>
      </w:r>
    </w:p>
    <w:bookmarkEnd w:id="237"/>
    <w:bookmarkStart w:name="z244" w:id="238"/>
    <w:p>
      <w:pPr>
        <w:spacing w:after="0"/>
        <w:ind w:left="0"/>
        <w:jc w:val="both"/>
      </w:pPr>
      <w:r>
        <w:rPr>
          <w:rFonts w:ascii="Times New Roman"/>
          <w:b w:val="false"/>
          <w:i w:val="false"/>
          <w:color w:val="000000"/>
          <w:sz w:val="28"/>
        </w:rPr>
        <w:t>
      Область входит в число индустриально-аграрных регионов страны и является крупным производителем и поставщиком хлопка, плодоовощной продукции, продуктов питания, строительных материалов. Регион занимает второе место в республике по производству валовой продукции сельского хозяйства.</w:t>
      </w:r>
    </w:p>
    <w:bookmarkEnd w:id="238"/>
    <w:bookmarkStart w:name="z245" w:id="239"/>
    <w:p>
      <w:pPr>
        <w:spacing w:after="0"/>
        <w:ind w:left="0"/>
        <w:jc w:val="both"/>
      </w:pPr>
      <w:r>
        <w:rPr>
          <w:rFonts w:ascii="Times New Roman"/>
          <w:b w:val="false"/>
          <w:i w:val="false"/>
          <w:color w:val="000000"/>
          <w:sz w:val="28"/>
        </w:rPr>
        <w:t>
      По запасам урана область занимает первое место (60 %), фосфоритов и железных руд - третье место.</w:t>
      </w:r>
    </w:p>
    <w:bookmarkEnd w:id="239"/>
    <w:bookmarkStart w:name="z246" w:id="240"/>
    <w:p>
      <w:pPr>
        <w:spacing w:after="0"/>
        <w:ind w:left="0"/>
        <w:jc w:val="both"/>
      </w:pPr>
      <w:r>
        <w:rPr>
          <w:rFonts w:ascii="Times New Roman"/>
          <w:b w:val="false"/>
          <w:i w:val="false"/>
          <w:color w:val="000000"/>
          <w:sz w:val="28"/>
        </w:rPr>
        <w:t>
      В структуре ВРП сельское хозяйство и промышленность занимают приблизительно равные доли, 19 и 19,5 % соответственно.</w:t>
      </w:r>
    </w:p>
    <w:bookmarkEnd w:id="240"/>
    <w:bookmarkStart w:name="z247" w:id="241"/>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Нур-Султан</w:t>
      </w:r>
    </w:p>
    <w:bookmarkEnd w:id="241"/>
    <w:bookmarkStart w:name="z248" w:id="242"/>
    <w:p>
      <w:pPr>
        <w:spacing w:after="0"/>
        <w:ind w:left="0"/>
        <w:jc w:val="both"/>
      </w:pPr>
      <w:r>
        <w:rPr>
          <w:rFonts w:ascii="Times New Roman"/>
          <w:b w:val="false"/>
          <w:i w:val="false"/>
          <w:color w:val="000000"/>
          <w:sz w:val="28"/>
        </w:rPr>
        <w:t>
      Город обладает развитой постиндустриальной структурой экономики, основу которой составляют сфера услуг и торговля. Город производит 9,8 % ВВП страны. В городе развиты услуги в сфере финансовой и страховой деятельности, образования, медицины, развлечений, науки и другие.</w:t>
      </w:r>
    </w:p>
    <w:bookmarkEnd w:id="242"/>
    <w:bookmarkStart w:name="z249" w:id="243"/>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Алматы</w:t>
      </w:r>
    </w:p>
    <w:bookmarkEnd w:id="243"/>
    <w:bookmarkStart w:name="z250" w:id="244"/>
    <w:p>
      <w:pPr>
        <w:spacing w:after="0"/>
        <w:ind w:left="0"/>
        <w:jc w:val="both"/>
      </w:pPr>
      <w:r>
        <w:rPr>
          <w:rFonts w:ascii="Times New Roman"/>
          <w:b w:val="false"/>
          <w:i w:val="false"/>
          <w:color w:val="000000"/>
          <w:sz w:val="28"/>
        </w:rPr>
        <w:t>
      Город Алматы является крупнейшим финансово-торговым, туристическим и культурным центром страны. В ВВП республики удельный вес города Алматы составляет 20,6 % и является самым высоким по сравнению с другими регионами.</w:t>
      </w:r>
    </w:p>
    <w:bookmarkEnd w:id="244"/>
    <w:bookmarkStart w:name="z251" w:id="245"/>
    <w:p>
      <w:pPr>
        <w:spacing w:after="0"/>
        <w:ind w:left="0"/>
        <w:jc w:val="both"/>
      </w:pPr>
      <w:r>
        <w:rPr>
          <w:rFonts w:ascii="Times New Roman"/>
          <w:b w:val="false"/>
          <w:i w:val="false"/>
          <w:color w:val="000000"/>
          <w:sz w:val="28"/>
        </w:rPr>
        <w:t>
      Специализацией города являются услуги и торговля, в том числе финансовая и страховая деятельность, туризм, образовательные услуги, медицинские услуги, транспорт и логистика, дистрибуция и другие.</w:t>
      </w:r>
    </w:p>
    <w:bookmarkEnd w:id="245"/>
    <w:bookmarkStart w:name="z252" w:id="246"/>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Шымкент</w:t>
      </w:r>
    </w:p>
    <w:bookmarkEnd w:id="246"/>
    <w:bookmarkStart w:name="z253" w:id="247"/>
    <w:p>
      <w:pPr>
        <w:spacing w:after="0"/>
        <w:ind w:left="0"/>
        <w:jc w:val="both"/>
      </w:pPr>
      <w:r>
        <w:rPr>
          <w:rFonts w:ascii="Times New Roman"/>
          <w:b w:val="false"/>
          <w:i w:val="false"/>
          <w:color w:val="000000"/>
          <w:sz w:val="28"/>
        </w:rPr>
        <w:t>
      В экономике города Шымкента важную роль играет сектор торговли и услуг. В структуре ВРП доля торговли составляет 15,4 %. В городе также развита отрасль промышленности, доля которой в ВРП составляет 26,5 %.</w:t>
      </w:r>
    </w:p>
    <w:bookmarkEnd w:id="247"/>
    <w:bookmarkStart w:name="z254" w:id="248"/>
    <w:p>
      <w:pPr>
        <w:spacing w:after="0"/>
        <w:ind w:left="0"/>
        <w:jc w:val="both"/>
      </w:pPr>
      <w:r>
        <w:rPr>
          <w:rFonts w:ascii="Times New Roman"/>
          <w:b w:val="false"/>
          <w:i w:val="false"/>
          <w:color w:val="000000"/>
          <w:sz w:val="28"/>
        </w:rPr>
        <w:t>
      Специализацией города являются производство продуктов питания, торговля, туризм, легкая промышленность, нефтепереработка, машиностроение, химическая промышленность, фармацевтика, транспорт и логистика, услуги.</w:t>
      </w:r>
    </w:p>
    <w:bookmarkEnd w:id="248"/>
    <w:bookmarkStart w:name="z255" w:id="249"/>
    <w:p>
      <w:pPr>
        <w:spacing w:after="0"/>
        <w:ind w:left="0"/>
        <w:jc w:val="both"/>
      </w:pPr>
      <w:r>
        <w:rPr>
          <w:rFonts w:ascii="Times New Roman"/>
          <w:b w:val="false"/>
          <w:i w:val="false"/>
          <w:color w:val="000000"/>
          <w:sz w:val="28"/>
        </w:rPr>
        <w:t xml:space="preserve">
      </w:t>
      </w:r>
      <w:r>
        <w:rPr>
          <w:rFonts w:ascii="Times New Roman"/>
          <w:b/>
          <w:i w:val="false"/>
          <w:color w:val="000000"/>
          <w:sz w:val="28"/>
        </w:rPr>
        <w:t>Выводы:</w:t>
      </w:r>
      <w:r>
        <w:rPr>
          <w:rFonts w:ascii="Times New Roman"/>
          <w:b w:val="false"/>
          <w:i w:val="false"/>
          <w:color w:val="000000"/>
          <w:sz w:val="28"/>
        </w:rPr>
        <w:t xml:space="preserve"> В предстоящий десятилетний период должны быть приняты кардинальные меры по решению системных проблем регионов, в том числе по повышению инфраструктурной обеспеченности, выявлению резервов экономического роста, с учетом готовности к вызовам ресурсных ограничений (истощение ресурсов, дефицит воды, ухудшение качества земель).</w:t>
      </w:r>
    </w:p>
    <w:bookmarkEnd w:id="249"/>
    <w:bookmarkStart w:name="z256" w:id="250"/>
    <w:p>
      <w:pPr>
        <w:spacing w:after="0"/>
        <w:ind w:left="0"/>
        <w:jc w:val="both"/>
      </w:pPr>
      <w:r>
        <w:rPr>
          <w:rFonts w:ascii="Times New Roman"/>
          <w:b w:val="false"/>
          <w:i w:val="false"/>
          <w:color w:val="000000"/>
          <w:sz w:val="28"/>
        </w:rPr>
        <w:t>
      В целом территориально-пространственное развитие регионов в перспективе будет зависеть от решения приоритетных проблем, снятия ресурсных и инфраструктурных ограничений.</w:t>
      </w:r>
    </w:p>
    <w:bookmarkEnd w:id="250"/>
    <w:bookmarkStart w:name="z257" w:id="251"/>
    <w:p>
      <w:pPr>
        <w:spacing w:after="0"/>
        <w:ind w:left="0"/>
        <w:jc w:val="both"/>
      </w:pPr>
      <w:r>
        <w:rPr>
          <w:rFonts w:ascii="Times New Roman"/>
          <w:b w:val="false"/>
          <w:i w:val="false"/>
          <w:color w:val="000000"/>
          <w:sz w:val="28"/>
        </w:rPr>
        <w:t>
      Ключевыми проблемами территориально-пространственного развития страны, которые необходимо решить в приоритетном порядке, должны быть следующие.</w:t>
      </w:r>
    </w:p>
    <w:bookmarkEnd w:id="251"/>
    <w:bookmarkStart w:name="z258" w:id="252"/>
    <w:p>
      <w:pPr>
        <w:spacing w:after="0"/>
        <w:ind w:left="0"/>
        <w:jc w:val="both"/>
      </w:pPr>
      <w:r>
        <w:rPr>
          <w:rFonts w:ascii="Times New Roman"/>
          <w:b w:val="false"/>
          <w:i w:val="false"/>
          <w:color w:val="000000"/>
          <w:sz w:val="28"/>
        </w:rPr>
        <w:t>
      Во-первых, необходимо повысить качество автомобильных дорог республиканского и местного значения. Следует повысить связность регионов страны на республиканском уровне, улучшить дороги между СНП на областном уровне.</w:t>
      </w:r>
    </w:p>
    <w:bookmarkEnd w:id="252"/>
    <w:bookmarkStart w:name="z259" w:id="253"/>
    <w:p>
      <w:pPr>
        <w:spacing w:after="0"/>
        <w:ind w:left="0"/>
        <w:jc w:val="both"/>
      </w:pPr>
      <w:r>
        <w:rPr>
          <w:rFonts w:ascii="Times New Roman"/>
          <w:b w:val="false"/>
          <w:i w:val="false"/>
          <w:color w:val="000000"/>
          <w:sz w:val="28"/>
        </w:rPr>
        <w:t>
      Решение проблемы будет способствовать повышению мобильности граждан внутри регионов, улучшению социальной-экономической ситуации, способствовать повышению доступности благ и услуг в сфере здравоохранения и образования и прочие. Повышение качества автомобильных дорог и связности населенных пунктов направлено на снижение неравенства в доступе к социальным и иным услугам, инфраструктуре, как между регионами, так и между городом и селом.</w:t>
      </w:r>
    </w:p>
    <w:bookmarkEnd w:id="253"/>
    <w:bookmarkStart w:name="z260" w:id="254"/>
    <w:p>
      <w:pPr>
        <w:spacing w:after="0"/>
        <w:ind w:left="0"/>
        <w:jc w:val="both"/>
      </w:pPr>
      <w:r>
        <w:rPr>
          <w:rFonts w:ascii="Times New Roman"/>
          <w:b w:val="false"/>
          <w:i w:val="false"/>
          <w:color w:val="000000"/>
          <w:sz w:val="28"/>
        </w:rPr>
        <w:t>
      Во-вторых, требует решения вопрос обеспечения необходимой социальной инфраструктурой (нехватка социальных объектов и т.д.) с учетом демографического прогноза, межотраслевого и межрегионального перетока трудовых ресурсов, подготовки и переподготовки кадров.</w:t>
      </w:r>
    </w:p>
    <w:bookmarkEnd w:id="254"/>
    <w:bookmarkStart w:name="z261" w:id="255"/>
    <w:p>
      <w:pPr>
        <w:spacing w:after="0"/>
        <w:ind w:left="0"/>
        <w:jc w:val="both"/>
      </w:pPr>
      <w:r>
        <w:rPr>
          <w:rFonts w:ascii="Times New Roman"/>
          <w:b w:val="false"/>
          <w:i w:val="false"/>
          <w:color w:val="000000"/>
          <w:sz w:val="28"/>
        </w:rPr>
        <w:t>
      В-третьих, в ближайшие годы необходимо в приоритетном порядке направить инвестиции на обновление инфраструктуры в агломерациях и ФГР, в которых происходит рост численности населения. Следовательно, будет улучшена сеть городской инженерной инфраструктуры, которая в будущем будет испытывать нагрузки в связи с ростом городского населения.</w:t>
      </w:r>
    </w:p>
    <w:bookmarkEnd w:id="255"/>
    <w:bookmarkStart w:name="z262" w:id="256"/>
    <w:p>
      <w:pPr>
        <w:spacing w:after="0"/>
        <w:ind w:left="0"/>
        <w:jc w:val="both"/>
      </w:pPr>
      <w:r>
        <w:rPr>
          <w:rFonts w:ascii="Times New Roman"/>
          <w:b w:val="false"/>
          <w:i w:val="false"/>
          <w:color w:val="000000"/>
          <w:sz w:val="28"/>
        </w:rPr>
        <w:t>
      При развитии инженерной инфраструктуры должна учитываться политика управляемой урбанизации и предупреждения хаотичного разрастания окраин агломераций, из-за притока внутренних трудовых мигрантов.</w:t>
      </w:r>
    </w:p>
    <w:bookmarkEnd w:id="256"/>
    <w:bookmarkStart w:name="z263" w:id="257"/>
    <w:p>
      <w:pPr>
        <w:spacing w:after="0"/>
        <w:ind w:left="0"/>
        <w:jc w:val="both"/>
      </w:pPr>
      <w:r>
        <w:rPr>
          <w:rFonts w:ascii="Times New Roman"/>
          <w:b w:val="false"/>
          <w:i w:val="false"/>
          <w:color w:val="000000"/>
          <w:sz w:val="28"/>
        </w:rPr>
        <w:t>
      Меры по развитию моно и малых городов должны быть в первую очередь увязаны с перспективами их экономического развития, вклада в экономику региона, динамикой численности населения. В отношении моно и малых городов с низким потенциалом развития меры будут направлены на поддержание инфраструктуры ЖКХ в удовлетворительном состоянии.</w:t>
      </w:r>
    </w:p>
    <w:bookmarkEnd w:id="257"/>
    <w:bookmarkStart w:name="z264" w:id="258"/>
    <w:p>
      <w:pPr>
        <w:spacing w:after="0"/>
        <w:ind w:left="0"/>
        <w:jc w:val="both"/>
      </w:pPr>
      <w:r>
        <w:rPr>
          <w:rFonts w:ascii="Times New Roman"/>
          <w:b w:val="false"/>
          <w:i w:val="false"/>
          <w:color w:val="000000"/>
          <w:sz w:val="28"/>
        </w:rPr>
        <w:t>
      В-четвертых, для сельских территорий необходимо решить проблему доступа к централизованному водоснабжению и качественным автомобильным дорогам. Также необходимо рассмотреть вопросы пересмотра административно-территориального устройства.</w:t>
      </w:r>
    </w:p>
    <w:bookmarkEnd w:id="258"/>
    <w:bookmarkStart w:name="z265" w:id="259"/>
    <w:p>
      <w:pPr>
        <w:spacing w:after="0"/>
        <w:ind w:left="0"/>
        <w:jc w:val="both"/>
      </w:pPr>
      <w:r>
        <w:rPr>
          <w:rFonts w:ascii="Times New Roman"/>
          <w:b w:val="false"/>
          <w:i w:val="false"/>
          <w:color w:val="000000"/>
          <w:sz w:val="28"/>
        </w:rPr>
        <w:t>
      В-пятых, необходимо принять комплекс мер по рациональному использованию водных и земельных ресурсов, защите окружающей среды. Например, в сельском хозяйстве восстановление технологии лиманного орошения и рациональному использованию талых вод в весенний период. На промышленных предприятиях необходимо обеспечить снижение выбросов вредных веществ и внедрение передовых технологий.</w:t>
      </w:r>
    </w:p>
    <w:bookmarkEnd w:id="259"/>
    <w:bookmarkStart w:name="z266" w:id="260"/>
    <w:p>
      <w:pPr>
        <w:spacing w:after="0"/>
        <w:ind w:left="0"/>
        <w:jc w:val="both"/>
      </w:pPr>
      <w:r>
        <w:rPr>
          <w:rFonts w:ascii="Times New Roman"/>
          <w:b w:val="false"/>
          <w:i w:val="false"/>
          <w:color w:val="000000"/>
          <w:sz w:val="28"/>
        </w:rPr>
        <w:t>
      В-шестых, в перспективе истощение запасов полезных ископаемых, дефицит водных ресурсов, развитие новых технологий, автоматизация и цифровизация производства потребуют углубления экономической специализации регионов с акцентом на производство продукции с высокой добавленной стоимостью.</w:t>
      </w:r>
    </w:p>
    <w:bookmarkEnd w:id="260"/>
    <w:bookmarkStart w:name="z267" w:id="261"/>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Оценка демографической ситуации и миграционных процессов до 2030 года</w:t>
      </w:r>
    </w:p>
    <w:bookmarkEnd w:id="261"/>
    <w:bookmarkStart w:name="z268" w:id="262"/>
    <w:p>
      <w:pPr>
        <w:spacing w:after="0"/>
        <w:ind w:left="0"/>
        <w:jc w:val="both"/>
      </w:pPr>
      <w:r>
        <w:rPr>
          <w:rFonts w:ascii="Times New Roman"/>
          <w:b w:val="false"/>
          <w:i w:val="false"/>
          <w:color w:val="000000"/>
          <w:sz w:val="28"/>
        </w:rPr>
        <w:t xml:space="preserve">
      </w:t>
      </w:r>
      <w:r>
        <w:rPr>
          <w:rFonts w:ascii="Times New Roman"/>
          <w:b/>
          <w:i w:val="false"/>
          <w:color w:val="000000"/>
          <w:sz w:val="28"/>
        </w:rPr>
        <w:t>Численность населения</w:t>
      </w:r>
    </w:p>
    <w:bookmarkEnd w:id="262"/>
    <w:bookmarkStart w:name="z269" w:id="263"/>
    <w:p>
      <w:pPr>
        <w:spacing w:after="0"/>
        <w:ind w:left="0"/>
        <w:jc w:val="both"/>
      </w:pPr>
      <w:r>
        <w:rPr>
          <w:rFonts w:ascii="Times New Roman"/>
          <w:b w:val="false"/>
          <w:i w:val="false"/>
          <w:color w:val="000000"/>
          <w:sz w:val="28"/>
        </w:rPr>
        <w:t>
      Демографическая ситуация в Казахстане в 2010-2018 годах характеризовалась как благоприятная за счет положительного естественного прироста.</w:t>
      </w:r>
    </w:p>
    <w:bookmarkEnd w:id="263"/>
    <w:bookmarkStart w:name="z270" w:id="264"/>
    <w:p>
      <w:pPr>
        <w:spacing w:after="0"/>
        <w:ind w:left="0"/>
        <w:jc w:val="both"/>
      </w:pPr>
      <w:r>
        <w:rPr>
          <w:rFonts w:ascii="Times New Roman"/>
          <w:b w:val="false"/>
          <w:i w:val="false"/>
          <w:color w:val="000000"/>
          <w:sz w:val="28"/>
        </w:rPr>
        <w:t>
      Численность населения Республики Казахстан по итогам 2018 года составила 18 395,6 тыс. человек, по сравнению с численностью на конец 2010 года увеличилась на 2 192,3 тыс. человек или на 13,5 % (рисунок 1).</w:t>
      </w:r>
    </w:p>
    <w:bookmarkEnd w:id="264"/>
    <w:bookmarkStart w:name="z271" w:id="265"/>
    <w:p>
      <w:pPr>
        <w:spacing w:after="0"/>
        <w:ind w:left="0"/>
        <w:jc w:val="both"/>
      </w:pPr>
      <w:r>
        <w:rPr>
          <w:rFonts w:ascii="Times New Roman"/>
          <w:b w:val="false"/>
          <w:i w:val="false"/>
          <w:color w:val="000000"/>
          <w:sz w:val="28"/>
        </w:rPr>
        <w:t>
      Согласно демографическому прогнозу (далее - прогноз), к 2030 году ожидается увеличение численности населения до 21 млн. человек.</w:t>
      </w:r>
    </w:p>
    <w:bookmarkEnd w:id="265"/>
    <w:bookmarkStart w:name="z272"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67"/>
    <w:p>
      <w:pPr>
        <w:spacing w:after="0"/>
        <w:ind w:left="0"/>
        <w:jc w:val="both"/>
      </w:pPr>
      <w:r>
        <w:rPr>
          <w:rFonts w:ascii="Times New Roman"/>
          <w:b w:val="false"/>
          <w:i w:val="false"/>
          <w:color w:val="000000"/>
          <w:sz w:val="28"/>
        </w:rPr>
        <w:t>
      Рисунок 1 - Численность населения Республики Казахстан, на конец года тысяч человек</w:t>
      </w:r>
    </w:p>
    <w:bookmarkEnd w:id="267"/>
    <w:bookmarkStart w:name="z274" w:id="268"/>
    <w:p>
      <w:pPr>
        <w:spacing w:after="0"/>
        <w:ind w:left="0"/>
        <w:jc w:val="both"/>
      </w:pPr>
      <w:r>
        <w:rPr>
          <w:rFonts w:ascii="Times New Roman"/>
          <w:b w:val="false"/>
          <w:i w:val="false"/>
          <w:color w:val="000000"/>
          <w:sz w:val="28"/>
        </w:rPr>
        <w:t>
      Источник: КС МНЭ РК www.stat.gov.kz, прогноз АО "ИЭИ" МНЭ РК</w:t>
      </w:r>
    </w:p>
    <w:bookmarkEnd w:id="268"/>
    <w:bookmarkStart w:name="z275" w:id="269"/>
    <w:p>
      <w:pPr>
        <w:spacing w:after="0"/>
        <w:ind w:left="0"/>
        <w:jc w:val="both"/>
      </w:pPr>
      <w:r>
        <w:rPr>
          <w:rFonts w:ascii="Times New Roman"/>
          <w:b w:val="false"/>
          <w:i w:val="false"/>
          <w:color w:val="000000"/>
          <w:sz w:val="28"/>
        </w:rPr>
        <w:t>
      В разрезе регионов значительный прирост численности населения за 2010-2018 годы наблюдался в городах Нур-Султане и Алматы, а также в Алматинской, Актюбинской, Жамбылской, Кызылординской, Атырауской, Туркестанской и Мангистауской областях.</w:t>
      </w:r>
    </w:p>
    <w:bookmarkEnd w:id="269"/>
    <w:bookmarkStart w:name="z276" w:id="270"/>
    <w:p>
      <w:pPr>
        <w:spacing w:after="0"/>
        <w:ind w:left="0"/>
        <w:jc w:val="both"/>
      </w:pPr>
      <w:r>
        <w:rPr>
          <w:rFonts w:ascii="Times New Roman"/>
          <w:b w:val="false"/>
          <w:i w:val="false"/>
          <w:color w:val="000000"/>
          <w:sz w:val="28"/>
        </w:rPr>
        <w:t>
      В Северо-Казахстанской и Восточно-Казахстанской областях, напротив, произошло снижение численности населения за счет снижения рождаемости и миграционного оттока (рисунок 2).</w:t>
      </w:r>
    </w:p>
    <w:bookmarkEnd w:id="270"/>
    <w:bookmarkStart w:name="z277" w:id="271"/>
    <w:p>
      <w:pPr>
        <w:spacing w:after="0"/>
        <w:ind w:left="0"/>
        <w:jc w:val="both"/>
      </w:pPr>
      <w:r>
        <w:rPr>
          <w:rFonts w:ascii="Times New Roman"/>
          <w:b w:val="false"/>
          <w:i w:val="false"/>
          <w:color w:val="000000"/>
          <w:sz w:val="28"/>
        </w:rPr>
        <w:t>
      Ежегодный рост численности населения происходил преимущественно за счет положительного естественного прироста, а также за счет внутренней и внешней миграции (для городов Нур-Султана, Алматы и Мангистауской области).</w:t>
      </w:r>
    </w:p>
    <w:bookmarkEnd w:id="271"/>
    <w:bookmarkStart w:name="z278" w:id="272"/>
    <w:p>
      <w:pPr>
        <w:spacing w:after="0"/>
        <w:ind w:left="0"/>
        <w:jc w:val="both"/>
      </w:pPr>
      <w:r>
        <w:rPr>
          <w:rFonts w:ascii="Times New Roman"/>
          <w:b w:val="false"/>
          <w:i w:val="false"/>
          <w:color w:val="000000"/>
          <w:sz w:val="28"/>
        </w:rPr>
        <w:t>
      К 2030 году ожидается, что увеличение естественного прироста, а также миграционные процессы повлияют на общее увеличение численности населения страны. Исключением могут стать Северо-Казахстанская, Павлодарская, Восточно-Казахстанская и Карагандинская области.</w:t>
      </w:r>
    </w:p>
    <w:bookmarkEnd w:id="272"/>
    <w:bookmarkStart w:name="z279" w:id="273"/>
    <w:p>
      <w:pPr>
        <w:spacing w:after="0"/>
        <w:ind w:left="0"/>
        <w:jc w:val="both"/>
      </w:pPr>
      <w:r>
        <w:rPr>
          <w:rFonts w:ascii="Times New Roman"/>
          <w:b w:val="false"/>
          <w:i w:val="false"/>
          <w:color w:val="000000"/>
          <w:sz w:val="28"/>
        </w:rPr>
        <w:t>
      С 2010 года отмечается рост уровня урбанизации: численность городского населения с 2010 по 2018 годы выросла с 9 млн. человек до 10,6 млн. человек.</w:t>
      </w:r>
    </w:p>
    <w:bookmarkEnd w:id="273"/>
    <w:bookmarkStart w:name="z28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810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75"/>
    <w:p>
      <w:pPr>
        <w:spacing w:after="0"/>
        <w:ind w:left="0"/>
        <w:jc w:val="both"/>
      </w:pPr>
      <w:r>
        <w:rPr>
          <w:rFonts w:ascii="Times New Roman"/>
          <w:b w:val="false"/>
          <w:i w:val="false"/>
          <w:color w:val="000000"/>
          <w:sz w:val="28"/>
        </w:rPr>
        <w:t>
      Рисунок 2 - Численность населения в разрезе регионов на начало года, тыс. чел.</w:t>
      </w:r>
    </w:p>
    <w:bookmarkEnd w:id="275"/>
    <w:bookmarkStart w:name="z282" w:id="276"/>
    <w:p>
      <w:pPr>
        <w:spacing w:after="0"/>
        <w:ind w:left="0"/>
        <w:jc w:val="both"/>
      </w:pPr>
      <w:r>
        <w:rPr>
          <w:rFonts w:ascii="Times New Roman"/>
          <w:b w:val="false"/>
          <w:i w:val="false"/>
          <w:color w:val="000000"/>
          <w:sz w:val="28"/>
        </w:rPr>
        <w:t>
      Источник: КС МНЭ РК www.stat.gov.kz, прогноз АО "ИЭИ" МНЭ РК</w:t>
      </w:r>
    </w:p>
    <w:bookmarkEnd w:id="276"/>
    <w:bookmarkStart w:name="z283" w:id="277"/>
    <w:p>
      <w:pPr>
        <w:spacing w:after="0"/>
        <w:ind w:left="0"/>
        <w:jc w:val="both"/>
      </w:pPr>
      <w:r>
        <w:rPr>
          <w:rFonts w:ascii="Times New Roman"/>
          <w:b w:val="false"/>
          <w:i w:val="false"/>
          <w:color w:val="000000"/>
          <w:sz w:val="28"/>
        </w:rPr>
        <w:t>
      Следствием активного миграционного притока в городскую местность и высокого темпа роста уровня естественного прироста в городах, стало достижение к концу 2018 года уровня урбанизации равным 58,2 %. Согласно прогнозу, к 2030 году ожидается, что уровень урбанизации составит 65 %, под воздействием тех же факторов.</w:t>
      </w:r>
    </w:p>
    <w:bookmarkEnd w:id="277"/>
    <w:bookmarkStart w:name="z284" w:id="278"/>
    <w:p>
      <w:pPr>
        <w:spacing w:after="0"/>
        <w:ind w:left="0"/>
        <w:jc w:val="both"/>
      </w:pPr>
      <w:r>
        <w:rPr>
          <w:rFonts w:ascii="Times New Roman"/>
          <w:b w:val="false"/>
          <w:i w:val="false"/>
          <w:color w:val="000000"/>
          <w:sz w:val="28"/>
        </w:rPr>
        <w:t>
      С 2010 года процентное соотношение численности мужчин и женщин не претерпело значительных изменений и сложилось с перевесом женского населения: 51,5 % против 48,5 %. Ожидается, что эти же тенденции сохранятся до 2030 года.</w:t>
      </w:r>
    </w:p>
    <w:bookmarkEnd w:id="278"/>
    <w:bookmarkStart w:name="z285" w:id="279"/>
    <w:p>
      <w:pPr>
        <w:spacing w:after="0"/>
        <w:ind w:left="0"/>
        <w:jc w:val="both"/>
      </w:pPr>
      <w:r>
        <w:rPr>
          <w:rFonts w:ascii="Times New Roman"/>
          <w:b w:val="false"/>
          <w:i w:val="false"/>
          <w:color w:val="000000"/>
          <w:sz w:val="28"/>
        </w:rPr>
        <w:t>
      При оценке демографической ситуации в мире в настоящее время, по данным ООН</w:t>
      </w:r>
      <w:r>
        <w:rPr>
          <w:rFonts w:ascii="Times New Roman"/>
          <w:b w:val="false"/>
          <w:i w:val="false"/>
          <w:color w:val="000000"/>
          <w:vertAlign w:val="superscript"/>
        </w:rPr>
        <w:t>7</w:t>
      </w:r>
      <w:r>
        <w:rPr>
          <w:rFonts w:ascii="Times New Roman"/>
          <w:b w:val="false"/>
          <w:i w:val="false"/>
          <w:color w:val="000000"/>
          <w:sz w:val="28"/>
        </w:rPr>
        <w:t>, в развитых и развивающихся странах идет процесс старения населения, и по прогнозу данная тенденция будет усиливаться до 2030 года.</w:t>
      </w:r>
    </w:p>
    <w:bookmarkEnd w:id="279"/>
    <w:bookmarkStart w:name="z286" w:id="280"/>
    <w:p>
      <w:pPr>
        <w:spacing w:after="0"/>
        <w:ind w:left="0"/>
        <w:jc w:val="both"/>
      </w:pPr>
      <w:r>
        <w:rPr>
          <w:rFonts w:ascii="Times New Roman"/>
          <w:b w:val="false"/>
          <w:i w:val="false"/>
          <w:color w:val="000000"/>
          <w:sz w:val="28"/>
        </w:rPr>
        <w:t>
      Аналогичная ситуация наблюдается и в Казахстане. Половозрастная структура населения за период с 2010 по 2017 годы (рисунок 3) свидетельствует о росте численности населения старше 65 лет, при этом снижается доля трудоспособного</w:t>
      </w:r>
      <w:r>
        <w:rPr>
          <w:rFonts w:ascii="Times New Roman"/>
          <w:b w:val="false"/>
          <w:i w:val="false"/>
          <w:color w:val="000000"/>
          <w:vertAlign w:val="superscript"/>
        </w:rPr>
        <w:t>8</w:t>
      </w:r>
      <w:r>
        <w:rPr>
          <w:rFonts w:ascii="Times New Roman"/>
          <w:b w:val="false"/>
          <w:i w:val="false"/>
          <w:color w:val="000000"/>
          <w:sz w:val="28"/>
        </w:rPr>
        <w:t xml:space="preserve"> населения и женщин фертильного возраста (на 1,3 %).</w:t>
      </w:r>
    </w:p>
    <w:bookmarkEnd w:id="280"/>
    <w:bookmarkStart w:name="z287" w:id="281"/>
    <w:p>
      <w:pPr>
        <w:spacing w:after="0"/>
        <w:ind w:left="0"/>
        <w:jc w:val="both"/>
      </w:pPr>
      <w:r>
        <w:rPr>
          <w:rFonts w:ascii="Times New Roman"/>
          <w:b w:val="false"/>
          <w:i w:val="false"/>
          <w:color w:val="000000"/>
          <w:sz w:val="28"/>
        </w:rPr>
        <w:t>
      К 2030 году ожидается сохранение тенденции увеличения численности населения старше 65 лет, снижение численности женщин фертильного возраста.</w:t>
      </w:r>
    </w:p>
    <w:bookmarkEnd w:id="281"/>
    <w:bookmarkStart w:name="z288" w:id="282"/>
    <w:p>
      <w:pPr>
        <w:spacing w:after="0"/>
        <w:ind w:left="0"/>
        <w:jc w:val="both"/>
      </w:pPr>
      <w:r>
        <w:rPr>
          <w:rFonts w:ascii="Times New Roman"/>
          <w:b w:val="false"/>
          <w:i w:val="false"/>
          <w:color w:val="000000"/>
          <w:sz w:val="28"/>
        </w:rPr>
        <w:t>
      ________________________________________________________________</w:t>
      </w:r>
    </w:p>
    <w:bookmarkEnd w:id="282"/>
    <w:bookmarkStart w:name="z289" w:id="2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United Nations Department of Economic and Social Affairs / Population Division "World Population Prospects: The 2015 Revision", Key Findings and Advance Tables</w:t>
      </w:r>
    </w:p>
    <w:bookmarkEnd w:id="283"/>
    <w:bookmarkStart w:name="z290" w:id="2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Трудоспособное население - это мужчины 16-62 лет и женщины 16-57 лет. В связи с изменением в пенсионном законодательстве Республики Казахстан с 1 января 2018 года для женского населения будут в дальнейшем вноситься изменения в соответствии с Графиком сроков выхода женщин на пенсию по годам и датам их рождения (для расчетов прогнозных данных).</w:t>
      </w:r>
    </w:p>
    <w:bookmarkEnd w:id="284"/>
    <w:bookmarkStart w:name="z291"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6581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581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86"/>
    <w:p>
      <w:pPr>
        <w:spacing w:after="0"/>
        <w:ind w:left="0"/>
        <w:jc w:val="both"/>
      </w:pPr>
      <w:r>
        <w:rPr>
          <w:rFonts w:ascii="Times New Roman"/>
          <w:b w:val="false"/>
          <w:i w:val="false"/>
          <w:color w:val="000000"/>
          <w:sz w:val="28"/>
        </w:rPr>
        <w:t>
      Рисунок 3 - Половозрастная пирамида с 2010 по 2030 годы, %</w:t>
      </w:r>
    </w:p>
    <w:bookmarkEnd w:id="286"/>
    <w:bookmarkStart w:name="z293" w:id="287"/>
    <w:p>
      <w:pPr>
        <w:spacing w:after="0"/>
        <w:ind w:left="0"/>
        <w:jc w:val="both"/>
      </w:pPr>
      <w:r>
        <w:rPr>
          <w:rFonts w:ascii="Times New Roman"/>
          <w:b w:val="false"/>
          <w:i w:val="false"/>
          <w:color w:val="000000"/>
          <w:sz w:val="28"/>
        </w:rPr>
        <w:t>
      * здесь и далее: данные за 2018 год будут опубликованы в ноябре 2019 года, поэтому использованы данные за 2017 год</w:t>
      </w:r>
    </w:p>
    <w:bookmarkEnd w:id="287"/>
    <w:bookmarkStart w:name="z294" w:id="288"/>
    <w:p>
      <w:pPr>
        <w:spacing w:after="0"/>
        <w:ind w:left="0"/>
        <w:jc w:val="both"/>
      </w:pPr>
      <w:r>
        <w:rPr>
          <w:rFonts w:ascii="Times New Roman"/>
          <w:b w:val="false"/>
          <w:i w:val="false"/>
          <w:color w:val="000000"/>
          <w:sz w:val="28"/>
        </w:rPr>
        <w:t>
      Источник: КС МНЭ РК www.stat.gov.kz, прогноз АО"ИЭИ" МНЭ РК</w:t>
      </w:r>
    </w:p>
    <w:bookmarkEnd w:id="288"/>
    <w:bookmarkStart w:name="z295" w:id="289"/>
    <w:p>
      <w:pPr>
        <w:spacing w:after="0"/>
        <w:ind w:left="0"/>
        <w:jc w:val="both"/>
      </w:pPr>
      <w:r>
        <w:rPr>
          <w:rFonts w:ascii="Times New Roman"/>
          <w:b w:val="false"/>
          <w:i w:val="false"/>
          <w:color w:val="000000"/>
          <w:sz w:val="28"/>
        </w:rPr>
        <w:t>
      Актуальным становится внедрение в экономику элементов концепции "серебряной экономики"</w:t>
      </w:r>
      <w:r>
        <w:rPr>
          <w:rFonts w:ascii="Times New Roman"/>
          <w:b w:val="false"/>
          <w:i w:val="false"/>
          <w:color w:val="000000"/>
          <w:vertAlign w:val="superscript"/>
        </w:rPr>
        <w:t>9</w:t>
      </w:r>
      <w:r>
        <w:rPr>
          <w:rFonts w:ascii="Times New Roman"/>
          <w:b w:val="false"/>
          <w:i w:val="false"/>
          <w:color w:val="000000"/>
          <w:sz w:val="28"/>
        </w:rPr>
        <w:t>, т.е. новым драйвером экономического роста может стать удовлетворение возрастающих потребностей населения старшего возраста, что повлечет значительные инвестиции в медицинскую и рекреационную инфраструктуру.</w:t>
      </w:r>
    </w:p>
    <w:bookmarkEnd w:id="289"/>
    <w:bookmarkStart w:name="z296" w:id="290"/>
    <w:p>
      <w:pPr>
        <w:spacing w:after="0"/>
        <w:ind w:left="0"/>
        <w:jc w:val="both"/>
      </w:pPr>
      <w:r>
        <w:rPr>
          <w:rFonts w:ascii="Times New Roman"/>
          <w:b w:val="false"/>
          <w:i w:val="false"/>
          <w:color w:val="000000"/>
          <w:sz w:val="28"/>
        </w:rPr>
        <w:t>
      В 2010-2017 годах наблюдался рост естественного прироста численности населения в пределах от 221,7 до 261,3 тыс. чел. Ожидается снижение естественного прироста к 2025 году до 227,5 тыс. чел. с последующим увеличением к 2030 году до 251,0 тыс. чел.</w:t>
      </w:r>
    </w:p>
    <w:bookmarkEnd w:id="290"/>
    <w:bookmarkStart w:name="z297" w:id="291"/>
    <w:p>
      <w:pPr>
        <w:spacing w:after="0"/>
        <w:ind w:left="0"/>
        <w:jc w:val="both"/>
      </w:pPr>
      <w:r>
        <w:rPr>
          <w:rFonts w:ascii="Times New Roman"/>
          <w:b w:val="false"/>
          <w:i w:val="false"/>
          <w:color w:val="000000"/>
          <w:sz w:val="28"/>
        </w:rPr>
        <w:t>
      В разрезе регионов высокий уровень естественного прироста в 2017 году наблюдался в Туркестанской области- 64,4 тыс. чел., Алматинской - 36,5 тыс. чел., в городах Нур-Султане - 24,4 тыс. чел., Алматы - 20,4 тыс. чел. Прогнозируется, что к 2030 году лидерами по естественному приросту останутся те же регионы, что потребует принятия активных мер по созданию рабочих мест, обучению и переобучению кадров, обеспечению социальной и инженерной инфраструктурой.</w:t>
      </w:r>
    </w:p>
    <w:bookmarkEnd w:id="291"/>
    <w:bookmarkStart w:name="z298" w:id="292"/>
    <w:p>
      <w:pPr>
        <w:spacing w:after="0"/>
        <w:ind w:left="0"/>
        <w:jc w:val="both"/>
      </w:pPr>
      <w:r>
        <w:rPr>
          <w:rFonts w:ascii="Times New Roman"/>
          <w:b w:val="false"/>
          <w:i w:val="false"/>
          <w:color w:val="000000"/>
          <w:sz w:val="28"/>
        </w:rPr>
        <w:t>
      Отрицательное значение естественного прироста сохранится в Северо- Казахстанской области. В Костанайской, Павлодарской, Восточно- Казахстанской и Карагандинской областях также ожидается значительное снижение естественного прироста. В данных регионах должны быть приняты меры по созданию условий и рабочих мест в центрах экономического роста. Также на решение проблемы снижения естественного прироста населения, должны быть направлены меры по выполнению социальных гарантий для женщин на период ухода за детьми, созданию комфортных жилищных условий.</w:t>
      </w:r>
    </w:p>
    <w:bookmarkEnd w:id="292"/>
    <w:bookmarkStart w:name="z299"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00" w:id="2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Серебряная экономика - перекрестная "экономика", целевой группой которой является пожилое население ("серебряные волосы"), а главная задача - обеспечение и удовлетворение его потребностей.</w:t>
      </w:r>
    </w:p>
    <w:bookmarkEnd w:id="294"/>
    <w:bookmarkStart w:name="z301" w:id="295"/>
    <w:p>
      <w:pPr>
        <w:spacing w:after="0"/>
        <w:ind w:left="0"/>
        <w:jc w:val="both"/>
      </w:pPr>
      <w:r>
        <w:rPr>
          <w:rFonts w:ascii="Times New Roman"/>
          <w:b w:val="false"/>
          <w:i w:val="false"/>
          <w:color w:val="000000"/>
          <w:sz w:val="28"/>
        </w:rPr>
        <w:t xml:space="preserve">
      </w:t>
      </w:r>
      <w:r>
        <w:rPr>
          <w:rFonts w:ascii="Times New Roman"/>
          <w:b/>
          <w:i w:val="false"/>
          <w:color w:val="000000"/>
          <w:sz w:val="28"/>
        </w:rPr>
        <w:t>Миграция населения</w:t>
      </w:r>
    </w:p>
    <w:bookmarkEnd w:id="295"/>
    <w:bookmarkStart w:name="z302" w:id="296"/>
    <w:p>
      <w:pPr>
        <w:spacing w:after="0"/>
        <w:ind w:left="0"/>
        <w:jc w:val="both"/>
      </w:pPr>
      <w:r>
        <w:rPr>
          <w:rFonts w:ascii="Times New Roman"/>
          <w:b w:val="false"/>
          <w:i w:val="false"/>
          <w:color w:val="000000"/>
          <w:sz w:val="28"/>
        </w:rPr>
        <w:t>
      Миграционные процессы в Казахстане до 2017 года характеризовались увеличением убыли населения до 22,1 тыс. чел. ежегодно.</w:t>
      </w:r>
    </w:p>
    <w:bookmarkEnd w:id="296"/>
    <w:bookmarkStart w:name="z303" w:id="297"/>
    <w:p>
      <w:pPr>
        <w:spacing w:after="0"/>
        <w:ind w:left="0"/>
        <w:jc w:val="both"/>
      </w:pPr>
      <w:r>
        <w:rPr>
          <w:rFonts w:ascii="Times New Roman"/>
          <w:b w:val="false"/>
          <w:i w:val="false"/>
          <w:color w:val="000000"/>
          <w:sz w:val="28"/>
        </w:rPr>
        <w:t>
      В большинстве своем убывает трудоспособное население, также растет число убывающих младше трудоспособного возраста. Так, за 2010-2017 годы сальдо между убывающими и прибывающими составило 24,1 тыс. человек среди трудоспособного населения, 14,5 тыс. человек - среди населения, моложе трудоспособного возраста, 11,4 тыс. человек - старше трудоспособного возраста.</w:t>
      </w:r>
    </w:p>
    <w:bookmarkEnd w:id="297"/>
    <w:bookmarkStart w:name="z304" w:id="298"/>
    <w:p>
      <w:pPr>
        <w:spacing w:after="0"/>
        <w:ind w:left="0"/>
        <w:jc w:val="both"/>
      </w:pPr>
      <w:r>
        <w:rPr>
          <w:rFonts w:ascii="Times New Roman"/>
          <w:b w:val="false"/>
          <w:i w:val="false"/>
          <w:color w:val="000000"/>
          <w:sz w:val="28"/>
        </w:rPr>
        <w:t>
      В разрезе регионов за 2010-2017 годы рост населения за счет миграционного притока был отмечен в Алматинской и Мангистауской областях, городах Нур-Султане и Алматы. Активный отток населения отмечен в Карагандинской, Костанайской, Павлодарской, Северо-Казахстанской и Восточно-Казахстанской областях. Ожидается, что отмеченные выше тенденции сохранятся до 2030 года.</w:t>
      </w:r>
    </w:p>
    <w:bookmarkEnd w:id="298"/>
    <w:bookmarkStart w:name="z305" w:id="299"/>
    <w:p>
      <w:pPr>
        <w:spacing w:after="0"/>
        <w:ind w:left="0"/>
        <w:jc w:val="both"/>
      </w:pPr>
      <w:r>
        <w:rPr>
          <w:rFonts w:ascii="Times New Roman"/>
          <w:b w:val="false"/>
          <w:i w:val="false"/>
          <w:color w:val="000000"/>
          <w:sz w:val="28"/>
        </w:rPr>
        <w:t>
      Отмеченные тенденции и прогнозируемые негативные тренды являются вызовом для регионов и требуют принятия мер для снижения оттока населения (строительство арендного жилья без выкупа в крупных и больших городах, повышение привлекательности отечественных ВУЗов, создание высокодоходных рабочих мест на инновационных производствах, улучшение качества жизни в городах и другие).</w:t>
      </w:r>
    </w:p>
    <w:bookmarkEnd w:id="299"/>
    <w:bookmarkStart w:name="z306" w:id="300"/>
    <w:p>
      <w:pPr>
        <w:spacing w:after="0"/>
        <w:ind w:left="0"/>
        <w:jc w:val="both"/>
      </w:pPr>
      <w:r>
        <w:rPr>
          <w:rFonts w:ascii="Times New Roman"/>
          <w:b w:val="false"/>
          <w:i w:val="false"/>
          <w:color w:val="000000"/>
          <w:sz w:val="28"/>
        </w:rPr>
        <w:t>
      В реализацию принципа "люди к инфраструктуре" рост численности населения, как за счет миграции, так и за счет естественного прироста, ставит перед регионами задачу заблаговременной подготовки путем градостроительного планирования и опережающего развития инженерной и социальной инфраструктуры.</w:t>
      </w:r>
    </w:p>
    <w:bookmarkEnd w:id="300"/>
    <w:bookmarkStart w:name="z307" w:id="301"/>
    <w:p>
      <w:pPr>
        <w:spacing w:after="0"/>
        <w:ind w:left="0"/>
        <w:jc w:val="both"/>
      </w:pPr>
      <w:r>
        <w:rPr>
          <w:rFonts w:ascii="Times New Roman"/>
          <w:b w:val="false"/>
          <w:i w:val="false"/>
          <w:color w:val="000000"/>
          <w:sz w:val="28"/>
        </w:rPr>
        <w:t xml:space="preserve">
      </w:t>
      </w:r>
      <w:r>
        <w:rPr>
          <w:rFonts w:ascii="Times New Roman"/>
          <w:b/>
          <w:i w:val="false"/>
          <w:color w:val="000000"/>
          <w:sz w:val="28"/>
        </w:rPr>
        <w:t>Рынок труда</w:t>
      </w:r>
    </w:p>
    <w:bookmarkEnd w:id="301"/>
    <w:bookmarkStart w:name="z308" w:id="302"/>
    <w:p>
      <w:pPr>
        <w:spacing w:after="0"/>
        <w:ind w:left="0"/>
        <w:jc w:val="both"/>
      </w:pPr>
      <w:r>
        <w:rPr>
          <w:rFonts w:ascii="Times New Roman"/>
          <w:b w:val="false"/>
          <w:i w:val="false"/>
          <w:color w:val="000000"/>
          <w:sz w:val="28"/>
        </w:rPr>
        <w:t>
      С 2010 по 2017 годы увеличилась численность рабочей силы</w:t>
      </w:r>
      <w:r>
        <w:rPr>
          <w:rFonts w:ascii="Times New Roman"/>
          <w:b w:val="false"/>
          <w:i w:val="false"/>
          <w:color w:val="000000"/>
          <w:vertAlign w:val="superscript"/>
        </w:rPr>
        <w:t>10</w:t>
      </w:r>
      <w:r>
        <w:rPr>
          <w:rFonts w:ascii="Times New Roman"/>
          <w:b w:val="false"/>
          <w:i w:val="false"/>
          <w:color w:val="000000"/>
          <w:sz w:val="28"/>
        </w:rPr>
        <w:t xml:space="preserve"> на 416,7 тыс. чел., занятого населения - на 471 тыс. чел., доля занятого населения выросла на 0,9 % (рисунок 4).</w:t>
      </w:r>
    </w:p>
    <w:bookmarkEnd w:id="302"/>
    <w:bookmarkStart w:name="z309" w:id="303"/>
    <w:p>
      <w:pPr>
        <w:spacing w:after="0"/>
        <w:ind w:left="0"/>
        <w:jc w:val="both"/>
      </w:pPr>
      <w:r>
        <w:rPr>
          <w:rFonts w:ascii="Times New Roman"/>
          <w:b w:val="false"/>
          <w:i w:val="false"/>
          <w:color w:val="000000"/>
          <w:sz w:val="28"/>
        </w:rPr>
        <w:t>
      _____________________________________________________________</w:t>
      </w:r>
    </w:p>
    <w:bookmarkEnd w:id="303"/>
    <w:bookmarkStart w:name="z310" w:id="3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Рабочая сила - часть населения в возрасте, установленном для измерения рабочей силы, обеспечивающая предложение рабочей силы для производства товаров и услуг. Численность рабочей силы включает занятых во всех видах экономической деятельности и безработных.</w:t>
      </w:r>
    </w:p>
    <w:bookmarkEnd w:id="304"/>
    <w:bookmarkStart w:name="z311"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306"/>
    <w:p>
      <w:pPr>
        <w:spacing w:after="0"/>
        <w:ind w:left="0"/>
        <w:jc w:val="both"/>
      </w:pPr>
      <w:r>
        <w:rPr>
          <w:rFonts w:ascii="Times New Roman"/>
          <w:b w:val="false"/>
          <w:i w:val="false"/>
          <w:color w:val="000000"/>
          <w:sz w:val="28"/>
        </w:rPr>
        <w:t>
      Рисунок 4 - Показатели рынка труда Источник: КС МНЭ РК www.stat.gov.kz, прогноз АО "ИЭИ" МНЭ РК</w:t>
      </w:r>
    </w:p>
    <w:bookmarkEnd w:id="306"/>
    <w:bookmarkStart w:name="z313" w:id="307"/>
    <w:p>
      <w:pPr>
        <w:spacing w:after="0"/>
        <w:ind w:left="0"/>
        <w:jc w:val="both"/>
      </w:pPr>
      <w:r>
        <w:rPr>
          <w:rFonts w:ascii="Times New Roman"/>
          <w:b w:val="false"/>
          <w:i w:val="false"/>
          <w:color w:val="000000"/>
          <w:sz w:val="28"/>
        </w:rPr>
        <w:t>
      Согласно прогнозу показателей рынка труда, намеченные тенденции в предыдущее десятилетие по численности рабочей силы и занятого населения будут сохраняться, и к 2030 году ожидается увеличение численности рабочей силы до 10,4 млн. чел.</w:t>
      </w:r>
    </w:p>
    <w:bookmarkEnd w:id="307"/>
    <w:bookmarkStart w:name="z314" w:id="308"/>
    <w:p>
      <w:pPr>
        <w:spacing w:after="0"/>
        <w:ind w:left="0"/>
        <w:jc w:val="both"/>
      </w:pPr>
      <w:r>
        <w:rPr>
          <w:rFonts w:ascii="Times New Roman"/>
          <w:b w:val="false"/>
          <w:i w:val="false"/>
          <w:color w:val="000000"/>
          <w:sz w:val="28"/>
        </w:rPr>
        <w:t>
      Ожидается, что на протяжении ближайшего десятилетия занятость населения сохранится на уровне 2017 года (95,1 %), а доля рабочей силы от общей численности населения снизится к 2030 году до 50,1 %.</w:t>
      </w:r>
    </w:p>
    <w:bookmarkEnd w:id="308"/>
    <w:bookmarkStart w:name="z315"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7785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851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310"/>
    <w:p>
      <w:pPr>
        <w:spacing w:after="0"/>
        <w:ind w:left="0"/>
        <w:jc w:val="both"/>
      </w:pPr>
      <w:r>
        <w:rPr>
          <w:rFonts w:ascii="Times New Roman"/>
          <w:b w:val="false"/>
          <w:i w:val="false"/>
          <w:color w:val="000000"/>
          <w:sz w:val="28"/>
        </w:rPr>
        <w:t>
      Рисунок 5 - Занятое население по сферам, тыс. чел.</w:t>
      </w:r>
    </w:p>
    <w:bookmarkEnd w:id="310"/>
    <w:bookmarkStart w:name="z317" w:id="311"/>
    <w:p>
      <w:pPr>
        <w:spacing w:after="0"/>
        <w:ind w:left="0"/>
        <w:jc w:val="both"/>
      </w:pPr>
      <w:r>
        <w:rPr>
          <w:rFonts w:ascii="Times New Roman"/>
          <w:b w:val="false"/>
          <w:i w:val="false"/>
          <w:color w:val="000000"/>
          <w:sz w:val="28"/>
        </w:rPr>
        <w:t>
      Для обеспечения растущей численности населения рабочими местами необходимо продолжить реализацию государственных программ в рамках стимулирования продуктивной занятости и развития МСБ, открытия новых производств, проведения обучения и переобучения специалистов.</w:t>
      </w:r>
    </w:p>
    <w:bookmarkEnd w:id="311"/>
    <w:bookmarkStart w:name="z318" w:id="312"/>
    <w:p>
      <w:pPr>
        <w:spacing w:after="0"/>
        <w:ind w:left="0"/>
        <w:jc w:val="both"/>
      </w:pPr>
      <w:r>
        <w:rPr>
          <w:rFonts w:ascii="Times New Roman"/>
          <w:b w:val="false"/>
          <w:i w:val="false"/>
          <w:color w:val="000000"/>
          <w:sz w:val="28"/>
        </w:rPr>
        <w:t>
      В разрезе сфер занятости (рисунок 5) в 2017 году по сравнению с 2010 годом наблюдается снижение численности занятых в сфере сельского, лесного и рыбного хозяйства при повышении численности занятого населения в сфере услуг.</w:t>
      </w:r>
    </w:p>
    <w:bookmarkEnd w:id="312"/>
    <w:bookmarkStart w:name="z319" w:id="313"/>
    <w:p>
      <w:pPr>
        <w:spacing w:after="0"/>
        <w:ind w:left="0"/>
        <w:jc w:val="both"/>
      </w:pPr>
      <w:r>
        <w:rPr>
          <w:rFonts w:ascii="Times New Roman"/>
          <w:b w:val="false"/>
          <w:i w:val="false"/>
          <w:color w:val="000000"/>
          <w:sz w:val="28"/>
        </w:rPr>
        <w:t>
      За счет увеличения производительности труда и дальнейшего улучшения материально-технической базы в 2030 году прогнозируется, что количество занятых в сфере сельского хозяйства продолжит сокращаться. В региональном разрезе наибольшее выбытие работников будет происходить в регионах, основу экономики которых составляет сельскохозяйственная отрасль, в том числе в Алматинской, Костанайской, Туркестанской, Жамбылской, Акмолинской и Северо-Казахстанской областях. В связи с этим данным регионам необходимо принять меры по диверсификации своих экономик, в том числе с учетом необходимости использования потенциала в сфере агропромышленного комплекса.</w:t>
      </w:r>
    </w:p>
    <w:bookmarkEnd w:id="313"/>
    <w:bookmarkStart w:name="z320" w:id="314"/>
    <w:p>
      <w:pPr>
        <w:spacing w:after="0"/>
        <w:ind w:left="0"/>
        <w:jc w:val="both"/>
      </w:pPr>
      <w:r>
        <w:rPr>
          <w:rFonts w:ascii="Times New Roman"/>
          <w:b w:val="false"/>
          <w:i w:val="false"/>
          <w:color w:val="000000"/>
          <w:sz w:val="28"/>
        </w:rPr>
        <w:t>
      В отраслях промышленности и строительства с 2010 по 2017 годы численность занятого населения сократилась в Западно-Казахстанской области (на 4,9 %) и в городе Алматы (6,8 %). Активный рост занятых в данных отраслях отмечен в Актюбинской области (на 53 %), Туркестанской области, в городах Шымкенте (на 41,4 %) и Нур-Султане (на 35,7 %).</w:t>
      </w:r>
    </w:p>
    <w:bookmarkEnd w:id="314"/>
    <w:bookmarkStart w:name="z321" w:id="315"/>
    <w:p>
      <w:pPr>
        <w:spacing w:after="0"/>
        <w:ind w:left="0"/>
        <w:jc w:val="both"/>
      </w:pPr>
      <w:r>
        <w:rPr>
          <w:rFonts w:ascii="Times New Roman"/>
          <w:b w:val="false"/>
          <w:i w:val="false"/>
          <w:color w:val="000000"/>
          <w:sz w:val="28"/>
        </w:rPr>
        <w:t>
      В результате структурных изменений на рынке труда наиболее востребованными профессиями в перспективе будут учителя, средний медицинский персонал, а также работники сферы услуг.</w:t>
      </w:r>
    </w:p>
    <w:bookmarkEnd w:id="315"/>
    <w:bookmarkStart w:name="z322" w:id="316"/>
    <w:p>
      <w:pPr>
        <w:spacing w:after="0"/>
        <w:ind w:left="0"/>
        <w:jc w:val="both"/>
      </w:pPr>
      <w:r>
        <w:rPr>
          <w:rFonts w:ascii="Times New Roman"/>
          <w:b w:val="false"/>
          <w:i w:val="false"/>
          <w:color w:val="000000"/>
          <w:sz w:val="28"/>
        </w:rPr>
        <w:t xml:space="preserve">
      </w:t>
      </w:r>
      <w:r>
        <w:rPr>
          <w:rFonts w:ascii="Times New Roman"/>
          <w:b/>
          <w:i w:val="false"/>
          <w:color w:val="000000"/>
          <w:sz w:val="28"/>
        </w:rPr>
        <w:t>Выводы:</w:t>
      </w:r>
    </w:p>
    <w:bookmarkEnd w:id="316"/>
    <w:bookmarkStart w:name="z323" w:id="317"/>
    <w:p>
      <w:pPr>
        <w:spacing w:after="0"/>
        <w:ind w:left="0"/>
        <w:jc w:val="both"/>
      </w:pPr>
      <w:r>
        <w:rPr>
          <w:rFonts w:ascii="Times New Roman"/>
          <w:b w:val="false"/>
          <w:i w:val="false"/>
          <w:color w:val="000000"/>
          <w:sz w:val="28"/>
        </w:rPr>
        <w:t>
      По результатам анализа демографической ситуации в Казахстане определен ряд проблем, среди которых ключевыми являются: снижение рождаемости, старение населения, отток трудоспособного населения, высвобождение работников в сфере сельского хозяйства. Сохраняются значительные диспропорции между регионами по показателям естественного прироста населения и миграции. Так, высокие показатели естественного прироста наблюдаются в Алматинской, Жамбылской, Кызылординской, Туркестанской, Атырауской, Мангистауской областях и городах Нур-Султане и Шымкенте. Низкие показатели естественного прироста характерны для Акмолинской, Костанайской, Северо-Казахстанской, Карагандинской, Павлодарской и Восточно-Казахстанской областей. Анализ миграционных потоков за последние 10 лет показывает наличие значительных различий между регионами. Положительное сальдо миграции имеют только Атырауская и Мангистауская области и города Нур-Султан, Алматы и Шымкент.</w:t>
      </w:r>
    </w:p>
    <w:bookmarkEnd w:id="317"/>
    <w:bookmarkStart w:name="z324" w:id="318"/>
    <w:p>
      <w:pPr>
        <w:spacing w:after="0"/>
        <w:ind w:left="0"/>
        <w:jc w:val="both"/>
      </w:pPr>
      <w:r>
        <w:rPr>
          <w:rFonts w:ascii="Times New Roman"/>
          <w:b w:val="false"/>
          <w:i w:val="false"/>
          <w:color w:val="000000"/>
          <w:sz w:val="28"/>
        </w:rPr>
        <w:t>
      Решение обозначенных проблем позволит снизить демографическую нагрузку на трудоспособное население.</w:t>
      </w:r>
    </w:p>
    <w:bookmarkEnd w:id="318"/>
    <w:bookmarkStart w:name="z325" w:id="319"/>
    <w:p>
      <w:pPr>
        <w:spacing w:after="0"/>
        <w:ind w:left="0"/>
        <w:jc w:val="both"/>
      </w:pPr>
      <w:r>
        <w:rPr>
          <w:rFonts w:ascii="Times New Roman"/>
          <w:b w:val="false"/>
          <w:i w:val="false"/>
          <w:color w:val="000000"/>
          <w:sz w:val="28"/>
        </w:rPr>
        <w:t>
      Проблема высвобождения кадров в сельском хозяйстве должна решаться с учетом особенностей и оценки рынка труда в каждом регионе.</w:t>
      </w:r>
    </w:p>
    <w:bookmarkEnd w:id="319"/>
    <w:bookmarkStart w:name="z326" w:id="320"/>
    <w:p>
      <w:pPr>
        <w:spacing w:after="0"/>
        <w:ind w:left="0"/>
        <w:jc w:val="both"/>
      </w:pPr>
      <w:r>
        <w:rPr>
          <w:rFonts w:ascii="Times New Roman"/>
          <w:b w:val="false"/>
          <w:i w:val="false"/>
          <w:color w:val="000000"/>
          <w:sz w:val="28"/>
        </w:rPr>
        <w:t>
      В целом в Казахстане ожидается ежегодный рост численности населения до 2030 года. Наибольший прирост населения ожидается в Алматинской, Жамбылской, Мангистауской, Туркестанской областях, городах Нур-Султане, Алматы и Шымкенте, что потребует принятия мер по опережающему обеспечению жилищной, социальной и транспортно-коммуникационной инфраструктурой, созданию рабочих мест, при этом не ухудшая экологическое состояние.</w:t>
      </w:r>
    </w:p>
    <w:bookmarkEnd w:id="320"/>
    <w:bookmarkStart w:name="z327" w:id="321"/>
    <w:p>
      <w:pPr>
        <w:spacing w:after="0"/>
        <w:ind w:left="0"/>
        <w:jc w:val="both"/>
      </w:pPr>
      <w:r>
        <w:rPr>
          <w:rFonts w:ascii="Times New Roman"/>
          <w:b w:val="false"/>
          <w:i w:val="false"/>
          <w:color w:val="000000"/>
          <w:sz w:val="28"/>
        </w:rPr>
        <w:t>
      В Павлодарской, Восточно-Казахстанской, Карагандинской и Костанайской областях ожидается незначительный темп роста населения, ввиду снижения уровня естественного прироста, а в Северо-Казахстанской области, напротив, прогнозируется снижение численности населения.</w:t>
      </w:r>
    </w:p>
    <w:bookmarkEnd w:id="321"/>
    <w:bookmarkStart w:name="z328" w:id="322"/>
    <w:p>
      <w:pPr>
        <w:spacing w:after="0"/>
        <w:ind w:left="0"/>
        <w:jc w:val="both"/>
      </w:pPr>
      <w:r>
        <w:rPr>
          <w:rFonts w:ascii="Times New Roman"/>
          <w:b w:val="false"/>
          <w:i w:val="false"/>
          <w:color w:val="000000"/>
          <w:sz w:val="28"/>
        </w:rPr>
        <w:t>
      Анализ текущей демографической ситуации, а также ее перспективные оценки свидетельствуют о том, что сложилась существенная региональная дифференциация в демографическом развитии Казахстана. Для обеспечения эффективного регулирования и стабильного развития социально-демографических процессов необходимо обеспечить формирование демографической политики до 2030 года.</w:t>
      </w:r>
    </w:p>
    <w:bookmarkEnd w:id="322"/>
    <w:bookmarkStart w:name="z329" w:id="323"/>
    <w:p>
      <w:pPr>
        <w:spacing w:after="0"/>
        <w:ind w:left="0"/>
        <w:jc w:val="both"/>
      </w:pPr>
      <w:r>
        <w:rPr>
          <w:rFonts w:ascii="Times New Roman"/>
          <w:b w:val="false"/>
          <w:i w:val="false"/>
          <w:color w:val="000000"/>
          <w:sz w:val="28"/>
        </w:rPr>
        <w:t>
      В перспективе ряд регионов страны столкнется с проблемой высвобождения и межотраслевого перетока трудовых ресурсов. В этих целях требуется принятие мер по переориентации системы подготовки кадров на новые требования рынка путем привлечения новых квалифицированных кадров из системы образования, а также путем переквалификации и переобучения кадров.</w:t>
      </w:r>
    </w:p>
    <w:bookmarkEnd w:id="323"/>
    <w:bookmarkStart w:name="z330" w:id="324"/>
    <w:p>
      <w:pPr>
        <w:spacing w:after="0"/>
        <w:ind w:left="0"/>
        <w:jc w:val="both"/>
      </w:pPr>
      <w:r>
        <w:rPr>
          <w:rFonts w:ascii="Times New Roman"/>
          <w:b w:val="false"/>
          <w:i w:val="false"/>
          <w:color w:val="000000"/>
          <w:sz w:val="28"/>
        </w:rPr>
        <w:t>
      Требуется стимулирование трудовой мобильности населения в агломерации и ФГР.</w:t>
      </w:r>
    </w:p>
    <w:bookmarkEnd w:id="324"/>
    <w:bookmarkStart w:name="z331" w:id="325"/>
    <w:p>
      <w:pPr>
        <w:spacing w:after="0"/>
        <w:ind w:left="0"/>
        <w:jc w:val="both"/>
      </w:pPr>
      <w:r>
        <w:rPr>
          <w:rFonts w:ascii="Times New Roman"/>
          <w:b w:val="false"/>
          <w:i w:val="false"/>
          <w:color w:val="000000"/>
          <w:sz w:val="28"/>
        </w:rPr>
        <w:t>
      Вопросы обеспечения занятости населения также должны решаться за счет развития массового предпринимательства и предоставления соответствующей государственной поддержки.</w:t>
      </w:r>
    </w:p>
    <w:bookmarkEnd w:id="325"/>
    <w:bookmarkStart w:name="z332" w:id="326"/>
    <w:p>
      <w:pPr>
        <w:spacing w:after="0"/>
        <w:ind w:left="0"/>
        <w:jc w:val="both"/>
      </w:pPr>
      <w:r>
        <w:rPr>
          <w:rFonts w:ascii="Times New Roman"/>
          <w:b w:val="false"/>
          <w:i w:val="false"/>
          <w:color w:val="000000"/>
          <w:sz w:val="28"/>
        </w:rPr>
        <w:t>
      Важным направлением социальной политики страны в перспективе останется обеспечение социальной поддержки женщин на период ухода за детьми, многодетных семей, и лиц, имеющих инвалидность.</w:t>
      </w:r>
    </w:p>
    <w:bookmarkEnd w:id="326"/>
    <w:bookmarkStart w:name="z333" w:id="327"/>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Анализ вызовов и тенденций, влияющих на территориально</w:t>
      </w:r>
      <w:r>
        <w:rPr>
          <w:rFonts w:ascii="Times New Roman"/>
          <w:b/>
          <w:i w:val="false"/>
          <w:color w:val="000000"/>
          <w:sz w:val="28"/>
        </w:rPr>
        <w:t>-</w:t>
      </w:r>
      <w:r>
        <w:rPr>
          <w:rFonts w:ascii="Times New Roman"/>
          <w:b/>
          <w:i w:val="false"/>
          <w:color w:val="000000"/>
          <w:sz w:val="28"/>
        </w:rPr>
        <w:t>пространственное развитие страны</w:t>
      </w:r>
    </w:p>
    <w:bookmarkEnd w:id="327"/>
    <w:bookmarkStart w:name="z334" w:id="328"/>
    <w:p>
      <w:pPr>
        <w:spacing w:after="0"/>
        <w:ind w:left="0"/>
        <w:jc w:val="both"/>
      </w:pPr>
      <w:r>
        <w:rPr>
          <w:rFonts w:ascii="Times New Roman"/>
          <w:b w:val="false"/>
          <w:i w:val="false"/>
          <w:color w:val="000000"/>
          <w:sz w:val="28"/>
        </w:rPr>
        <w:t>
      Все страны мира подвержены воздействию глобальных и региональных факторов. Казахстан должен рассматривать глобальные тенденции, в том числе в рамках интеграционных объединений, как внешние вызовы и в то же время возможности для усиления позиций страны на мировых рынках.</w:t>
      </w:r>
    </w:p>
    <w:bookmarkEnd w:id="328"/>
    <w:bookmarkStart w:name="z335" w:id="329"/>
    <w:p>
      <w:pPr>
        <w:spacing w:after="0"/>
        <w:ind w:left="0"/>
        <w:jc w:val="both"/>
      </w:pPr>
      <w:r>
        <w:rPr>
          <w:rFonts w:ascii="Times New Roman"/>
          <w:b w:val="false"/>
          <w:i w:val="false"/>
          <w:color w:val="000000"/>
          <w:sz w:val="28"/>
        </w:rPr>
        <w:t>
      С учетом мегатрендов, отраженных в Стратегии развития Казахстана до 2050 года, Концепции по вхождению Казахстана в число 30-ти самых развитых государств мира, Стратегическом плане - 2025, выявлены вызовы и тенденции, влияющие на территориально-пространственное развитие страны.</w:t>
      </w:r>
    </w:p>
    <w:bookmarkEnd w:id="329"/>
    <w:bookmarkStart w:name="z336" w:id="330"/>
    <w:p>
      <w:pPr>
        <w:spacing w:after="0"/>
        <w:ind w:left="0"/>
        <w:jc w:val="both"/>
      </w:pPr>
      <w:r>
        <w:rPr>
          <w:rFonts w:ascii="Times New Roman"/>
          <w:b w:val="false"/>
          <w:i w:val="false"/>
          <w:color w:val="000000"/>
          <w:sz w:val="28"/>
        </w:rPr>
        <w:t>
      Влияние глобальных вызовов и тенденций учитывается в определении стратегических направлений развития страны и регионов.</w:t>
      </w:r>
    </w:p>
    <w:bookmarkEnd w:id="330"/>
    <w:bookmarkStart w:name="z337" w:id="331"/>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Изменение климата</w:t>
      </w:r>
    </w:p>
    <w:bookmarkEnd w:id="331"/>
    <w:bookmarkStart w:name="z338" w:id="332"/>
    <w:p>
      <w:pPr>
        <w:spacing w:after="0"/>
        <w:ind w:left="0"/>
        <w:jc w:val="both"/>
      </w:pPr>
      <w:r>
        <w:rPr>
          <w:rFonts w:ascii="Times New Roman"/>
          <w:b w:val="false"/>
          <w:i w:val="false"/>
          <w:color w:val="000000"/>
          <w:sz w:val="28"/>
        </w:rPr>
        <w:t>
      Изменение климата влечет необратимые глобальные последствия для всех стран мира. Глобальное потепление, загрязнение воздуха, почвы и водных ресурсов - все это кардинально влияет на сложившуюся систему расселения людей и конъюнктуру мировой торговли.</w:t>
      </w:r>
    </w:p>
    <w:bookmarkEnd w:id="332"/>
    <w:bookmarkStart w:name="z339" w:id="333"/>
    <w:p>
      <w:pPr>
        <w:spacing w:after="0"/>
        <w:ind w:left="0"/>
        <w:jc w:val="both"/>
      </w:pPr>
      <w:r>
        <w:rPr>
          <w:rFonts w:ascii="Times New Roman"/>
          <w:b w:val="false"/>
          <w:i w:val="false"/>
          <w:color w:val="000000"/>
          <w:sz w:val="28"/>
        </w:rPr>
        <w:t>
      Признавая риски изменения климата для людей и экономики необходимо принять меры по развитию "зеленой" экономики и охране окружающей среды. Согласно 7-му Национальному сообщению ожидается повышение среднегодовой температуры воздуха в пределах 1,5-1,7 °С к 2030 году и на 2,4-2,6°С к 2050 году по отношению к базовому периоду (1980-1999 годы).</w:t>
      </w:r>
    </w:p>
    <w:bookmarkEnd w:id="333"/>
    <w:bookmarkStart w:name="z340" w:id="334"/>
    <w:p>
      <w:pPr>
        <w:spacing w:after="0"/>
        <w:ind w:left="0"/>
        <w:jc w:val="both"/>
      </w:pPr>
      <w:r>
        <w:rPr>
          <w:rFonts w:ascii="Times New Roman"/>
          <w:b w:val="false"/>
          <w:i w:val="false"/>
          <w:color w:val="000000"/>
          <w:sz w:val="28"/>
        </w:rPr>
        <w:t>
      Имеется риск сокращения среднемноголетнего объема водных ресурсов Казахстана к 2030 году до 72,4 км</w:t>
      </w:r>
      <w:r>
        <w:rPr>
          <w:rFonts w:ascii="Times New Roman"/>
          <w:b w:val="false"/>
          <w:i w:val="false"/>
          <w:color w:val="000000"/>
          <w:vertAlign w:val="superscript"/>
        </w:rPr>
        <w:t>3</w:t>
      </w:r>
      <w:r>
        <w:rPr>
          <w:rFonts w:ascii="Times New Roman"/>
          <w:b w:val="false"/>
          <w:i w:val="false"/>
          <w:color w:val="000000"/>
          <w:sz w:val="28"/>
        </w:rPr>
        <w:t xml:space="preserve"> (сейчас 100,5 км</w:t>
      </w:r>
      <w:r>
        <w:rPr>
          <w:rFonts w:ascii="Times New Roman"/>
          <w:b w:val="false"/>
          <w:i w:val="false"/>
          <w:color w:val="000000"/>
          <w:vertAlign w:val="superscript"/>
        </w:rPr>
        <w:t>3</w:t>
      </w:r>
      <w:r>
        <w:rPr>
          <w:rFonts w:ascii="Times New Roman"/>
          <w:b w:val="false"/>
          <w:i w:val="false"/>
          <w:color w:val="000000"/>
          <w:sz w:val="28"/>
        </w:rPr>
        <w:t>).</w:t>
      </w:r>
    </w:p>
    <w:bookmarkEnd w:id="334"/>
    <w:bookmarkStart w:name="z341" w:id="335"/>
    <w:p>
      <w:pPr>
        <w:spacing w:after="0"/>
        <w:ind w:left="0"/>
        <w:jc w:val="both"/>
      </w:pPr>
      <w:r>
        <w:rPr>
          <w:rFonts w:ascii="Times New Roman"/>
          <w:b w:val="false"/>
          <w:i w:val="false"/>
          <w:color w:val="000000"/>
          <w:sz w:val="28"/>
        </w:rPr>
        <w:t>
      Данные климатические изменения окажут влияние на развитие сельского хозяйства и его продуктивность, а также на здоровье населения, обеспечение питьевой водой. В связи с этим необходимо принять меры по адаптации приоритетных секторов экономики к происходящему изменению климата.</w:t>
      </w:r>
    </w:p>
    <w:bookmarkEnd w:id="335"/>
    <w:bookmarkStart w:name="z342" w:id="336"/>
    <w:p>
      <w:pPr>
        <w:spacing w:after="0"/>
        <w:ind w:left="0"/>
        <w:jc w:val="both"/>
      </w:pPr>
      <w:r>
        <w:rPr>
          <w:rFonts w:ascii="Times New Roman"/>
          <w:b w:val="false"/>
          <w:i w:val="false"/>
          <w:color w:val="000000"/>
          <w:sz w:val="28"/>
        </w:rPr>
        <w:t>
      В силу ограниченности водных ресурсов для Казахстана очень важен вопрос вододеления трансграничных рек, а также последующая разработка положений и регулирования сбалансированного использования водных бассейнов рек и озер для нужд населения, сельского хозяйства и промышленности. В долгосрочной перспективе наибольшим риском являются ограничения развития отраслей промышленности, требующих высокого расхода воды, в частности, горно-металлургического комплекса и угольной энергетики.</w:t>
      </w:r>
    </w:p>
    <w:bookmarkEnd w:id="336"/>
    <w:bookmarkStart w:name="z343" w:id="337"/>
    <w:p>
      <w:pPr>
        <w:spacing w:after="0"/>
        <w:ind w:left="0"/>
        <w:jc w:val="both"/>
      </w:pPr>
      <w:r>
        <w:rPr>
          <w:rFonts w:ascii="Times New Roman"/>
          <w:b w:val="false"/>
          <w:i w:val="false"/>
          <w:color w:val="000000"/>
          <w:sz w:val="28"/>
        </w:rPr>
        <w:t>
      Актуальной остается проблема Аральского моря, которая затрагивает все страны региона и оказывает влияние на экологию Евразии. В связи с этим необходимо развивать механизмы водохозяйственного регулирования, с учетом обеспечения экологической устойчивости и стабильности инвестиций со стороны всех государств региона.</w:t>
      </w:r>
    </w:p>
    <w:bookmarkEnd w:id="337"/>
    <w:bookmarkStart w:name="z344" w:id="338"/>
    <w:p>
      <w:pPr>
        <w:spacing w:after="0"/>
        <w:ind w:left="0"/>
        <w:jc w:val="both"/>
      </w:pPr>
      <w:r>
        <w:rPr>
          <w:rFonts w:ascii="Times New Roman"/>
          <w:b w:val="false"/>
          <w:i w:val="false"/>
          <w:color w:val="000000"/>
          <w:sz w:val="28"/>
        </w:rPr>
        <w:t>
      Имеется риск обострения проблемы опустынивания земель. В долгосрочной перспективе возможно усиление негативных последствий от стихийных бедствий, в том числе паводков.</w:t>
      </w:r>
    </w:p>
    <w:bookmarkEnd w:id="338"/>
    <w:bookmarkStart w:name="z345" w:id="339"/>
    <w:p>
      <w:pPr>
        <w:spacing w:after="0"/>
        <w:ind w:left="0"/>
        <w:jc w:val="both"/>
      </w:pPr>
      <w:r>
        <w:rPr>
          <w:rFonts w:ascii="Times New Roman"/>
          <w:b w:val="false"/>
          <w:i w:val="false"/>
          <w:color w:val="000000"/>
          <w:sz w:val="28"/>
        </w:rPr>
        <w:t>
      Территория страны подвержена таким различным видам чрезвычайных ситуаций, как паводки, сели, снежные лавины, оползни, обвалы, землетрясения, лесные пожары и др.</w:t>
      </w:r>
    </w:p>
    <w:bookmarkEnd w:id="339"/>
    <w:bookmarkStart w:name="z346" w:id="340"/>
    <w:p>
      <w:pPr>
        <w:spacing w:after="0"/>
        <w:ind w:left="0"/>
        <w:jc w:val="both"/>
      </w:pPr>
      <w:r>
        <w:rPr>
          <w:rFonts w:ascii="Times New Roman"/>
          <w:b w:val="false"/>
          <w:i w:val="false"/>
          <w:color w:val="000000"/>
          <w:sz w:val="28"/>
        </w:rPr>
        <w:t>
      В целях предупреждения и защиты населения от чрезвычайных ситуаций природного и техногенного характера необходимо реализовать организационно-профилактические и инженерно-технические мероприятия. Меры должны быть направлены на развитие инфраструктуры противодействия стихийным бедствиям, в том числе сезонным паводкам и наводнениям, селям, оползням и лавинам, пожарам, землетрясениям, медико-санитарным последствиям чрезвычайных ситуаций на всей территории страны. Также необходимо рассмотреть вопрос совершенствования системы прогнозирования риска стихийных бедствий, в том числе паводков, которая позволит своевременно предупреждать население и даст возможность подготовиться к неожиданным последствиям, с использованием высоких технологий, таких как геоинформационная система и радары.</w:t>
      </w:r>
    </w:p>
    <w:bookmarkEnd w:id="340"/>
    <w:bookmarkStart w:name="z347" w:id="341"/>
    <w:p>
      <w:pPr>
        <w:spacing w:after="0"/>
        <w:ind w:left="0"/>
        <w:jc w:val="both"/>
      </w:pPr>
      <w:r>
        <w:rPr>
          <w:rFonts w:ascii="Times New Roman"/>
          <w:b w:val="false"/>
          <w:i w:val="false"/>
          <w:color w:val="000000"/>
          <w:sz w:val="28"/>
        </w:rPr>
        <w:t>
      Экономике Казахстана присуща чрезмерная энергоемкость экономики, что требует модернизации существующей инфраструктуры и необходимости в полной мере использовать потенциал страны в энергосбережении и энергоэффективности.</w:t>
      </w:r>
    </w:p>
    <w:bookmarkEnd w:id="341"/>
    <w:bookmarkStart w:name="z348" w:id="342"/>
    <w:p>
      <w:pPr>
        <w:spacing w:after="0"/>
        <w:ind w:left="0"/>
        <w:jc w:val="both"/>
      </w:pPr>
      <w:r>
        <w:rPr>
          <w:rFonts w:ascii="Times New Roman"/>
          <w:b w:val="false"/>
          <w:i w:val="false"/>
          <w:color w:val="000000"/>
          <w:sz w:val="28"/>
        </w:rPr>
        <w:t>
      Большой потенциал имеет "зеленая экономика", как сектор, генерирующий создание новых рабочих мест, в том числе в сельской местности. Возобновляемая энергетика по сравнению с традиционной создает в 3 раза больше рабочих мест</w:t>
      </w:r>
      <w:r>
        <w:rPr>
          <w:rFonts w:ascii="Times New Roman"/>
          <w:b w:val="false"/>
          <w:i w:val="false"/>
          <w:color w:val="000000"/>
          <w:vertAlign w:val="superscript"/>
        </w:rPr>
        <w:t>11</w:t>
      </w:r>
      <w:r>
        <w:rPr>
          <w:rFonts w:ascii="Times New Roman"/>
          <w:b w:val="false"/>
          <w:i w:val="false"/>
          <w:color w:val="000000"/>
          <w:sz w:val="28"/>
        </w:rPr>
        <w:t>. Это доказывает, что развитие ВИЭ имеет не только экономические и экологические выгоды, но и социальные. Согласно прогнозу Международного агентства по ВИЭ (IRENA</w:t>
      </w:r>
      <w:r>
        <w:rPr>
          <w:rFonts w:ascii="Times New Roman"/>
          <w:b w:val="false"/>
          <w:i w:val="false"/>
          <w:color w:val="000000"/>
          <w:vertAlign w:val="superscript"/>
        </w:rPr>
        <w:t>12</w:t>
      </w:r>
      <w:r>
        <w:rPr>
          <w:rFonts w:ascii="Times New Roman"/>
          <w:b w:val="false"/>
          <w:i w:val="false"/>
          <w:color w:val="000000"/>
          <w:sz w:val="28"/>
        </w:rPr>
        <w:t>), к 2030 году в секторе чистой энергетики в мире будет занято уже 24 млн. человек</w:t>
      </w:r>
      <w:r>
        <w:rPr>
          <w:rFonts w:ascii="Times New Roman"/>
          <w:b w:val="false"/>
          <w:i w:val="false"/>
          <w:color w:val="000000"/>
          <w:vertAlign w:val="superscript"/>
        </w:rPr>
        <w:t>13</w:t>
      </w:r>
      <w:r>
        <w:rPr>
          <w:rFonts w:ascii="Times New Roman"/>
          <w:b w:val="false"/>
          <w:i w:val="false"/>
          <w:color w:val="000000"/>
          <w:sz w:val="28"/>
        </w:rPr>
        <w:t>.</w:t>
      </w:r>
    </w:p>
    <w:bookmarkEnd w:id="342"/>
    <w:bookmarkStart w:name="z349" w:id="34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Экономическая глобализация</w:t>
      </w:r>
    </w:p>
    <w:bookmarkEnd w:id="343"/>
    <w:bookmarkStart w:name="z350" w:id="344"/>
    <w:p>
      <w:pPr>
        <w:spacing w:after="0"/>
        <w:ind w:left="0"/>
        <w:jc w:val="both"/>
      </w:pPr>
      <w:r>
        <w:rPr>
          <w:rFonts w:ascii="Times New Roman"/>
          <w:b w:val="false"/>
          <w:i w:val="false"/>
          <w:color w:val="000000"/>
          <w:sz w:val="28"/>
        </w:rPr>
        <w:t>
      Протекционизм, ужесточение борьбы за таланты, а также торговые войны формируют серьезные глобальные вызовы мировой экономике.</w:t>
      </w:r>
    </w:p>
    <w:bookmarkEnd w:id="344"/>
    <w:bookmarkStart w:name="z351" w:id="345"/>
    <w:p>
      <w:pPr>
        <w:spacing w:after="0"/>
        <w:ind w:left="0"/>
        <w:jc w:val="both"/>
      </w:pPr>
      <w:r>
        <w:rPr>
          <w:rFonts w:ascii="Times New Roman"/>
          <w:b w:val="false"/>
          <w:i w:val="false"/>
          <w:color w:val="000000"/>
          <w:sz w:val="28"/>
        </w:rPr>
        <w:t>
      Для каждой страны мира, включая Казахстан, остро стоит вопрос глобальной конкурентоспособности национальной экономики, ее регионов и городов. Территориально-пространственное развитие - это важные процессы стимулирования притоков прямых иностранных инвестиций, координация политик в таких отраслях, как транспорт, сельское хозяйство и окружающая среда.</w:t>
      </w:r>
    </w:p>
    <w:bookmarkEnd w:id="345"/>
    <w:bookmarkStart w:name="z352" w:id="346"/>
    <w:p>
      <w:pPr>
        <w:spacing w:after="0"/>
        <w:ind w:left="0"/>
        <w:jc w:val="both"/>
      </w:pPr>
      <w:r>
        <w:rPr>
          <w:rFonts w:ascii="Times New Roman"/>
          <w:b w:val="false"/>
          <w:i w:val="false"/>
          <w:color w:val="000000"/>
          <w:sz w:val="28"/>
        </w:rPr>
        <w:t>
      _______________________________________________________________</w:t>
      </w:r>
    </w:p>
    <w:bookmarkEnd w:id="346"/>
    <w:bookmarkStart w:name="z353" w:id="3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https://www.e2.org/wp-content/uploads/2019/04/Е2-2019-CIean-Jobs-America.pdf</w:t>
      </w:r>
    </w:p>
    <w:bookmarkEnd w:id="347"/>
    <w:bookmarkStart w:name="z354" w:id="3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Международное агентство по возобновляемым источникам энергии (IRENA).</w:t>
      </w:r>
    </w:p>
    <w:bookmarkEnd w:id="348"/>
    <w:bookmarkStart w:name="z355" w:id="3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https://www.irena.org/DocumentDownloads/Publications/lRJENA_RE_Jobs_Annual_Review_2017.pdf</w:t>
      </w:r>
    </w:p>
    <w:bookmarkEnd w:id="349"/>
    <w:bookmarkStart w:name="z356" w:id="350"/>
    <w:p>
      <w:pPr>
        <w:spacing w:after="0"/>
        <w:ind w:left="0"/>
        <w:jc w:val="both"/>
      </w:pPr>
      <w:r>
        <w:rPr>
          <w:rFonts w:ascii="Times New Roman"/>
          <w:b w:val="false"/>
          <w:i w:val="false"/>
          <w:color w:val="000000"/>
          <w:sz w:val="28"/>
        </w:rPr>
        <w:t>
      Согласно прогнозам Standard Chartered</w:t>
      </w:r>
      <w:r>
        <w:rPr>
          <w:rFonts w:ascii="Times New Roman"/>
          <w:b w:val="false"/>
          <w:i w:val="false"/>
          <w:color w:val="000000"/>
          <w:vertAlign w:val="superscript"/>
        </w:rPr>
        <w:t>14</w:t>
      </w:r>
      <w:r>
        <w:rPr>
          <w:rFonts w:ascii="Times New Roman"/>
          <w:b w:val="false"/>
          <w:i w:val="false"/>
          <w:color w:val="000000"/>
          <w:sz w:val="28"/>
        </w:rPr>
        <w:t>, Bloomberg</w:t>
      </w:r>
      <w:r>
        <w:rPr>
          <w:rFonts w:ascii="Times New Roman"/>
          <w:b w:val="false"/>
          <w:i w:val="false"/>
          <w:color w:val="000000"/>
          <w:vertAlign w:val="superscript"/>
        </w:rPr>
        <w:t>15</w:t>
      </w:r>
      <w:r>
        <w:rPr>
          <w:rFonts w:ascii="Times New Roman"/>
          <w:b w:val="false"/>
          <w:i w:val="false"/>
          <w:color w:val="000000"/>
          <w:sz w:val="28"/>
        </w:rPr>
        <w:t>, доля Азии к 2030 году будет составлять 35 % от мирового ВВП. Вследствие географической близости Казахстана к данным рынкам, необходима интеграция в глобальные производственно-сбытовые цепочки, в том числе в контексте интеграционных процессов в рамках Евразийского экономического союза (далее - ЕАЭС).</w:t>
      </w:r>
    </w:p>
    <w:bookmarkEnd w:id="350"/>
    <w:bookmarkStart w:name="z357" w:id="351"/>
    <w:p>
      <w:pPr>
        <w:spacing w:after="0"/>
        <w:ind w:left="0"/>
        <w:jc w:val="both"/>
      </w:pPr>
      <w:r>
        <w:rPr>
          <w:rFonts w:ascii="Times New Roman"/>
          <w:b w:val="false"/>
          <w:i w:val="false"/>
          <w:color w:val="000000"/>
          <w:sz w:val="28"/>
        </w:rPr>
        <w:t>
      Интеграция в рамках ЕАЭС будет оказывать влияние на экономику Казахстана, в том числе при создании общих рынков газа, нефти и нефтепродуктов, которые предусматривают неприменение во взаимной торговле экспортных таможенных пошлин и иных ограничений.</w:t>
      </w:r>
    </w:p>
    <w:bookmarkEnd w:id="351"/>
    <w:bookmarkStart w:name="z358" w:id="352"/>
    <w:p>
      <w:pPr>
        <w:spacing w:after="0"/>
        <w:ind w:left="0"/>
        <w:jc w:val="both"/>
      </w:pPr>
      <w:r>
        <w:rPr>
          <w:rFonts w:ascii="Times New Roman"/>
          <w:b w:val="false"/>
          <w:i w:val="false"/>
          <w:color w:val="000000"/>
          <w:sz w:val="28"/>
        </w:rPr>
        <w:t>
      Для Казахстана в рамках ЕАЭС необходимо решать вызовы по устранению административных барьеров и других ограничений для доступа казахстанских товаров на рынки стран-членов ЕАЭС.</w:t>
      </w:r>
    </w:p>
    <w:bookmarkEnd w:id="352"/>
    <w:bookmarkStart w:name="z359" w:id="353"/>
    <w:p>
      <w:pPr>
        <w:spacing w:after="0"/>
        <w:ind w:left="0"/>
        <w:jc w:val="both"/>
      </w:pPr>
      <w:r>
        <w:rPr>
          <w:rFonts w:ascii="Times New Roman"/>
          <w:b w:val="false"/>
          <w:i w:val="false"/>
          <w:color w:val="000000"/>
          <w:sz w:val="28"/>
        </w:rPr>
        <w:t>
      Большие возможности в рамках инициативы "Пояса и Пути"</w:t>
      </w:r>
      <w:r>
        <w:rPr>
          <w:rFonts w:ascii="Times New Roman"/>
          <w:b w:val="false"/>
          <w:i w:val="false"/>
          <w:color w:val="000000"/>
          <w:vertAlign w:val="superscript"/>
        </w:rPr>
        <w:t>16</w:t>
      </w:r>
      <w:r>
        <w:rPr>
          <w:rFonts w:ascii="Times New Roman"/>
          <w:b w:val="false"/>
          <w:i w:val="false"/>
          <w:color w:val="000000"/>
          <w:sz w:val="28"/>
        </w:rPr>
        <w:t xml:space="preserve"> в Казахстане представлены в сфере управления объектами транзитной инфраструктуры - два транспортных маршрута: контейнерный "Украина- Болгария-Грузия-Азербайджан-Казахстан-Китай" и автомагистраль "РФ- Кызылорда-Шымкент-Алматы-Урумчи". Необходимо также учесть негативные последствия возможного сокращения спроса на китайские товары в Европе и необходимости содержания инфраструктурных объектов.</w:t>
      </w:r>
    </w:p>
    <w:bookmarkEnd w:id="353"/>
    <w:bookmarkStart w:name="z360" w:id="354"/>
    <w:p>
      <w:pPr>
        <w:spacing w:after="0"/>
        <w:ind w:left="0"/>
        <w:jc w:val="both"/>
      </w:pPr>
      <w:r>
        <w:rPr>
          <w:rFonts w:ascii="Times New Roman"/>
          <w:b w:val="false"/>
          <w:i w:val="false"/>
          <w:color w:val="000000"/>
          <w:sz w:val="28"/>
        </w:rPr>
        <w:t>
      Для Казахстана в долгосрочной перспективе замедление процесса глобализации может привести к снижению объемов привлекаемых иностранных инвестиций, трансферта технологий и сокращению товарооборота.</w:t>
      </w:r>
    </w:p>
    <w:bookmarkEnd w:id="354"/>
    <w:bookmarkStart w:name="z361" w:id="355"/>
    <w:p>
      <w:pPr>
        <w:spacing w:after="0"/>
        <w:ind w:left="0"/>
        <w:jc w:val="both"/>
      </w:pPr>
      <w:r>
        <w:rPr>
          <w:rFonts w:ascii="Times New Roman"/>
          <w:b w:val="false"/>
          <w:i w:val="false"/>
          <w:color w:val="000000"/>
          <w:sz w:val="28"/>
        </w:rPr>
        <w:t>
      Новая экономическая политика Узбекистана, направленная на улучшение взаимоотношений с соседними странами, может оказать влияние на развитие приграничных регионов и ряда отраслей. Ожидается усиление конкуренции за иностранные инвестиции, квалифицированные кадры, рынки сбыта товаров.</w:t>
      </w:r>
    </w:p>
    <w:bookmarkEnd w:id="355"/>
    <w:bookmarkStart w:name="z362" w:id="356"/>
    <w:p>
      <w:pPr>
        <w:spacing w:after="0"/>
        <w:ind w:left="0"/>
        <w:jc w:val="both"/>
      </w:pPr>
      <w:r>
        <w:rPr>
          <w:rFonts w:ascii="Times New Roman"/>
          <w:b w:val="false"/>
          <w:i w:val="false"/>
          <w:color w:val="000000"/>
          <w:sz w:val="28"/>
        </w:rPr>
        <w:t>
      Усиление региональной интеграции будет также способствовать активизации миграционных потоков, прежде всего, из стран Центральной Азии, что предъявит особые требования к миграционной политике Казахстана.</w:t>
      </w:r>
    </w:p>
    <w:bookmarkEnd w:id="356"/>
    <w:bookmarkStart w:name="z363" w:id="357"/>
    <w:p>
      <w:pPr>
        <w:spacing w:after="0"/>
        <w:ind w:left="0"/>
        <w:jc w:val="both"/>
      </w:pPr>
      <w:r>
        <w:rPr>
          <w:rFonts w:ascii="Times New Roman"/>
          <w:b w:val="false"/>
          <w:i w:val="false"/>
          <w:color w:val="000000"/>
          <w:sz w:val="28"/>
        </w:rPr>
        <w:t>
      Вызовом для Казахстана в контексте экономической, продовольственной безопасности остается высокая доля импорта, в частности в сфере продовольствия, что требует системных мер по защите национальных интересов с учетом повышения конкурентоспособности продукции.</w:t>
      </w:r>
    </w:p>
    <w:bookmarkEnd w:id="357"/>
    <w:bookmarkStart w:name="z364" w:id="358"/>
    <w:p>
      <w:pPr>
        <w:spacing w:after="0"/>
        <w:ind w:left="0"/>
        <w:jc w:val="both"/>
      </w:pPr>
      <w:r>
        <w:rPr>
          <w:rFonts w:ascii="Times New Roman"/>
          <w:b w:val="false"/>
          <w:i w:val="false"/>
          <w:color w:val="000000"/>
          <w:sz w:val="28"/>
        </w:rPr>
        <w:t>
      __________________________________________________________________</w:t>
      </w:r>
    </w:p>
    <w:bookmarkEnd w:id="358"/>
    <w:bookmarkStart w:name="z365" w:id="3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Standard Chartered транснациональная корпорация, предоставляющая финансовые услуги.</w:t>
      </w:r>
    </w:p>
    <w:bookmarkEnd w:id="359"/>
    <w:bookmarkStart w:name="z366" w:id="3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Bloomberg один из ведущих поставщиков финансовой информации для профессиональных участников финансовых рынков.</w:t>
      </w:r>
    </w:p>
    <w:bookmarkEnd w:id="360"/>
    <w:bookmarkStart w:name="z367" w:id="3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Выдвинутое в 2010-х годах КНР предложение объединенных проектов "Экономического пояса Шелкового пути" и "Морского Шелкового пути XXI века".</w:t>
      </w:r>
    </w:p>
    <w:bookmarkEnd w:id="361"/>
    <w:bookmarkStart w:name="z368" w:id="362"/>
    <w:p>
      <w:pPr>
        <w:spacing w:after="0"/>
        <w:ind w:left="0"/>
        <w:jc w:val="both"/>
      </w:pPr>
      <w:r>
        <w:rPr>
          <w:rFonts w:ascii="Times New Roman"/>
          <w:b w:val="false"/>
          <w:i w:val="false"/>
          <w:color w:val="000000"/>
          <w:sz w:val="28"/>
        </w:rPr>
        <w:t xml:space="preserve">
      </w:t>
      </w:r>
      <w:r>
        <w:rPr>
          <w:rFonts w:ascii="Times New Roman"/>
          <w:b/>
          <w:i w:val="false"/>
          <w:color w:val="000000"/>
          <w:sz w:val="28"/>
        </w:rPr>
        <w:t>Четвертая промышленная революция</w:t>
      </w:r>
    </w:p>
    <w:bookmarkEnd w:id="362"/>
    <w:bookmarkStart w:name="z369" w:id="363"/>
    <w:p>
      <w:pPr>
        <w:spacing w:after="0"/>
        <w:ind w:left="0"/>
        <w:jc w:val="both"/>
      </w:pPr>
      <w:r>
        <w:rPr>
          <w:rFonts w:ascii="Times New Roman"/>
          <w:b w:val="false"/>
          <w:i w:val="false"/>
          <w:color w:val="000000"/>
          <w:sz w:val="28"/>
        </w:rPr>
        <w:t>
      Четвертая промышленная революция меняет структуру глобальной экономики и открывает новые технологические возможности и целые направления науки.</w:t>
      </w:r>
    </w:p>
    <w:bookmarkEnd w:id="363"/>
    <w:bookmarkStart w:name="z370" w:id="364"/>
    <w:p>
      <w:pPr>
        <w:spacing w:after="0"/>
        <w:ind w:left="0"/>
        <w:jc w:val="both"/>
      </w:pPr>
      <w:r>
        <w:rPr>
          <w:rFonts w:ascii="Times New Roman"/>
          <w:b w:val="false"/>
          <w:i w:val="false"/>
          <w:color w:val="000000"/>
          <w:sz w:val="28"/>
        </w:rPr>
        <w:t>
      Цифровизация, изменение технологических платформ оказывают значительное влияние на традиционные отрасли промышленности, заменяют низко- и среднеквалифицированные кадры роботами.</w:t>
      </w:r>
    </w:p>
    <w:bookmarkEnd w:id="364"/>
    <w:bookmarkStart w:name="z371" w:id="365"/>
    <w:p>
      <w:pPr>
        <w:spacing w:after="0"/>
        <w:ind w:left="0"/>
        <w:jc w:val="both"/>
      </w:pPr>
      <w:r>
        <w:rPr>
          <w:rFonts w:ascii="Times New Roman"/>
          <w:b w:val="false"/>
          <w:i w:val="false"/>
          <w:color w:val="000000"/>
          <w:sz w:val="28"/>
        </w:rPr>
        <w:t>
      В ближайшем будущем искусственный интеллект станет незаменимой опцией в бытовой и общественной жизни. В то же время, в глобальной повестке дня наиболее актуальны вопросы развития человеческого капитала и кибербезопасности. Рост влияния информационно-коммуникационных технологий, научных исследований в наукоемких секторах промышленности и услуг, а также технологии Big Data сформировали новое направление науки - экономику знаний.</w:t>
      </w:r>
    </w:p>
    <w:bookmarkEnd w:id="365"/>
    <w:bookmarkStart w:name="z372" w:id="366"/>
    <w:p>
      <w:pPr>
        <w:spacing w:after="0"/>
        <w:ind w:left="0"/>
        <w:jc w:val="both"/>
      </w:pPr>
      <w:r>
        <w:rPr>
          <w:rFonts w:ascii="Times New Roman"/>
          <w:b w:val="false"/>
          <w:i w:val="false"/>
          <w:color w:val="000000"/>
          <w:sz w:val="28"/>
        </w:rPr>
        <w:t>
      Для Казахстана в условиях четвертой промышленной революции необходимо последовательно внедрять новые технологии с целью улучшения качества жизни населения и окружающей среды.</w:t>
      </w:r>
    </w:p>
    <w:bookmarkEnd w:id="366"/>
    <w:bookmarkStart w:name="z373" w:id="367"/>
    <w:p>
      <w:pPr>
        <w:spacing w:after="0"/>
        <w:ind w:left="0"/>
        <w:jc w:val="both"/>
      </w:pPr>
      <w:r>
        <w:rPr>
          <w:rFonts w:ascii="Times New Roman"/>
          <w:b w:val="false"/>
          <w:i w:val="false"/>
          <w:color w:val="000000"/>
          <w:sz w:val="28"/>
        </w:rPr>
        <w:t>
      "Умные города" и инфраструктура позволяют более точно оценивать нужды населения и соответственно способствовать ускорению роста экономики через сокращение издержек, снижение рисков и облегчение ежедневных перемещений и взаимодействий граждан.</w:t>
      </w:r>
    </w:p>
    <w:bookmarkEnd w:id="367"/>
    <w:bookmarkStart w:name="z374" w:id="368"/>
    <w:p>
      <w:pPr>
        <w:spacing w:after="0"/>
        <w:ind w:left="0"/>
        <w:jc w:val="both"/>
      </w:pPr>
      <w:r>
        <w:rPr>
          <w:rFonts w:ascii="Times New Roman"/>
          <w:b w:val="false"/>
          <w:i w:val="false"/>
          <w:color w:val="000000"/>
          <w:sz w:val="28"/>
        </w:rPr>
        <w:t>
      В долгосрочной перспективе применение новых материалов может радикально снизить спрос на продукцию черной и цветной металлургии.</w:t>
      </w:r>
    </w:p>
    <w:bookmarkEnd w:id="368"/>
    <w:bookmarkStart w:name="z375" w:id="369"/>
    <w:p>
      <w:pPr>
        <w:spacing w:after="0"/>
        <w:ind w:left="0"/>
        <w:jc w:val="both"/>
      </w:pPr>
      <w:r>
        <w:rPr>
          <w:rFonts w:ascii="Times New Roman"/>
          <w:b w:val="false"/>
          <w:i w:val="false"/>
          <w:color w:val="000000"/>
          <w:sz w:val="28"/>
        </w:rPr>
        <w:t>
      Негативным эффектом технологического прогресса может стать дисбаланс на рынке труда, который необходимо поддерживать за счет подготовки, переподготовки новых кадров.</w:t>
      </w:r>
    </w:p>
    <w:bookmarkEnd w:id="369"/>
    <w:bookmarkStart w:name="z376" w:id="370"/>
    <w:p>
      <w:pPr>
        <w:spacing w:after="0"/>
        <w:ind w:left="0"/>
        <w:jc w:val="both"/>
      </w:pPr>
      <w:r>
        <w:rPr>
          <w:rFonts w:ascii="Times New Roman"/>
          <w:b w:val="false"/>
          <w:i w:val="false"/>
          <w:color w:val="000000"/>
          <w:sz w:val="28"/>
        </w:rPr>
        <w:t xml:space="preserve">
      </w:t>
      </w:r>
      <w:r>
        <w:rPr>
          <w:rFonts w:ascii="Times New Roman"/>
          <w:b/>
          <w:i w:val="false"/>
          <w:color w:val="000000"/>
          <w:sz w:val="28"/>
        </w:rPr>
        <w:t>Демографические вызовы</w:t>
      </w:r>
    </w:p>
    <w:bookmarkEnd w:id="370"/>
    <w:bookmarkStart w:name="z377" w:id="371"/>
    <w:p>
      <w:pPr>
        <w:spacing w:after="0"/>
        <w:ind w:left="0"/>
        <w:jc w:val="both"/>
      </w:pPr>
      <w:r>
        <w:rPr>
          <w:rFonts w:ascii="Times New Roman"/>
          <w:b w:val="false"/>
          <w:i w:val="false"/>
          <w:color w:val="000000"/>
          <w:sz w:val="28"/>
        </w:rPr>
        <w:t>
      Урбанизация и миграция усиливаются в глобальном масштабе. Внедрение новых технологий и эффект масштаба приводят к росту объемов межрегиональной и трансграничной миграции. В частности, численность трансграничных мигрантов во всем мире выросла более чем в три раза до 250 млн. человек.</w:t>
      </w:r>
    </w:p>
    <w:bookmarkEnd w:id="371"/>
    <w:bookmarkStart w:name="z378" w:id="372"/>
    <w:p>
      <w:pPr>
        <w:spacing w:after="0"/>
        <w:ind w:left="0"/>
        <w:jc w:val="both"/>
      </w:pPr>
      <w:r>
        <w:rPr>
          <w:rFonts w:ascii="Times New Roman"/>
          <w:b w:val="false"/>
          <w:i w:val="false"/>
          <w:color w:val="000000"/>
          <w:sz w:val="28"/>
        </w:rPr>
        <w:t>
      При этом наибольший рост населения до 2030 года ожидается в крупных городах и агломерациях. Города обеспечивают более 70 % мирового ВВП и аналогичную долю в создании новых рабочих мест.</w:t>
      </w:r>
    </w:p>
    <w:bookmarkEnd w:id="372"/>
    <w:bookmarkStart w:name="z379" w:id="373"/>
    <w:p>
      <w:pPr>
        <w:spacing w:after="0"/>
        <w:ind w:left="0"/>
        <w:jc w:val="both"/>
      </w:pPr>
      <w:r>
        <w:rPr>
          <w:rFonts w:ascii="Times New Roman"/>
          <w:b w:val="false"/>
          <w:i w:val="false"/>
          <w:color w:val="000000"/>
          <w:sz w:val="28"/>
        </w:rPr>
        <w:t>
      В развитых странах отмечается тенденция к сокращению и старению населения, в то время как многие развивающиеся страны переживают всплеск рождаемости.</w:t>
      </w:r>
    </w:p>
    <w:bookmarkEnd w:id="373"/>
    <w:bookmarkStart w:name="z380" w:id="374"/>
    <w:p>
      <w:pPr>
        <w:spacing w:after="0"/>
        <w:ind w:left="0"/>
        <w:jc w:val="both"/>
      </w:pPr>
      <w:r>
        <w:rPr>
          <w:rFonts w:ascii="Times New Roman"/>
          <w:b w:val="false"/>
          <w:i w:val="false"/>
          <w:color w:val="000000"/>
          <w:sz w:val="28"/>
        </w:rPr>
        <w:t>
      Рост численности населения повлечет за собой увеличение спроса на продукты питания, водные ресурсы, энергоносители. Это является возможностью для Казахстана использовать свой потенциал для удовлетворения спроса мировой экономики.</w:t>
      </w:r>
    </w:p>
    <w:bookmarkEnd w:id="374"/>
    <w:bookmarkStart w:name="z381" w:id="375"/>
    <w:p>
      <w:pPr>
        <w:spacing w:after="0"/>
        <w:ind w:left="0"/>
        <w:jc w:val="both"/>
      </w:pPr>
      <w:r>
        <w:rPr>
          <w:rFonts w:ascii="Times New Roman"/>
          <w:b w:val="false"/>
          <w:i w:val="false"/>
          <w:color w:val="000000"/>
          <w:sz w:val="28"/>
        </w:rPr>
        <w:t>
      В Казахстане возрастет демографическая нагрузка на трудоспособное население, доля которого будет снижаться, главным образом, за счет увеличения населения пенсионного возраста. Это произойдет на фоне экономического развития, улучшения качества и увеличения продолжительности жизни.</w:t>
      </w:r>
    </w:p>
    <w:bookmarkEnd w:id="375"/>
    <w:bookmarkStart w:name="z382" w:id="376"/>
    <w:p>
      <w:pPr>
        <w:spacing w:after="0"/>
        <w:ind w:left="0"/>
        <w:jc w:val="both"/>
      </w:pPr>
      <w:r>
        <w:rPr>
          <w:rFonts w:ascii="Times New Roman"/>
          <w:b w:val="false"/>
          <w:i w:val="false"/>
          <w:color w:val="000000"/>
          <w:sz w:val="28"/>
        </w:rPr>
        <w:t>
      При этом в рамках концепции "серебряной экономики" новую возможность для роста получат производители товаров и услуг для пожилых людей. В мировом масштабе "серебряная экономика" создаст миллионы дополнительных рабочих мест и увеличит ВВП на 2-2,5 % (согласно расчетов компаний Accenture</w:t>
      </w:r>
      <w:r>
        <w:rPr>
          <w:rFonts w:ascii="Times New Roman"/>
          <w:b w:val="false"/>
          <w:i w:val="false"/>
          <w:color w:val="000000"/>
          <w:vertAlign w:val="superscript"/>
        </w:rPr>
        <w:t>17</w:t>
      </w:r>
      <w:r>
        <w:rPr>
          <w:rFonts w:ascii="Times New Roman"/>
          <w:b w:val="false"/>
          <w:i w:val="false"/>
          <w:color w:val="000000"/>
          <w:sz w:val="28"/>
        </w:rPr>
        <w:t xml:space="preserve"> и Oxford Economics</w:t>
      </w:r>
      <w:r>
        <w:rPr>
          <w:rFonts w:ascii="Times New Roman"/>
          <w:b w:val="false"/>
          <w:i w:val="false"/>
          <w:color w:val="000000"/>
          <w:vertAlign w:val="superscript"/>
        </w:rPr>
        <w:t>18</w:t>
      </w:r>
      <w:r>
        <w:rPr>
          <w:rFonts w:ascii="Times New Roman"/>
          <w:b w:val="false"/>
          <w:i w:val="false"/>
          <w:color w:val="000000"/>
          <w:sz w:val="28"/>
        </w:rPr>
        <w:t>).</w:t>
      </w:r>
    </w:p>
    <w:bookmarkEnd w:id="376"/>
    <w:bookmarkStart w:name="z383" w:id="377"/>
    <w:p>
      <w:pPr>
        <w:spacing w:after="0"/>
        <w:ind w:left="0"/>
        <w:jc w:val="both"/>
      </w:pPr>
      <w:r>
        <w:rPr>
          <w:rFonts w:ascii="Times New Roman"/>
          <w:b w:val="false"/>
          <w:i w:val="false"/>
          <w:color w:val="000000"/>
          <w:sz w:val="28"/>
        </w:rPr>
        <w:t>
      _______________________________________________________________</w:t>
      </w:r>
    </w:p>
    <w:bookmarkEnd w:id="377"/>
    <w:bookmarkStart w:name="z384" w:id="3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Accenture - глобальная компания, один из лидеров мирового рынка профессиональных услуг и цифровых технологий.</w:t>
      </w:r>
    </w:p>
    <w:bookmarkEnd w:id="378"/>
    <w:bookmarkStart w:name="z385" w:id="3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Oxford Economics - английская консалтинговая компания, лидер в области глобального прогнозирования и количественного анализа</w:t>
      </w:r>
    </w:p>
    <w:bookmarkEnd w:id="379"/>
    <w:bookmarkStart w:name="z386" w:id="380"/>
    <w:p>
      <w:pPr>
        <w:spacing w:after="0"/>
        <w:ind w:left="0"/>
        <w:jc w:val="left"/>
      </w:pPr>
      <w:r>
        <w:rPr>
          <w:rFonts w:ascii="Times New Roman"/>
          <w:b/>
          <w:i w:val="false"/>
          <w:color w:val="000000"/>
        </w:rPr>
        <w:t xml:space="preserve"> Раздел 2. Направления территориально-пространственного развития</w:t>
      </w:r>
    </w:p>
    <w:bookmarkEnd w:id="380"/>
    <w:bookmarkStart w:name="z387" w:id="381"/>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Цель и задачи, основные подходы территориально- пространственного развития Республики Казахстан</w:t>
      </w:r>
    </w:p>
    <w:bookmarkEnd w:id="381"/>
    <w:bookmarkStart w:name="z388" w:id="382"/>
    <w:p>
      <w:pPr>
        <w:spacing w:after="0"/>
        <w:ind w:left="0"/>
        <w:jc w:val="both"/>
      </w:pPr>
      <w:r>
        <w:rPr>
          <w:rFonts w:ascii="Times New Roman"/>
          <w:b w:val="false"/>
          <w:i w:val="false"/>
          <w:color w:val="000000"/>
          <w:sz w:val="28"/>
        </w:rPr>
        <w:t>
      Учитывая, что Прогнозная схема разрабатывается в целях реализации Стратегического плана 2025, были проанализированы все инициативы в рамках семи реформ.</w:t>
      </w:r>
    </w:p>
    <w:bookmarkEnd w:id="382"/>
    <w:bookmarkStart w:name="z389" w:id="383"/>
    <w:p>
      <w:pPr>
        <w:spacing w:after="0"/>
        <w:ind w:left="0"/>
        <w:jc w:val="both"/>
      </w:pPr>
      <w:r>
        <w:rPr>
          <w:rFonts w:ascii="Times New Roman"/>
          <w:b w:val="false"/>
          <w:i w:val="false"/>
          <w:color w:val="000000"/>
          <w:sz w:val="28"/>
        </w:rPr>
        <w:t>
      В ходе анализа были выявлены инициативы, имеющие территориально-пространственный, региональный аспект, которые нашли свое отражение в Прогнозной схеме.</w:t>
      </w:r>
    </w:p>
    <w:bookmarkEnd w:id="383"/>
    <w:bookmarkStart w:name="z390" w:id="384"/>
    <w:p>
      <w:pPr>
        <w:spacing w:after="0"/>
        <w:ind w:left="0"/>
        <w:jc w:val="both"/>
      </w:pPr>
      <w:r>
        <w:rPr>
          <w:rFonts w:ascii="Times New Roman"/>
          <w:b w:val="false"/>
          <w:i w:val="false"/>
          <w:color w:val="000000"/>
          <w:sz w:val="28"/>
        </w:rPr>
        <w:t>
      Цель Прогнозной схемы - создание условий для повышения благосостояния населения на основе реализации потенциала развития регионов страны.</w:t>
      </w:r>
    </w:p>
    <w:bookmarkEnd w:id="384"/>
    <w:bookmarkStart w:name="z391" w:id="385"/>
    <w:p>
      <w:pPr>
        <w:spacing w:after="0"/>
        <w:ind w:left="0"/>
        <w:jc w:val="both"/>
      </w:pPr>
      <w:r>
        <w:rPr>
          <w:rFonts w:ascii="Times New Roman"/>
          <w:b w:val="false"/>
          <w:i w:val="false"/>
          <w:color w:val="000000"/>
          <w:sz w:val="28"/>
        </w:rPr>
        <w:t>
      Разработка Прогнозной схемы базируется на следующих принципах:</w:t>
      </w:r>
    </w:p>
    <w:bookmarkEnd w:id="385"/>
    <w:bookmarkStart w:name="z392" w:id="386"/>
    <w:p>
      <w:pPr>
        <w:spacing w:after="0"/>
        <w:ind w:left="0"/>
        <w:jc w:val="both"/>
      </w:pPr>
      <w:r>
        <w:rPr>
          <w:rFonts w:ascii="Times New Roman"/>
          <w:b w:val="false"/>
          <w:i w:val="false"/>
          <w:color w:val="000000"/>
          <w:sz w:val="28"/>
        </w:rPr>
        <w:t>
      1) обеспечения территориальной целостности страны - независимо от форм приграничного сотрудничества и экономической интеграции;</w:t>
      </w:r>
    </w:p>
    <w:bookmarkEnd w:id="386"/>
    <w:bookmarkStart w:name="z393" w:id="387"/>
    <w:p>
      <w:pPr>
        <w:spacing w:after="0"/>
        <w:ind w:left="0"/>
        <w:jc w:val="both"/>
      </w:pPr>
      <w:r>
        <w:rPr>
          <w:rFonts w:ascii="Times New Roman"/>
          <w:b w:val="false"/>
          <w:i w:val="false"/>
          <w:color w:val="000000"/>
          <w:sz w:val="28"/>
        </w:rPr>
        <w:t>
      2) гармонизации экономического роста и защиты окружающей среды - базовые стандарты качества жизни должны быть обеспечены на всей территории страны, с учетом сохранения экосистемы и соблюдения экологических требований;</w:t>
      </w:r>
    </w:p>
    <w:bookmarkEnd w:id="387"/>
    <w:bookmarkStart w:name="z394" w:id="388"/>
    <w:p>
      <w:pPr>
        <w:spacing w:after="0"/>
        <w:ind w:left="0"/>
        <w:jc w:val="both"/>
      </w:pPr>
      <w:r>
        <w:rPr>
          <w:rFonts w:ascii="Times New Roman"/>
          <w:b w:val="false"/>
          <w:i w:val="false"/>
          <w:color w:val="000000"/>
          <w:sz w:val="28"/>
        </w:rPr>
        <w:t>
      3) рациональности структуры расселения населения с учетом модели "люди к инфраструктуре" - создание экономических условий в населенных пунктах, имеющих экономический потенциал и перспективы развития, в том числе за счет совершенствования административно-территориального устройства (укрупнение, объединение, переподчинение) в целях улучшения внутренних и внешних связей;</w:t>
      </w:r>
    </w:p>
    <w:bookmarkEnd w:id="388"/>
    <w:bookmarkStart w:name="z395" w:id="389"/>
    <w:p>
      <w:pPr>
        <w:spacing w:after="0"/>
        <w:ind w:left="0"/>
        <w:jc w:val="both"/>
      </w:pPr>
      <w:r>
        <w:rPr>
          <w:rFonts w:ascii="Times New Roman"/>
          <w:b w:val="false"/>
          <w:i w:val="false"/>
          <w:color w:val="000000"/>
          <w:sz w:val="28"/>
        </w:rPr>
        <w:t>
      4) самостоятельности регионов в выборе приоритетов развития, что означает активизацию потенциала регионов путем мобилизации факторов производства и приведения инициатив "снизу-вверх" с нисходящими приоритетами. Самостоятельность регионов будет заключаться в решении вопросов регионального и местного значения, том числе касательно поддержки бизнеса, привлечения инвестиций, содействия занятости, развития инфраструктуры и управления кадровыми ресурсами. На республиканском уровне будут сохранены стратегические вопросы, такие как обеспечение обороноспособности и национальной безопасности, законности и правопорядка, единой налоговой, бюджетной, транспортно-коммуникационной и энергетической, социальной политики и ряд других. При этом вопросы реализации крупных инвестиционных проектов будут в обязательном порядке согласовываться с Правительством РК.</w:t>
      </w:r>
    </w:p>
    <w:bookmarkEnd w:id="389"/>
    <w:bookmarkStart w:name="z396" w:id="390"/>
    <w:p>
      <w:pPr>
        <w:spacing w:after="0"/>
        <w:ind w:left="0"/>
        <w:jc w:val="both"/>
      </w:pPr>
      <w:r>
        <w:rPr>
          <w:rFonts w:ascii="Times New Roman"/>
          <w:b w:val="false"/>
          <w:i w:val="false"/>
          <w:color w:val="000000"/>
          <w:sz w:val="28"/>
        </w:rPr>
        <w:t>
      Для реализации данных принципов будут использованы следующие подходы к территориально-пространственному развитию:</w:t>
      </w:r>
    </w:p>
    <w:bookmarkEnd w:id="390"/>
    <w:bookmarkStart w:name="z397" w:id="391"/>
    <w:p>
      <w:pPr>
        <w:spacing w:after="0"/>
        <w:ind w:left="0"/>
        <w:jc w:val="both"/>
      </w:pPr>
      <w:r>
        <w:rPr>
          <w:rFonts w:ascii="Times New Roman"/>
          <w:b w:val="false"/>
          <w:i w:val="false"/>
          <w:color w:val="000000"/>
          <w:sz w:val="28"/>
        </w:rPr>
        <w:t>
      1) развитие "точек роста" с учетом управляемой урбанизации;</w:t>
      </w:r>
    </w:p>
    <w:bookmarkEnd w:id="391"/>
    <w:bookmarkStart w:name="z398" w:id="392"/>
    <w:p>
      <w:pPr>
        <w:spacing w:after="0"/>
        <w:ind w:left="0"/>
        <w:jc w:val="both"/>
      </w:pPr>
      <w:r>
        <w:rPr>
          <w:rFonts w:ascii="Times New Roman"/>
          <w:b w:val="false"/>
          <w:i w:val="false"/>
          <w:color w:val="000000"/>
          <w:sz w:val="28"/>
        </w:rPr>
        <w:t>
      2) обеспечение базового качества жизни на основе системы региональных стандартов.</w:t>
      </w:r>
    </w:p>
    <w:bookmarkEnd w:id="392"/>
    <w:bookmarkStart w:name="z399" w:id="393"/>
    <w:p>
      <w:pPr>
        <w:spacing w:after="0"/>
        <w:ind w:left="0"/>
        <w:jc w:val="both"/>
      </w:pPr>
      <w:r>
        <w:rPr>
          <w:rFonts w:ascii="Times New Roman"/>
          <w:b w:val="false"/>
          <w:i w:val="false"/>
          <w:color w:val="000000"/>
          <w:sz w:val="28"/>
        </w:rPr>
        <w:t xml:space="preserve">
      </w:t>
      </w:r>
      <w:r>
        <w:rPr>
          <w:rFonts w:ascii="Times New Roman"/>
          <w:b/>
          <w:i w:val="false"/>
          <w:color w:val="000000"/>
          <w:sz w:val="28"/>
        </w:rPr>
        <w:t>Подход 1. Развитие "точек роста" с учетом управляемой урбанизации</w:t>
      </w:r>
    </w:p>
    <w:bookmarkEnd w:id="393"/>
    <w:bookmarkStart w:name="z400" w:id="394"/>
    <w:p>
      <w:pPr>
        <w:spacing w:after="0"/>
        <w:ind w:left="0"/>
        <w:jc w:val="both"/>
      </w:pPr>
      <w:r>
        <w:rPr>
          <w:rFonts w:ascii="Times New Roman"/>
          <w:b w:val="false"/>
          <w:i w:val="false"/>
          <w:color w:val="000000"/>
          <w:sz w:val="28"/>
        </w:rPr>
        <w:t>
      Анализ мирового экономического развития показывает, что территориальные диспропорции в уровне доходов и производства неизбежны и являются следствием неравномерности экономического роста. Опыт успешного развития показывает, что оно происходит в условиях территориальной концентрации производства.</w:t>
      </w:r>
    </w:p>
    <w:bookmarkEnd w:id="394"/>
    <w:bookmarkStart w:name="z401" w:id="395"/>
    <w:p>
      <w:pPr>
        <w:spacing w:after="0"/>
        <w:ind w:left="0"/>
        <w:jc w:val="both"/>
      </w:pPr>
      <w:r>
        <w:rPr>
          <w:rFonts w:ascii="Times New Roman"/>
          <w:b w:val="false"/>
          <w:i w:val="false"/>
          <w:color w:val="000000"/>
          <w:sz w:val="28"/>
        </w:rPr>
        <w:t>
      Суть подхода заключается в том, что за счет мер, принимаемых по развитию "точек роста", произойдет "перелив" экономической активности, благосостояния на остальные территории за счет экономической интеграции.</w:t>
      </w:r>
    </w:p>
    <w:bookmarkEnd w:id="395"/>
    <w:bookmarkStart w:name="z402" w:id="396"/>
    <w:p>
      <w:pPr>
        <w:spacing w:after="0"/>
        <w:ind w:left="0"/>
        <w:jc w:val="both"/>
      </w:pPr>
      <w:r>
        <w:rPr>
          <w:rFonts w:ascii="Times New Roman"/>
          <w:b w:val="false"/>
          <w:i w:val="false"/>
          <w:color w:val="000000"/>
          <w:sz w:val="28"/>
        </w:rPr>
        <w:t>
      В "точках роста" должны быть созданы привлекательные условия для привлечения и проживания талантов.</w:t>
      </w:r>
    </w:p>
    <w:bookmarkEnd w:id="396"/>
    <w:bookmarkStart w:name="z403" w:id="397"/>
    <w:p>
      <w:pPr>
        <w:spacing w:after="0"/>
        <w:ind w:left="0"/>
        <w:jc w:val="both"/>
      </w:pPr>
      <w:r>
        <w:rPr>
          <w:rFonts w:ascii="Times New Roman"/>
          <w:b w:val="false"/>
          <w:i w:val="false"/>
          <w:color w:val="000000"/>
          <w:sz w:val="28"/>
        </w:rPr>
        <w:t>
      В условиях бюджетных ограничений необходима концентрация трудовых, финансовых и производственных ресурсов в "точках роста" - агломерациях, городах, опорных сельских населенных пунктах в рамках ФГР.</w:t>
      </w:r>
    </w:p>
    <w:bookmarkEnd w:id="397"/>
    <w:bookmarkStart w:name="z404" w:id="398"/>
    <w:p>
      <w:pPr>
        <w:spacing w:after="0"/>
        <w:ind w:left="0"/>
        <w:jc w:val="both"/>
      </w:pPr>
      <w:r>
        <w:rPr>
          <w:rFonts w:ascii="Times New Roman"/>
          <w:b w:val="false"/>
          <w:i w:val="false"/>
          <w:color w:val="000000"/>
          <w:sz w:val="28"/>
        </w:rPr>
        <w:t>
      Территориально-пространственное развитие Казахстана в предстоящее десятилетие должно быть направлено на повышение экономической и демографической плотности.</w:t>
      </w:r>
    </w:p>
    <w:bookmarkEnd w:id="398"/>
    <w:bookmarkStart w:name="z405" w:id="399"/>
    <w:p>
      <w:pPr>
        <w:spacing w:after="0"/>
        <w:ind w:left="0"/>
        <w:jc w:val="both"/>
      </w:pPr>
      <w:r>
        <w:rPr>
          <w:rFonts w:ascii="Times New Roman"/>
          <w:b w:val="false"/>
          <w:i w:val="false"/>
          <w:color w:val="000000"/>
          <w:sz w:val="28"/>
        </w:rPr>
        <w:t>
      Согласно методике Организации экономического сотрудничества и развития под "точками роста" подразумеваются конкретные населенные пункты в формате ФГР</w:t>
      </w:r>
      <w:r>
        <w:rPr>
          <w:rFonts w:ascii="Times New Roman"/>
          <w:b w:val="false"/>
          <w:i w:val="false"/>
          <w:color w:val="000000"/>
          <w:vertAlign w:val="superscript"/>
        </w:rPr>
        <w:t>19</w:t>
      </w:r>
      <w:r>
        <w:rPr>
          <w:rFonts w:ascii="Times New Roman"/>
          <w:b w:val="false"/>
          <w:i w:val="false"/>
          <w:color w:val="000000"/>
          <w:sz w:val="28"/>
        </w:rPr>
        <w:t>, которых в Казахстане определено 18 - в основном крупные, большие города и другие населенные пункты, входящие в зону ежедневной трудовой миграции (численность населения в 18 ФГР около 11,2 млн. человек).</w:t>
      </w:r>
    </w:p>
    <w:bookmarkEnd w:id="399"/>
    <w:bookmarkStart w:name="z406" w:id="400"/>
    <w:p>
      <w:pPr>
        <w:spacing w:after="0"/>
        <w:ind w:left="0"/>
        <w:jc w:val="both"/>
      </w:pPr>
      <w:r>
        <w:rPr>
          <w:rFonts w:ascii="Times New Roman"/>
          <w:b w:val="false"/>
          <w:i w:val="false"/>
          <w:color w:val="000000"/>
          <w:sz w:val="28"/>
        </w:rPr>
        <w:t>
      В отношении моно и малых городов будет проведена оценка потенциала социально-экономического развития. Моно и малые города, находящиеся под влиянием крупных агломераций, будут рассматриваться в рамках экономических систем этих агломераций.</w:t>
      </w:r>
    </w:p>
    <w:bookmarkEnd w:id="400"/>
    <w:bookmarkStart w:name="z407" w:id="401"/>
    <w:p>
      <w:pPr>
        <w:spacing w:after="0"/>
        <w:ind w:left="0"/>
        <w:jc w:val="both"/>
      </w:pPr>
      <w:r>
        <w:rPr>
          <w:rFonts w:ascii="Times New Roman"/>
          <w:b w:val="false"/>
          <w:i w:val="false"/>
          <w:color w:val="000000"/>
          <w:sz w:val="28"/>
        </w:rPr>
        <w:t>
      Имеется потенциал экономической интеграции между крупными и малыми городами, за счет локализации производств на периферии ФГР.</w:t>
      </w:r>
    </w:p>
    <w:bookmarkEnd w:id="401"/>
    <w:bookmarkStart w:name="z408" w:id="402"/>
    <w:p>
      <w:pPr>
        <w:spacing w:after="0"/>
        <w:ind w:left="0"/>
        <w:jc w:val="both"/>
      </w:pPr>
      <w:r>
        <w:rPr>
          <w:rFonts w:ascii="Times New Roman"/>
          <w:b w:val="false"/>
          <w:i w:val="false"/>
          <w:color w:val="000000"/>
          <w:sz w:val="28"/>
        </w:rPr>
        <w:t>
      Политика "управляемой урбанизации" будет заключаться в принятии превентивных мер (принцип "люди к инфраструктуре") в ответ на массовый приток сельского населения в города. В этой связи будут использованы такие инструменты как комплексное управление земельными ресурсами и транспортным планированием, инвестирование в социальную и инженерную инфраструктуру для удовлетворения потребностей населения и бизнеса, расширение "зеленых зон" с применением "зеленых" технологий. Увеличение уровня урбанизации в долгосрочной перспективе позволит как расширить вклад сектора услуг в экономику, так и создать новые виды услуг, обеспечивающие стабильный рост числа рабочих мест. Также развитие сектора услуг позволит трудоустроить работников, высвобождающихся из других секторов экономики, а также молодых специалистов, впервые входящих на рынок труда.</w:t>
      </w:r>
    </w:p>
    <w:bookmarkEnd w:id="402"/>
    <w:bookmarkStart w:name="z409" w:id="403"/>
    <w:p>
      <w:pPr>
        <w:spacing w:after="0"/>
        <w:ind w:left="0"/>
        <w:jc w:val="both"/>
      </w:pPr>
      <w:r>
        <w:rPr>
          <w:rFonts w:ascii="Times New Roman"/>
          <w:b w:val="false"/>
          <w:i w:val="false"/>
          <w:color w:val="000000"/>
          <w:sz w:val="28"/>
        </w:rPr>
        <w:t>
      __________________________________________________________________</w:t>
      </w:r>
    </w:p>
    <w:bookmarkEnd w:id="403"/>
    <w:bookmarkStart w:name="z410" w:id="4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Функциональный городской район - это аналог агломерационных образований на региональном уровне. При этом ФГР объединяет: а) город-ядро с населением не менее 100 тыс. чел. и плотностью не менее 1000 чел. на 1 кв. км (при этом не являющийся частью другого ФГР или моногородом); б) окружающие населенные пункты, не менее 15 % трудового населения которых участвует в ежедневной маятниковой миграции в город-ядро.</w:t>
      </w:r>
    </w:p>
    <w:bookmarkEnd w:id="404"/>
    <w:bookmarkStart w:name="z411" w:id="405"/>
    <w:p>
      <w:pPr>
        <w:spacing w:after="0"/>
        <w:ind w:left="0"/>
        <w:jc w:val="both"/>
      </w:pPr>
      <w:r>
        <w:rPr>
          <w:rFonts w:ascii="Times New Roman"/>
          <w:b w:val="false"/>
          <w:i w:val="false"/>
          <w:color w:val="000000"/>
          <w:sz w:val="28"/>
        </w:rPr>
        <w:t>
      Стратегия развития "точек роста" реализовывалась в развитых и успешно развивающихся странах, в том числе в странах ЕС, Южной Корее, КНР, Малайзии, Саудовской Аравии и др.</w:t>
      </w:r>
    </w:p>
    <w:bookmarkEnd w:id="405"/>
    <w:bookmarkStart w:name="z412" w:id="406"/>
    <w:p>
      <w:pPr>
        <w:spacing w:after="0"/>
        <w:ind w:left="0"/>
        <w:jc w:val="both"/>
      </w:pPr>
      <w:r>
        <w:rPr>
          <w:rFonts w:ascii="Times New Roman"/>
          <w:b w:val="false"/>
          <w:i w:val="false"/>
          <w:color w:val="000000"/>
          <w:sz w:val="28"/>
        </w:rPr>
        <w:t xml:space="preserve">
      </w:t>
      </w:r>
      <w:r>
        <w:rPr>
          <w:rFonts w:ascii="Times New Roman"/>
          <w:b/>
          <w:i w:val="false"/>
          <w:color w:val="000000"/>
          <w:sz w:val="28"/>
        </w:rPr>
        <w:t>Подход 2. Обеспечение базового качества жизни в регионах на основе системы региональных стандартов</w:t>
      </w:r>
    </w:p>
    <w:bookmarkEnd w:id="406"/>
    <w:bookmarkStart w:name="z413" w:id="407"/>
    <w:p>
      <w:pPr>
        <w:spacing w:after="0"/>
        <w:ind w:left="0"/>
        <w:jc w:val="both"/>
      </w:pPr>
      <w:r>
        <w:rPr>
          <w:rFonts w:ascii="Times New Roman"/>
          <w:b w:val="false"/>
          <w:i w:val="false"/>
          <w:color w:val="000000"/>
          <w:sz w:val="28"/>
        </w:rPr>
        <w:t>
      Территориально-пространственное планирование является важным инструментом обеспечения устойчивого развития и повышения качества жизни, включая образование и здравоохранение, общественную безопасность, доступ к качественной питьевой воде, электроэнергии, сети интернет, а также чистую окружающую среду независимо от экономических возможностей регионов.</w:t>
      </w:r>
    </w:p>
    <w:bookmarkEnd w:id="407"/>
    <w:bookmarkStart w:name="z414" w:id="408"/>
    <w:p>
      <w:pPr>
        <w:spacing w:after="0"/>
        <w:ind w:left="0"/>
        <w:jc w:val="both"/>
      </w:pPr>
      <w:r>
        <w:rPr>
          <w:rFonts w:ascii="Times New Roman"/>
          <w:b w:val="false"/>
          <w:i w:val="false"/>
          <w:color w:val="000000"/>
          <w:sz w:val="28"/>
        </w:rPr>
        <w:t>
      В рамках системы региональных стандартов предусматриваются конкретные требования и показатели доступности социальных благ и государственных услуг, обеспеченности транспортной, культурно-спортивной, деловой, производственной, цифровой инфраструктурой для населенных пунктов городской и сельской местности.</w:t>
      </w:r>
    </w:p>
    <w:bookmarkEnd w:id="408"/>
    <w:bookmarkStart w:name="z415" w:id="409"/>
    <w:p>
      <w:pPr>
        <w:spacing w:after="0"/>
        <w:ind w:left="0"/>
        <w:jc w:val="both"/>
      </w:pPr>
      <w:r>
        <w:rPr>
          <w:rFonts w:ascii="Times New Roman"/>
          <w:b w:val="false"/>
          <w:i w:val="false"/>
          <w:color w:val="000000"/>
          <w:sz w:val="28"/>
        </w:rPr>
        <w:t>
      Учитывая возрастающие потребности, для городской местности показатели региональных стандартов будут охватывать больше сфер, чем в сельской местности.</w:t>
      </w:r>
    </w:p>
    <w:bookmarkEnd w:id="409"/>
    <w:bookmarkStart w:name="z416" w:id="410"/>
    <w:p>
      <w:pPr>
        <w:spacing w:after="0"/>
        <w:ind w:left="0"/>
        <w:jc w:val="both"/>
      </w:pPr>
      <w:r>
        <w:rPr>
          <w:rFonts w:ascii="Times New Roman"/>
          <w:b w:val="false"/>
          <w:i w:val="false"/>
          <w:color w:val="000000"/>
          <w:sz w:val="28"/>
        </w:rPr>
        <w:t>
      Высокие стандарты качества жизни позволят конкурировать городам с другими экономическими центрами приграничных государств.</w:t>
      </w:r>
    </w:p>
    <w:bookmarkEnd w:id="410"/>
    <w:bookmarkStart w:name="z417" w:id="411"/>
    <w:p>
      <w:pPr>
        <w:spacing w:after="0"/>
        <w:ind w:left="0"/>
        <w:jc w:val="both"/>
      </w:pPr>
      <w:r>
        <w:rPr>
          <w:rFonts w:ascii="Times New Roman"/>
          <w:b w:val="false"/>
          <w:i w:val="false"/>
          <w:color w:val="000000"/>
          <w:sz w:val="28"/>
        </w:rPr>
        <w:t>
      Низкий потенциал социально-экономического развития малочисленных СНП предполагает нецелесообразность строительства дорогостоящей инфраструктуры.</w:t>
      </w:r>
    </w:p>
    <w:bookmarkEnd w:id="411"/>
    <w:bookmarkStart w:name="z418" w:id="412"/>
    <w:p>
      <w:pPr>
        <w:spacing w:after="0"/>
        <w:ind w:left="0"/>
        <w:jc w:val="both"/>
      </w:pPr>
      <w:r>
        <w:rPr>
          <w:rFonts w:ascii="Times New Roman"/>
          <w:b w:val="false"/>
          <w:i w:val="false"/>
          <w:color w:val="000000"/>
          <w:sz w:val="28"/>
        </w:rPr>
        <w:t>
      В этой связи необходимо стимулировать применение менее затратных, инновационных механизмов обеспечения населения базовыми услугами, что будет способствовать территориальному выравниванию базовых показателей уровня жизни. Например, максимальное использование потенциала подземных вод для обеспечения сельских населенных пунктов питьевым водоснабжением с использованием блок-модулей. Имеется большой потенциал применения ВИЭ для обеспечения энергоснабжением отдаленных, малочисленных сельских населенных пунктов, фермерских хозяйств (солнечные батареи, гибридные установки и др.).</w:t>
      </w:r>
    </w:p>
    <w:bookmarkEnd w:id="412"/>
    <w:bookmarkStart w:name="z419" w:id="413"/>
    <w:p>
      <w:pPr>
        <w:spacing w:after="0"/>
        <w:ind w:left="0"/>
        <w:jc w:val="both"/>
      </w:pPr>
      <w:r>
        <w:rPr>
          <w:rFonts w:ascii="Times New Roman"/>
          <w:b w:val="false"/>
          <w:i w:val="false"/>
          <w:color w:val="000000"/>
          <w:sz w:val="28"/>
        </w:rPr>
        <w:t>
      Дальнейшее развитие сельских территорий невозможно без эффективного развития местного самоуправления, повышения экономической самостоятельности местного самоуправления. С 2020 года планируется повсеместное внедрение самостоятельного бюджета на уровне города районного значения, села, поселка, сельского округа.</w:t>
      </w:r>
    </w:p>
    <w:bookmarkEnd w:id="413"/>
    <w:bookmarkStart w:name="z420" w:id="414"/>
    <w:p>
      <w:pPr>
        <w:spacing w:after="0"/>
        <w:ind w:left="0"/>
        <w:jc w:val="both"/>
      </w:pPr>
      <w:r>
        <w:rPr>
          <w:rFonts w:ascii="Times New Roman"/>
          <w:b w:val="false"/>
          <w:i w:val="false"/>
          <w:color w:val="000000"/>
          <w:sz w:val="28"/>
        </w:rPr>
        <w:t>
      Отсутствие экономической базы для внедрения самостоятельного бюджета у ряда сельских округов может стать препятствием для обеспечения базового качества жизни в регионах. Так, по результатам анализа,</w:t>
      </w:r>
      <w:r>
        <w:rPr>
          <w:rFonts w:ascii="Times New Roman"/>
          <w:b w:val="false"/>
          <w:i w:val="false"/>
          <w:color w:val="000000"/>
          <w:vertAlign w:val="superscript"/>
        </w:rPr>
        <w:t>20</w:t>
      </w:r>
      <w:r>
        <w:rPr>
          <w:rFonts w:ascii="Times New Roman"/>
          <w:b w:val="false"/>
          <w:i w:val="false"/>
          <w:color w:val="000000"/>
          <w:sz w:val="28"/>
        </w:rPr>
        <w:t xml:space="preserve"> не во всех сельских округах целесообразно внедрять самостоятельный бюджет, ввиду отсутствия экономических перспектив - малочисленность, миграционный отток, отсутствие хозяйствующих субъектов и налогооблагаемой базы. В связи с этим местным исполнительным органам необходимо переподчинить, укрупнить сельские округа с низким потенциалом социально-экономического развития с ближайшими сельскими округами по принципу "слабый к сильному".</w:t>
      </w:r>
    </w:p>
    <w:bookmarkEnd w:id="414"/>
    <w:bookmarkStart w:name="z421" w:id="415"/>
    <w:p>
      <w:pPr>
        <w:spacing w:after="0"/>
        <w:ind w:left="0"/>
        <w:jc w:val="both"/>
      </w:pPr>
      <w:r>
        <w:rPr>
          <w:rFonts w:ascii="Times New Roman"/>
          <w:b w:val="false"/>
          <w:i w:val="false"/>
          <w:color w:val="000000"/>
          <w:sz w:val="28"/>
        </w:rPr>
        <w:t>
      Обеспечению базового качества жизни населения также будет способствовать децентрализация полномочий, в части передачи ряда функций на местный уровень, в том числе предоставление права по созданию коммунальных организаций, способствующих осуществлению аппаратами акимов сельских округов своих функций по решению вопросов местного значения.</w:t>
      </w:r>
    </w:p>
    <w:bookmarkEnd w:id="415"/>
    <w:bookmarkStart w:name="z422" w:id="416"/>
    <w:p>
      <w:pPr>
        <w:spacing w:after="0"/>
        <w:ind w:left="0"/>
        <w:jc w:val="both"/>
      </w:pPr>
      <w:r>
        <w:rPr>
          <w:rFonts w:ascii="Times New Roman"/>
          <w:b w:val="false"/>
          <w:i w:val="false"/>
          <w:color w:val="000000"/>
          <w:sz w:val="28"/>
        </w:rPr>
        <w:t>
      В рамках фискальной децентрализации необходимо передать часть налогов, сборов и других обязательных платежей на местный уровень управления. Совершенствование системы межбюджетных отношений, распределение трансфертов, субвенций также будут стимулировать регионы для использования внутренних ресурсов расширения налогооблагаемой базы.</w:t>
      </w:r>
    </w:p>
    <w:bookmarkEnd w:id="416"/>
    <w:bookmarkStart w:name="z423" w:id="417"/>
    <w:p>
      <w:pPr>
        <w:spacing w:after="0"/>
        <w:ind w:left="0"/>
        <w:jc w:val="both"/>
      </w:pPr>
      <w:r>
        <w:rPr>
          <w:rFonts w:ascii="Times New Roman"/>
          <w:b w:val="false"/>
          <w:i w:val="false"/>
          <w:color w:val="000000"/>
          <w:sz w:val="28"/>
        </w:rPr>
        <w:t>
      Подход по обеспечению базового качества жизни в регионах применялся в таких странах, как Австралия, Бразилия, Канада и Индия.</w:t>
      </w:r>
    </w:p>
    <w:bookmarkEnd w:id="417"/>
    <w:bookmarkStart w:name="z424" w:id="418"/>
    <w:p>
      <w:pPr>
        <w:spacing w:after="0"/>
        <w:ind w:left="0"/>
        <w:jc w:val="both"/>
      </w:pPr>
      <w:r>
        <w:rPr>
          <w:rFonts w:ascii="Times New Roman"/>
          <w:b w:val="false"/>
          <w:i w:val="false"/>
          <w:color w:val="000000"/>
          <w:sz w:val="28"/>
        </w:rPr>
        <w:t>
      В целом новые подходы к территориально-пространственному развитию будут способствовать повышению качества жизни в городах и отдаленных районах.</w:t>
      </w:r>
    </w:p>
    <w:bookmarkEnd w:id="418"/>
    <w:bookmarkStart w:name="z425" w:id="419"/>
    <w:p>
      <w:pPr>
        <w:spacing w:after="0"/>
        <w:ind w:left="0"/>
        <w:jc w:val="both"/>
      </w:pPr>
      <w:r>
        <w:rPr>
          <w:rFonts w:ascii="Times New Roman"/>
          <w:b w:val="false"/>
          <w:i w:val="false"/>
          <w:color w:val="000000"/>
          <w:sz w:val="28"/>
        </w:rPr>
        <w:t>
      Применение данных подходов при решении нижеследующих задач является необходимым условием достижения цели Прогнозной схемы:</w:t>
      </w:r>
    </w:p>
    <w:bookmarkEnd w:id="419"/>
    <w:bookmarkStart w:name="z426" w:id="42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Развитие регионов и городов, сельских и приграничных территорий с учетом конкурентных преимуществ и перспектив</w:t>
      </w:r>
      <w:r>
        <w:rPr>
          <w:rFonts w:ascii="Times New Roman"/>
          <w:b/>
          <w:i w:val="false"/>
          <w:color w:val="000000"/>
          <w:sz w:val="28"/>
        </w:rPr>
        <w:t>.</w:t>
      </w:r>
    </w:p>
    <w:bookmarkEnd w:id="420"/>
    <w:bookmarkStart w:name="z427" w:id="421"/>
    <w:p>
      <w:pPr>
        <w:spacing w:after="0"/>
        <w:ind w:left="0"/>
        <w:jc w:val="both"/>
      </w:pPr>
      <w:r>
        <w:rPr>
          <w:rFonts w:ascii="Times New Roman"/>
          <w:b w:val="false"/>
          <w:i w:val="false"/>
          <w:color w:val="000000"/>
          <w:sz w:val="28"/>
        </w:rPr>
        <w:t>
      В рамках данной задачи необходимо содействовать повышению конкурентоспособности регионов, городов, сельских и приграничных территорий на основе их конкурентных преимуществ и потенциала.</w:t>
      </w:r>
    </w:p>
    <w:bookmarkEnd w:id="421"/>
    <w:bookmarkStart w:name="z428" w:id="422"/>
    <w:p>
      <w:pPr>
        <w:spacing w:after="0"/>
        <w:ind w:left="0"/>
        <w:jc w:val="both"/>
      </w:pPr>
      <w:r>
        <w:rPr>
          <w:rFonts w:ascii="Times New Roman"/>
          <w:b w:val="false"/>
          <w:i w:val="false"/>
          <w:color w:val="000000"/>
          <w:sz w:val="28"/>
        </w:rPr>
        <w:t>
      Обеспечение экономической самостоятельности регионов будет достигаться за счет дальнейшего делегирования полномочий между уровнями государственного управления. Это позволит расширить полномочия регионов по самостоятельному определению необходимых мер политики для достижения стратегических целей, поставленных перед ними, в частности, в вопросах поддержки бизнеса, привлечения инвестиций, содействия занятости, развития инфраструктуры.</w:t>
      </w:r>
    </w:p>
    <w:bookmarkEnd w:id="422"/>
    <w:bookmarkStart w:name="z429" w:id="423"/>
    <w:p>
      <w:pPr>
        <w:spacing w:after="0"/>
        <w:ind w:left="0"/>
        <w:jc w:val="both"/>
      </w:pPr>
      <w:r>
        <w:rPr>
          <w:rFonts w:ascii="Times New Roman"/>
          <w:b w:val="false"/>
          <w:i w:val="false"/>
          <w:color w:val="000000"/>
          <w:sz w:val="28"/>
        </w:rPr>
        <w:t>
      Для снижения зависимости регионов от целевых трансфертов и субсидий необходима выработка мер по стимулированию регионов к принятию активных действий по развитию экономики регионов с учетом их конкурентных преимуществ и потенциала.</w:t>
      </w:r>
    </w:p>
    <w:bookmarkEnd w:id="423"/>
    <w:bookmarkStart w:name="z430" w:id="424"/>
    <w:p>
      <w:pPr>
        <w:spacing w:after="0"/>
        <w:ind w:left="0"/>
        <w:jc w:val="both"/>
      </w:pPr>
      <w:r>
        <w:rPr>
          <w:rFonts w:ascii="Times New Roman"/>
          <w:b w:val="false"/>
          <w:i w:val="false"/>
          <w:color w:val="000000"/>
          <w:sz w:val="28"/>
        </w:rPr>
        <w:t>
      _________________________________________________________________</w:t>
      </w:r>
    </w:p>
    <w:bookmarkEnd w:id="424"/>
    <w:bookmarkStart w:name="z431" w:id="4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Из результатов исследования 2017 года "Экспертно-аналитическое сопровождение совершенствования региональной политики, в том числе вопросы местного управления" проведенного АО "Институт экономических исследований".</w:t>
      </w:r>
    </w:p>
    <w:bookmarkEnd w:id="425"/>
    <w:bookmarkStart w:name="z432" w:id="426"/>
    <w:p>
      <w:pPr>
        <w:spacing w:after="0"/>
        <w:ind w:left="0"/>
        <w:jc w:val="both"/>
      </w:pPr>
      <w:r>
        <w:rPr>
          <w:rFonts w:ascii="Times New Roman"/>
          <w:b w:val="false"/>
          <w:i w:val="false"/>
          <w:color w:val="000000"/>
          <w:sz w:val="28"/>
        </w:rPr>
        <w:t>
      В целях формирования единого экономического рынка необходимо принять меры по развитию межрегиональной конкуренции и кооперации. Эти меры будут включать применение системы рейтинга регионов по легкости ведения бизнеса, внедрение процесса обоснования инвестиций из республиканского бюджета, создание стимулов для развития сотрудничества между регионами.</w:t>
      </w:r>
    </w:p>
    <w:bookmarkEnd w:id="426"/>
    <w:bookmarkStart w:name="z433" w:id="42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Содействие расселению населения с учетом управляемой урбанизации.</w:t>
      </w:r>
    </w:p>
    <w:bookmarkEnd w:id="427"/>
    <w:bookmarkStart w:name="z434" w:id="428"/>
    <w:p>
      <w:pPr>
        <w:spacing w:after="0"/>
        <w:ind w:left="0"/>
        <w:jc w:val="both"/>
      </w:pPr>
      <w:r>
        <w:rPr>
          <w:rFonts w:ascii="Times New Roman"/>
          <w:b w:val="false"/>
          <w:i w:val="false"/>
          <w:color w:val="000000"/>
          <w:sz w:val="28"/>
        </w:rPr>
        <w:t>
      Мобильность населения и предприятий влияет на структуру землепользования и пространственные взаимосвязи.</w:t>
      </w:r>
    </w:p>
    <w:bookmarkEnd w:id="428"/>
    <w:bookmarkStart w:name="z435" w:id="429"/>
    <w:p>
      <w:pPr>
        <w:spacing w:after="0"/>
        <w:ind w:left="0"/>
        <w:jc w:val="both"/>
      </w:pPr>
      <w:r>
        <w:rPr>
          <w:rFonts w:ascii="Times New Roman"/>
          <w:b w:val="false"/>
          <w:i w:val="false"/>
          <w:color w:val="000000"/>
          <w:sz w:val="28"/>
        </w:rPr>
        <w:t>
      Основные потребности человека, которые влияют на структуру расселения, связаны с наличием мест для проживания, работы, образования, услуг и мест отдыха.</w:t>
      </w:r>
    </w:p>
    <w:bookmarkEnd w:id="429"/>
    <w:bookmarkStart w:name="z436" w:id="430"/>
    <w:p>
      <w:pPr>
        <w:spacing w:after="0"/>
        <w:ind w:left="0"/>
        <w:jc w:val="both"/>
      </w:pPr>
      <w:r>
        <w:rPr>
          <w:rFonts w:ascii="Times New Roman"/>
          <w:b w:val="false"/>
          <w:i w:val="false"/>
          <w:color w:val="000000"/>
          <w:sz w:val="28"/>
        </w:rPr>
        <w:t>
      Любая территория распадается на пространства повседневной деятельности, где население постоянно перемещается по маршруту: "место жительства - место работы - ежедневные услуги". Например, ежедневно в город Алматы въезжает 250 тыс. автомобилей, в город Нур-Султан около 100 тыс. автомобилей.</w:t>
      </w:r>
    </w:p>
    <w:bookmarkEnd w:id="430"/>
    <w:bookmarkStart w:name="z437" w:id="431"/>
    <w:p>
      <w:pPr>
        <w:spacing w:after="0"/>
        <w:ind w:left="0"/>
        <w:jc w:val="both"/>
      </w:pPr>
      <w:r>
        <w:rPr>
          <w:rFonts w:ascii="Times New Roman"/>
          <w:b w:val="false"/>
          <w:i w:val="false"/>
          <w:color w:val="000000"/>
          <w:sz w:val="28"/>
        </w:rPr>
        <w:t>
      Дальнейшее расселение населения в городской и сельской местности будет определяться в большей степени не природными, а экономическими и экологическими факторами.</w:t>
      </w:r>
    </w:p>
    <w:bookmarkEnd w:id="431"/>
    <w:bookmarkStart w:name="z438" w:id="432"/>
    <w:p>
      <w:pPr>
        <w:spacing w:after="0"/>
        <w:ind w:left="0"/>
        <w:jc w:val="both"/>
      </w:pPr>
      <w:r>
        <w:rPr>
          <w:rFonts w:ascii="Times New Roman"/>
          <w:b w:val="false"/>
          <w:i w:val="false"/>
          <w:color w:val="000000"/>
          <w:sz w:val="28"/>
        </w:rPr>
        <w:t>
      В приграничных населенных пунктах необходимо в приоритетном порядке внедрять блага и услуги системы региональных стандартов.</w:t>
      </w:r>
    </w:p>
    <w:bookmarkEnd w:id="432"/>
    <w:bookmarkStart w:name="z439" w:id="433"/>
    <w:p>
      <w:pPr>
        <w:spacing w:after="0"/>
        <w:ind w:left="0"/>
        <w:jc w:val="both"/>
      </w:pPr>
      <w:r>
        <w:rPr>
          <w:rFonts w:ascii="Times New Roman"/>
          <w:b w:val="false"/>
          <w:i w:val="false"/>
          <w:color w:val="000000"/>
          <w:sz w:val="28"/>
        </w:rPr>
        <w:t>
      При разработке месторождений природных ресурсов должен широко применяться вахтовый метод, без образования новых населенных пунктов.</w:t>
      </w:r>
    </w:p>
    <w:bookmarkEnd w:id="433"/>
    <w:bookmarkStart w:name="z440" w:id="434"/>
    <w:p>
      <w:pPr>
        <w:spacing w:after="0"/>
        <w:ind w:left="0"/>
        <w:jc w:val="both"/>
      </w:pPr>
      <w:r>
        <w:rPr>
          <w:rFonts w:ascii="Times New Roman"/>
          <w:b w:val="false"/>
          <w:i w:val="false"/>
          <w:color w:val="000000"/>
          <w:sz w:val="28"/>
        </w:rPr>
        <w:t>
      Для сохранения постоянного расселения все СНП должны иметь сеть дорог в удовлетворительном состоянии, пригодных для круглогодичного движения.</w:t>
      </w:r>
    </w:p>
    <w:bookmarkEnd w:id="434"/>
    <w:bookmarkStart w:name="z441" w:id="435"/>
    <w:p>
      <w:pPr>
        <w:spacing w:after="0"/>
        <w:ind w:left="0"/>
        <w:jc w:val="both"/>
      </w:pPr>
      <w:r>
        <w:rPr>
          <w:rFonts w:ascii="Times New Roman"/>
          <w:b w:val="false"/>
          <w:i w:val="false"/>
          <w:color w:val="000000"/>
          <w:sz w:val="28"/>
        </w:rPr>
        <w:t>
      Население должно иметь возможность подключения по доступной цене к электроэнергии, водо и газоснабжению, интернету. Человек должен иметь возможность получать основные услуги в "шаговой доступности" или иметь доступ к их получению в ближайшем административном центре на общественном транспорте каждый день.</w:t>
      </w:r>
    </w:p>
    <w:bookmarkEnd w:id="435"/>
    <w:bookmarkStart w:name="z442" w:id="43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 Инфраструктурная обеспеченность территорий.</w:t>
      </w:r>
    </w:p>
    <w:bookmarkEnd w:id="436"/>
    <w:bookmarkStart w:name="z443" w:id="437"/>
    <w:p>
      <w:pPr>
        <w:spacing w:after="0"/>
        <w:ind w:left="0"/>
        <w:jc w:val="both"/>
      </w:pPr>
      <w:r>
        <w:rPr>
          <w:rFonts w:ascii="Times New Roman"/>
          <w:b w:val="false"/>
          <w:i w:val="false"/>
          <w:color w:val="000000"/>
          <w:sz w:val="28"/>
        </w:rPr>
        <w:t>
      В достижении целей территориально-пространственного развития страны, особая роль отводится территориально-связующей и базовой инфраструктуре, в том числе транспортной, социальной, коммуникационной, энергетической и другой.</w:t>
      </w:r>
    </w:p>
    <w:bookmarkEnd w:id="437"/>
    <w:bookmarkStart w:name="z444" w:id="438"/>
    <w:p>
      <w:pPr>
        <w:spacing w:after="0"/>
        <w:ind w:left="0"/>
        <w:jc w:val="both"/>
      </w:pPr>
      <w:r>
        <w:rPr>
          <w:rFonts w:ascii="Times New Roman"/>
          <w:b w:val="false"/>
          <w:i w:val="false"/>
          <w:color w:val="000000"/>
          <w:sz w:val="28"/>
        </w:rPr>
        <w:t>
      Перспективное расселение население должно осуществляться с учетом развития транспортно-коммуникационной инфраструктуры, которая будет формировать пространственный каркас структуры расселения и стимулировать реализацию принципа "люди к инфраструктуре".</w:t>
      </w:r>
    </w:p>
    <w:bookmarkEnd w:id="438"/>
    <w:bookmarkStart w:name="z445" w:id="439"/>
    <w:p>
      <w:pPr>
        <w:spacing w:after="0"/>
        <w:ind w:left="0"/>
        <w:jc w:val="both"/>
      </w:pPr>
      <w:r>
        <w:rPr>
          <w:rFonts w:ascii="Times New Roman"/>
          <w:b w:val="false"/>
          <w:i w:val="false"/>
          <w:color w:val="000000"/>
          <w:sz w:val="28"/>
        </w:rPr>
        <w:t>
      В реализацию инициативы "Повышение качества автомобильных дорог и развитие придорожных услуг" Стратегического плана-2025, значительные объемы финансирования будут направлены на содержание, ремонт и реконструкцию местных дорог, что повысит мобильность людей и товаров. Схема расположения перспективных объектов сервиса вдоль автомобильных дорог международного и республиканского значения позволит повысить занятость в регионах.</w:t>
      </w:r>
    </w:p>
    <w:bookmarkEnd w:id="439"/>
    <w:bookmarkStart w:name="z446" w:id="440"/>
    <w:p>
      <w:pPr>
        <w:spacing w:after="0"/>
        <w:ind w:left="0"/>
        <w:jc w:val="both"/>
      </w:pPr>
      <w:r>
        <w:rPr>
          <w:rFonts w:ascii="Times New Roman"/>
          <w:b w:val="false"/>
          <w:i w:val="false"/>
          <w:color w:val="000000"/>
          <w:sz w:val="28"/>
        </w:rPr>
        <w:t>
      Также в рамках реализации инициативы "Продолжение развития транспортной инфраструктуры по лучевому принципу" Стратегического плана- 2025 будет создаваться интегрированная инфраструктура пригородного транспорта для обеспечения связи между городами и пригородами. Областные центры будут соединены с городами-хабами Нур-Султаном, Алматы, Актобе и Шымкентом, средние и малые города в рамках областей будут соединены с областными центрами по "лучевому" принципу.</w:t>
      </w:r>
    </w:p>
    <w:bookmarkEnd w:id="440"/>
    <w:bookmarkStart w:name="z447" w:id="441"/>
    <w:p>
      <w:pPr>
        <w:spacing w:after="0"/>
        <w:ind w:left="0"/>
        <w:jc w:val="both"/>
      </w:pPr>
      <w:r>
        <w:rPr>
          <w:rFonts w:ascii="Times New Roman"/>
          <w:b w:val="false"/>
          <w:i w:val="false"/>
          <w:color w:val="000000"/>
          <w:sz w:val="28"/>
        </w:rPr>
        <w:t>
      Эффективному территориально-пространственному развитию будет способствовать развитие сети местных дорог. В предстоящее десятилетие предстоит полностью устранить инфраструктурные разрывы внутри регионов. СНП будут связаны дорогами с твердым покрытием с центрами сельских округов и районными центрами, в то время как районные центры, моно и малые города внутри областей будут соединены с областными центрами.</w:t>
      </w:r>
    </w:p>
    <w:bookmarkEnd w:id="441"/>
    <w:bookmarkStart w:name="z448" w:id="442"/>
    <w:p>
      <w:pPr>
        <w:spacing w:after="0"/>
        <w:ind w:left="0"/>
        <w:jc w:val="both"/>
      </w:pPr>
      <w:r>
        <w:rPr>
          <w:rFonts w:ascii="Times New Roman"/>
          <w:b w:val="false"/>
          <w:i w:val="false"/>
          <w:color w:val="000000"/>
          <w:sz w:val="28"/>
        </w:rPr>
        <w:t>
      Все виды транспорта должны эффективно взаимодействовать и дополнять друг друга в целях обеспечения потребностей населения, бизнеса и транзитного потенциала.</w:t>
      </w:r>
    </w:p>
    <w:bookmarkEnd w:id="442"/>
    <w:bookmarkStart w:name="z449" w:id="443"/>
    <w:p>
      <w:pPr>
        <w:spacing w:after="0"/>
        <w:ind w:left="0"/>
        <w:jc w:val="both"/>
      </w:pPr>
      <w:r>
        <w:rPr>
          <w:rFonts w:ascii="Times New Roman"/>
          <w:b w:val="false"/>
          <w:i w:val="false"/>
          <w:color w:val="000000"/>
          <w:sz w:val="28"/>
        </w:rPr>
        <w:t>
      Согласно системе региональных стандартов</w:t>
      </w:r>
      <w:r>
        <w:rPr>
          <w:rFonts w:ascii="Times New Roman"/>
          <w:b w:val="false"/>
          <w:i w:val="false"/>
          <w:color w:val="000000"/>
          <w:vertAlign w:val="superscript"/>
        </w:rPr>
        <w:t>21</w:t>
      </w:r>
      <w:r>
        <w:rPr>
          <w:rFonts w:ascii="Times New Roman"/>
          <w:b w:val="false"/>
          <w:i w:val="false"/>
          <w:color w:val="000000"/>
          <w:sz w:val="28"/>
        </w:rPr>
        <w:t xml:space="preserve"> автодороги должны быть в удовлетворительном состоянии с надлежащим обслуживанием и доступны для передвижения населения, независимо от времени года.</w:t>
      </w:r>
    </w:p>
    <w:bookmarkEnd w:id="443"/>
    <w:bookmarkStart w:name="z450" w:id="444"/>
    <w:p>
      <w:pPr>
        <w:spacing w:after="0"/>
        <w:ind w:left="0"/>
        <w:jc w:val="both"/>
      </w:pPr>
      <w:r>
        <w:rPr>
          <w:rFonts w:ascii="Times New Roman"/>
          <w:b w:val="false"/>
          <w:i w:val="false"/>
          <w:color w:val="000000"/>
          <w:sz w:val="28"/>
        </w:rPr>
        <w:t>
      В крупных городах совершенствование организации общественного транспорта должно дополнять и частично вытеснять растущее автомобильное движение.</w:t>
      </w:r>
    </w:p>
    <w:bookmarkEnd w:id="444"/>
    <w:bookmarkStart w:name="z451" w:id="445"/>
    <w:p>
      <w:pPr>
        <w:spacing w:after="0"/>
        <w:ind w:left="0"/>
        <w:jc w:val="both"/>
      </w:pPr>
      <w:r>
        <w:rPr>
          <w:rFonts w:ascii="Times New Roman"/>
          <w:b w:val="false"/>
          <w:i w:val="false"/>
          <w:color w:val="000000"/>
          <w:sz w:val="28"/>
        </w:rPr>
        <w:t>
      Опорные СНП также должны быть приоритетами для инвестирования в необходимую инфраструктуру, что послужит дополнительным импульсом к улучшению качества жизни в сельской местности.</w:t>
      </w:r>
    </w:p>
    <w:bookmarkEnd w:id="445"/>
    <w:bookmarkStart w:name="z452" w:id="446"/>
    <w:p>
      <w:pPr>
        <w:spacing w:after="0"/>
        <w:ind w:left="0"/>
        <w:jc w:val="both"/>
      </w:pPr>
      <w:r>
        <w:rPr>
          <w:rFonts w:ascii="Times New Roman"/>
          <w:b w:val="false"/>
          <w:i w:val="false"/>
          <w:color w:val="000000"/>
          <w:sz w:val="28"/>
        </w:rPr>
        <w:t>
      Планы развития социальной инфраструктуры в предстоящее десятилетие должны быть увязаны с демографическим прогнозом, потребностью населения в услугах, развитием частного сектора, ГЧП и перспективами развития населенных пунктов.</w:t>
      </w:r>
    </w:p>
    <w:bookmarkEnd w:id="446"/>
    <w:bookmarkStart w:name="z453" w:id="447"/>
    <w:p>
      <w:pPr>
        <w:spacing w:after="0"/>
        <w:ind w:left="0"/>
        <w:jc w:val="both"/>
      </w:pPr>
      <w:r>
        <w:rPr>
          <w:rFonts w:ascii="Times New Roman"/>
          <w:b w:val="false"/>
          <w:i w:val="false"/>
          <w:color w:val="000000"/>
          <w:sz w:val="28"/>
        </w:rPr>
        <w:t>
      В рамках инициативы "Развитие "зеленых" Стратегического плана -2025 технологий" в регионах будут реализовываться различные инфраструктурные проекты, снижающие энергоемкость, использующие ВИЭ, как в городской, так и в сельской местности. В регионах, испытывающих проблемы с энергообеспечением, уполномоченным государственным органом будут приняты меры по отбору для финансирования "зеленые проекты", в том числе посредством выпуска "зеленых" облигаций Международным финансовым центром Астана.</w:t>
      </w:r>
    </w:p>
    <w:bookmarkEnd w:id="447"/>
    <w:bookmarkStart w:name="z454" w:id="448"/>
    <w:p>
      <w:pPr>
        <w:spacing w:after="0"/>
        <w:ind w:left="0"/>
        <w:jc w:val="both"/>
      </w:pPr>
      <w:r>
        <w:rPr>
          <w:rFonts w:ascii="Times New Roman"/>
          <w:b w:val="false"/>
          <w:i w:val="false"/>
          <w:color w:val="000000"/>
          <w:sz w:val="28"/>
        </w:rPr>
        <w:t>
      _________________________________________________________________</w:t>
      </w:r>
    </w:p>
    <w:bookmarkEnd w:id="448"/>
    <w:bookmarkStart w:name="z455" w:id="4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Региональный стандарт - это перечень благ и услуг социального, инфраструктурного и экологического характера и требования к ним, призванный повысить их доступность, как в городской, так и в сельской местности, в контексте повышения качества жизни в целом.</w:t>
      </w:r>
    </w:p>
    <w:bookmarkEnd w:id="449"/>
    <w:bookmarkStart w:name="z456" w:id="450"/>
    <w:p>
      <w:pPr>
        <w:spacing w:after="0"/>
        <w:ind w:left="0"/>
        <w:jc w:val="both"/>
      </w:pPr>
      <w:r>
        <w:rPr>
          <w:rFonts w:ascii="Times New Roman"/>
          <w:b w:val="false"/>
          <w:i w:val="false"/>
          <w:color w:val="000000"/>
          <w:sz w:val="28"/>
        </w:rPr>
        <w:t>
      В целях снижения цифрового неравенства сельской местности, в рамках инициативы "Развитие информационно-коммуникационной инфраструктуры" Стратегического плана-2025 будет обеспечен высокоскоростной доступ к интернету дополнительно для около 1 300 СНП к 2030 году. В целях рациональности расходования бюджетных средств, при отборе опорных СНП необходимо учесть их экономический потенциал и прогноз по численности и миграции населения.</w:t>
      </w:r>
    </w:p>
    <w:bookmarkEnd w:id="450"/>
    <w:bookmarkStart w:name="z457" w:id="451"/>
    <w:p>
      <w:pPr>
        <w:spacing w:after="0"/>
        <w:ind w:left="0"/>
        <w:jc w:val="both"/>
      </w:pPr>
      <w:r>
        <w:rPr>
          <w:rFonts w:ascii="Times New Roman"/>
          <w:b w:val="false"/>
          <w:i w:val="false"/>
          <w:color w:val="000000"/>
          <w:sz w:val="28"/>
        </w:rPr>
        <w:t>
      Это также позволит провести интеграцию всех баз данных государственных органов на республиканском и местном уровнях, "оцифровать" земельные, водные и др. ресурсы с использованием возможностей геоинформационных систем. Мониторинг качественных изменений природных ресурсов должен осуществляться на постоянной основе. В результате чего повысится доступность различных электронных государственных услуг и сервисов по всей стране, что позволит сократить излишние передвижения и расходы населения, бизнеса.</w:t>
      </w:r>
    </w:p>
    <w:bookmarkEnd w:id="451"/>
    <w:bookmarkStart w:name="z458" w:id="452"/>
    <w:p>
      <w:pPr>
        <w:spacing w:after="0"/>
        <w:ind w:left="0"/>
        <w:jc w:val="both"/>
      </w:pPr>
      <w:r>
        <w:rPr>
          <w:rFonts w:ascii="Times New Roman"/>
          <w:b w:val="false"/>
          <w:i w:val="false"/>
          <w:color w:val="000000"/>
          <w:sz w:val="28"/>
        </w:rPr>
        <w:t>
      Достижение данной задачи подразумевает приверженность системному подходу к развитию инфраструктуры, который требует согласованности действий центральных государственных и местных исполнительных органов по обеспечению населения региональными стандартами во всех населенных пунктах.</w:t>
      </w:r>
    </w:p>
    <w:bookmarkEnd w:id="452"/>
    <w:bookmarkStart w:name="z459" w:id="45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4. Обеспечение базовыми стандартами качества жизни населения, независимо от экономических возможностей регионов и места проживания.</w:t>
      </w:r>
    </w:p>
    <w:bookmarkEnd w:id="453"/>
    <w:bookmarkStart w:name="z460" w:id="454"/>
    <w:p>
      <w:pPr>
        <w:spacing w:after="0"/>
        <w:ind w:left="0"/>
        <w:jc w:val="both"/>
      </w:pPr>
      <w:r>
        <w:rPr>
          <w:rFonts w:ascii="Times New Roman"/>
          <w:b w:val="false"/>
          <w:i w:val="false"/>
          <w:color w:val="000000"/>
          <w:sz w:val="28"/>
        </w:rPr>
        <w:t>
      В рамках данной задачи предполагается реализация требований системы региональных стандартов для различных населенных пунктов - от опорных сел до городов республиканского значения.</w:t>
      </w:r>
    </w:p>
    <w:bookmarkEnd w:id="454"/>
    <w:bookmarkStart w:name="z461" w:id="455"/>
    <w:p>
      <w:pPr>
        <w:spacing w:after="0"/>
        <w:ind w:left="0"/>
        <w:jc w:val="both"/>
      </w:pPr>
      <w:r>
        <w:rPr>
          <w:rFonts w:ascii="Times New Roman"/>
          <w:b w:val="false"/>
          <w:i w:val="false"/>
          <w:color w:val="000000"/>
          <w:sz w:val="28"/>
        </w:rPr>
        <w:t>
      Для каждого уровня административно-территориальной единицы разработаны свои стандарты. Для четырех агломераций региональные стандарты соответствуют международному уровню. Для них предусмотрены максимальный пакет социальных стандартов и самые передовые достижения в инженерной и транспортной инфраструктуре (геоинформационные технологии, инфраструктура пространственной информации, "Smart City" и другие). Это позволит агломерациям конкурировать на международной арене за инвестиции, ресурсы, таланты и другое, а также перерасти в города мирового уровня. В центрах ФГР будут обеспечены самые высокие в республике стандарты, не ниже уровня крупных городов соседних стран.</w:t>
      </w:r>
    </w:p>
    <w:bookmarkEnd w:id="455"/>
    <w:bookmarkStart w:name="z462" w:id="456"/>
    <w:p>
      <w:pPr>
        <w:spacing w:after="0"/>
        <w:ind w:left="0"/>
        <w:jc w:val="both"/>
      </w:pPr>
      <w:r>
        <w:rPr>
          <w:rFonts w:ascii="Times New Roman"/>
          <w:b w:val="false"/>
          <w:i w:val="false"/>
          <w:color w:val="000000"/>
          <w:sz w:val="28"/>
        </w:rPr>
        <w:t>
      В рамках инициативы "Реализация концепции "Smart City" Стратегического плана-2025 во всех областных центрах и городах республиканского значения будет реализована концепция "Smart City" на основе опыта городов Нур-Султана и Акколя, предусматривающего применение высокотехнологичных решений для рационального использования и управления ресурсами.</w:t>
      </w:r>
    </w:p>
    <w:bookmarkEnd w:id="456"/>
    <w:bookmarkStart w:name="z463" w:id="457"/>
    <w:p>
      <w:pPr>
        <w:spacing w:after="0"/>
        <w:ind w:left="0"/>
        <w:jc w:val="both"/>
      </w:pPr>
      <w:r>
        <w:rPr>
          <w:rFonts w:ascii="Times New Roman"/>
          <w:b w:val="false"/>
          <w:i w:val="false"/>
          <w:color w:val="000000"/>
          <w:sz w:val="28"/>
        </w:rPr>
        <w:t>
      В рамках реализации инициативы "Обеспечение доступа к питьевой воде" Стратегического плана - 2025 будет увеличено бюджетное финансирование строительства новых объектов водоснабжения и водоотведения и реконструкция уже действующих объектов. Для крупных и больших городов должны быть выработаны новые механизмы финансирования строительства, реконструкции и модернизации инженерной инфраструктуры.</w:t>
      </w:r>
    </w:p>
    <w:bookmarkEnd w:id="457"/>
    <w:bookmarkStart w:name="z464" w:id="458"/>
    <w:p>
      <w:pPr>
        <w:spacing w:after="0"/>
        <w:ind w:left="0"/>
        <w:jc w:val="both"/>
      </w:pPr>
      <w:r>
        <w:rPr>
          <w:rFonts w:ascii="Times New Roman"/>
          <w:b w:val="false"/>
          <w:i w:val="false"/>
          <w:color w:val="000000"/>
          <w:sz w:val="28"/>
        </w:rPr>
        <w:t>
      В целях обеспечения базовыми стандартами качества жизни населения будет реализован ряд системных мер:</w:t>
      </w:r>
    </w:p>
    <w:bookmarkEnd w:id="458"/>
    <w:bookmarkStart w:name="z465" w:id="459"/>
    <w:p>
      <w:pPr>
        <w:spacing w:after="0"/>
        <w:ind w:left="0"/>
        <w:jc w:val="both"/>
      </w:pPr>
      <w:r>
        <w:rPr>
          <w:rFonts w:ascii="Times New Roman"/>
          <w:b w:val="false"/>
          <w:i w:val="false"/>
          <w:color w:val="000000"/>
          <w:sz w:val="28"/>
        </w:rPr>
        <w:t>
      1) центральными государственными органами будут пересмотрены отраслевые приказы, нормативы по сети организаций, требования к качеству услуг с учетом современных условий, специфики регионов;</w:t>
      </w:r>
    </w:p>
    <w:bookmarkEnd w:id="459"/>
    <w:bookmarkStart w:name="z466" w:id="460"/>
    <w:p>
      <w:pPr>
        <w:spacing w:after="0"/>
        <w:ind w:left="0"/>
        <w:jc w:val="both"/>
      </w:pPr>
      <w:r>
        <w:rPr>
          <w:rFonts w:ascii="Times New Roman"/>
          <w:b w:val="false"/>
          <w:i w:val="false"/>
          <w:color w:val="000000"/>
          <w:sz w:val="28"/>
        </w:rPr>
        <w:t>
      2) местные исполнительные органы на основе актуализированных отраслевых нормативов должны обеспечить базовыми стандартами качества жизни населения.</w:t>
      </w:r>
    </w:p>
    <w:bookmarkEnd w:id="460"/>
    <w:bookmarkStart w:name="z467" w:id="461"/>
    <w:p>
      <w:pPr>
        <w:spacing w:after="0"/>
        <w:ind w:left="0"/>
        <w:jc w:val="both"/>
      </w:pPr>
      <w:r>
        <w:rPr>
          <w:rFonts w:ascii="Times New Roman"/>
          <w:b w:val="false"/>
          <w:i w:val="false"/>
          <w:color w:val="000000"/>
          <w:sz w:val="28"/>
        </w:rPr>
        <w:t>
      При этом с учетом текущей ситуации, демографического прогноза и экономических возможностей в регионах, требования к региональным стандартам могут быть выше республиканских требований;</w:t>
      </w:r>
    </w:p>
    <w:bookmarkEnd w:id="461"/>
    <w:bookmarkStart w:name="z468" w:id="462"/>
    <w:p>
      <w:pPr>
        <w:spacing w:after="0"/>
        <w:ind w:left="0"/>
        <w:jc w:val="both"/>
      </w:pPr>
      <w:r>
        <w:rPr>
          <w:rFonts w:ascii="Times New Roman"/>
          <w:b w:val="false"/>
          <w:i w:val="false"/>
          <w:color w:val="000000"/>
          <w:sz w:val="28"/>
        </w:rPr>
        <w:t>
      3) необходимо пересмотреть методологические подходы к расчету трансфертов исходя из сокращения разрывов в обеспечении услугами и благами базового стандарта качества жизни населения между регионами, внутри регионов между городской и сельской местностью. При этом расчет трансфертов должен иметь не только компенсирующий, но и стимулирующий характер для регионов. Это поможет сформировать сильные стимулы для местных органов власти к более эффективной поддержке экономического развития.</w:t>
      </w:r>
    </w:p>
    <w:bookmarkEnd w:id="462"/>
    <w:bookmarkStart w:name="z469" w:id="46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5. Развитие человеческого капитала.</w:t>
      </w:r>
    </w:p>
    <w:bookmarkEnd w:id="463"/>
    <w:bookmarkStart w:name="z470" w:id="464"/>
    <w:p>
      <w:pPr>
        <w:spacing w:after="0"/>
        <w:ind w:left="0"/>
        <w:jc w:val="both"/>
      </w:pPr>
      <w:r>
        <w:rPr>
          <w:rFonts w:ascii="Times New Roman"/>
          <w:b w:val="false"/>
          <w:i w:val="false"/>
          <w:color w:val="000000"/>
          <w:sz w:val="28"/>
        </w:rPr>
        <w:t>
      В целом, реализация положений Прогнозной схемы и соответствующих мероприятий по территориально-пространственному развитию должны создавать условия для развития человеческого капитала в стране.</w:t>
      </w:r>
    </w:p>
    <w:bookmarkEnd w:id="464"/>
    <w:bookmarkStart w:name="z471" w:id="465"/>
    <w:p>
      <w:pPr>
        <w:spacing w:after="0"/>
        <w:ind w:left="0"/>
        <w:jc w:val="both"/>
      </w:pPr>
      <w:r>
        <w:rPr>
          <w:rFonts w:ascii="Times New Roman"/>
          <w:b w:val="false"/>
          <w:i w:val="false"/>
          <w:color w:val="000000"/>
          <w:sz w:val="28"/>
        </w:rPr>
        <w:t>
      Необходимо принять меры по сокращению разрывов в доступности образования, обеспечению продуктивной занятости, снижению безработицы, повышению мобильности населения, росту доходов населения.</w:t>
      </w:r>
    </w:p>
    <w:bookmarkEnd w:id="465"/>
    <w:bookmarkStart w:name="z472" w:id="466"/>
    <w:p>
      <w:pPr>
        <w:spacing w:after="0"/>
        <w:ind w:left="0"/>
        <w:jc w:val="both"/>
      </w:pPr>
      <w:r>
        <w:rPr>
          <w:rFonts w:ascii="Times New Roman"/>
          <w:b w:val="false"/>
          <w:i w:val="false"/>
          <w:color w:val="000000"/>
          <w:sz w:val="28"/>
        </w:rPr>
        <w:t>
      С целью развития человеческого капитала будет обеспечена доступность к качественному образованию. В учебные программы среднего образования будут включены 8ТЕМ</w:t>
      </w:r>
      <w:r>
        <w:rPr>
          <w:rFonts w:ascii="Times New Roman"/>
          <w:b w:val="false"/>
          <w:i w:val="false"/>
          <w:color w:val="000000"/>
          <w:vertAlign w:val="superscript"/>
        </w:rPr>
        <w:t>22</w:t>
      </w:r>
      <w:r>
        <w:rPr>
          <w:rFonts w:ascii="Times New Roman"/>
          <w:b w:val="false"/>
          <w:i w:val="false"/>
          <w:color w:val="000000"/>
          <w:sz w:val="28"/>
        </w:rPr>
        <w:t>-элементы, направленные на развитие новых технологий, научных инноваций, математического моделирования, программирования, робототехники и начальной технологической подготовки.</w:t>
      </w:r>
    </w:p>
    <w:bookmarkEnd w:id="466"/>
    <w:bookmarkStart w:name="z473" w:id="467"/>
    <w:p>
      <w:pPr>
        <w:spacing w:after="0"/>
        <w:ind w:left="0"/>
        <w:jc w:val="both"/>
      </w:pPr>
      <w:r>
        <w:rPr>
          <w:rFonts w:ascii="Times New Roman"/>
          <w:b w:val="false"/>
          <w:i w:val="false"/>
          <w:color w:val="000000"/>
          <w:sz w:val="28"/>
        </w:rPr>
        <w:t>
      В предстоящие годы в системе образования необходимо решить проблемы с сокращением малокомплектных школ в сельской местности, в первую очередь общего и основного среднего образования, не затрагивая малокомплектные начальные школы. В перспективе работа должна быть направлена на окончательную ликвидацию аварийных и трехсменных школ.</w:t>
      </w:r>
    </w:p>
    <w:bookmarkEnd w:id="467"/>
    <w:bookmarkStart w:name="z474" w:id="468"/>
    <w:p>
      <w:pPr>
        <w:spacing w:after="0"/>
        <w:ind w:left="0"/>
        <w:jc w:val="both"/>
      </w:pPr>
      <w:r>
        <w:rPr>
          <w:rFonts w:ascii="Times New Roman"/>
          <w:b w:val="false"/>
          <w:i w:val="false"/>
          <w:color w:val="000000"/>
          <w:sz w:val="28"/>
        </w:rPr>
        <w:t>
      ________________________________________________________</w:t>
      </w:r>
    </w:p>
    <w:bookmarkEnd w:id="468"/>
    <w:bookmarkStart w:name="z475" w:id="4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Science, technology, engineering, mathematics (STEM) - используется при определении методологии в области образования и выборе учебного плана в школах с целью повышения конкурентоспособности в области развития науки и технологий.</w:t>
      </w:r>
    </w:p>
    <w:bookmarkEnd w:id="469"/>
    <w:bookmarkStart w:name="z476" w:id="470"/>
    <w:p>
      <w:pPr>
        <w:spacing w:after="0"/>
        <w:ind w:left="0"/>
        <w:jc w:val="both"/>
      </w:pPr>
      <w:r>
        <w:rPr>
          <w:rFonts w:ascii="Times New Roman"/>
          <w:b w:val="false"/>
          <w:i w:val="false"/>
          <w:color w:val="000000"/>
          <w:sz w:val="28"/>
        </w:rPr>
        <w:t>
      Вместе с тем, в соответствии с потребностями рынка труда продолжится работа по развитию системы ТиПО, созданию в селах комплекса "школа- колледж", профилизации городских организаций ТиПО, а также обеспечению гарантированного государством получения первой рабочей профессии бесплатно, в том числе через курсовую подготовку.</w:t>
      </w:r>
    </w:p>
    <w:bookmarkEnd w:id="470"/>
    <w:bookmarkStart w:name="z477" w:id="471"/>
    <w:p>
      <w:pPr>
        <w:spacing w:after="0"/>
        <w:ind w:left="0"/>
        <w:jc w:val="both"/>
      </w:pPr>
      <w:r>
        <w:rPr>
          <w:rFonts w:ascii="Times New Roman"/>
          <w:b w:val="false"/>
          <w:i w:val="false"/>
          <w:color w:val="000000"/>
          <w:sz w:val="28"/>
        </w:rPr>
        <w:t>
      Будут приняты меры по повышению качества образования в регионах. Необходимо в каждом регионе обеспечить появление одного конкурентоспособного ВУЗа и сети организаций ТиПО с модернизацией материально-технической базы 20 ВУЗов и 180 колледжей, что позволит повысить качество подготовки кадров.</w:t>
      </w:r>
    </w:p>
    <w:bookmarkEnd w:id="471"/>
    <w:bookmarkStart w:name="z478" w:id="472"/>
    <w:p>
      <w:pPr>
        <w:spacing w:after="0"/>
        <w:ind w:left="0"/>
        <w:jc w:val="both"/>
      </w:pPr>
      <w:r>
        <w:rPr>
          <w:rFonts w:ascii="Times New Roman"/>
          <w:b w:val="false"/>
          <w:i w:val="false"/>
          <w:color w:val="000000"/>
          <w:sz w:val="28"/>
        </w:rPr>
        <w:t>
      Приоритетными направлениями развития человеческого капитала будут:</w:t>
      </w:r>
    </w:p>
    <w:bookmarkEnd w:id="472"/>
    <w:bookmarkStart w:name="z479" w:id="473"/>
    <w:p>
      <w:pPr>
        <w:spacing w:after="0"/>
        <w:ind w:left="0"/>
        <w:jc w:val="both"/>
      </w:pPr>
      <w:r>
        <w:rPr>
          <w:rFonts w:ascii="Times New Roman"/>
          <w:b w:val="false"/>
          <w:i w:val="false"/>
          <w:color w:val="000000"/>
          <w:sz w:val="28"/>
        </w:rPr>
        <w:t>
      1) обеспечение доступности и инклюзивности системы образования, подготовка кадров, обладающих качественными и востребованными навыками. Подготовка кадров будет увязана с перспективными потребностями отраслей экономики, в том числе в сфере развития ВИЭ;</w:t>
      </w:r>
    </w:p>
    <w:bookmarkEnd w:id="473"/>
    <w:bookmarkStart w:name="z480" w:id="474"/>
    <w:p>
      <w:pPr>
        <w:spacing w:after="0"/>
        <w:ind w:left="0"/>
        <w:jc w:val="both"/>
      </w:pPr>
      <w:r>
        <w:rPr>
          <w:rFonts w:ascii="Times New Roman"/>
          <w:b w:val="false"/>
          <w:i w:val="false"/>
          <w:color w:val="000000"/>
          <w:sz w:val="28"/>
        </w:rPr>
        <w:t>
      2) содействие продуктивной занятости.</w:t>
      </w:r>
    </w:p>
    <w:bookmarkEnd w:id="474"/>
    <w:bookmarkStart w:name="z481" w:id="475"/>
    <w:p>
      <w:pPr>
        <w:spacing w:after="0"/>
        <w:ind w:left="0"/>
        <w:jc w:val="both"/>
      </w:pPr>
      <w:r>
        <w:rPr>
          <w:rFonts w:ascii="Times New Roman"/>
          <w:b w:val="false"/>
          <w:i w:val="false"/>
          <w:color w:val="000000"/>
          <w:sz w:val="28"/>
        </w:rPr>
        <w:t>
      В рамках инициативы "Поддержка работников, высвобождаемых в результате модернизации и цифровизации предприятий" Стратегического плана-2025 в регионах предполагается реализация совместных дорожных карт, предусматривающих создание новых рабочих мест (в том числе через предоставление крупным бизнесом долгосрочных заказов и оказание иного содействия в освоении востребованной продукции на предприятиях МСБ региона), переобучение и другие меры содействия занятости.</w:t>
      </w:r>
    </w:p>
    <w:bookmarkEnd w:id="475"/>
    <w:bookmarkStart w:name="z482" w:id="476"/>
    <w:p>
      <w:pPr>
        <w:spacing w:after="0"/>
        <w:ind w:left="0"/>
        <w:jc w:val="both"/>
      </w:pPr>
      <w:r>
        <w:rPr>
          <w:rFonts w:ascii="Times New Roman"/>
          <w:b w:val="false"/>
          <w:i w:val="false"/>
          <w:color w:val="000000"/>
          <w:sz w:val="28"/>
        </w:rPr>
        <w:t>
      Продолжится стимулирование мобильности населения при добровольном переселении в рамках инициативы "Содействие добровольному переселению" Стратегического плана -2025. Государственная поддержка будет заключаться в предоставлении переселенцам субсидий на возмещение годовых расходов по найму (аренде) жилья и оплате коммунальных услуг, а также мер по трудоустройству на новом месте жительства после переселения.</w:t>
      </w:r>
    </w:p>
    <w:bookmarkEnd w:id="476"/>
    <w:bookmarkStart w:name="z483" w:id="477"/>
    <w:p>
      <w:pPr>
        <w:spacing w:after="0"/>
        <w:ind w:left="0"/>
        <w:jc w:val="both"/>
      </w:pPr>
      <w:r>
        <w:rPr>
          <w:rFonts w:ascii="Times New Roman"/>
          <w:b w:val="false"/>
          <w:i w:val="false"/>
          <w:color w:val="000000"/>
          <w:sz w:val="28"/>
        </w:rPr>
        <w:t>
      В целях обеспечения продуктивной занятости в рамках инициативы "Стимулирование организации кооперативов самозанятого населения в аграрном секторе" Стратегического плана-2025 будут приняты меры по созданию условий и оказанию государственной поддержки для максимального вовлечения самозанятого населения в сельскохозяйственную кооперацию.</w:t>
      </w:r>
    </w:p>
    <w:bookmarkEnd w:id="477"/>
    <w:bookmarkStart w:name="z484" w:id="478"/>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Перспективы территориально-пространственного развития регионов Казахстана с учетом управляемой урбанизации</w:t>
      </w:r>
    </w:p>
    <w:bookmarkEnd w:id="478"/>
    <w:bookmarkStart w:name="z485" w:id="47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конкурентоспособной экономической специализации регионов (макрорегионов)</w:t>
      </w:r>
    </w:p>
    <w:bookmarkEnd w:id="479"/>
    <w:bookmarkStart w:name="z486" w:id="480"/>
    <w:p>
      <w:pPr>
        <w:spacing w:after="0"/>
        <w:ind w:left="0"/>
        <w:jc w:val="both"/>
      </w:pPr>
      <w:r>
        <w:rPr>
          <w:rFonts w:ascii="Times New Roman"/>
          <w:b w:val="false"/>
          <w:i w:val="false"/>
          <w:color w:val="000000"/>
          <w:sz w:val="28"/>
        </w:rPr>
        <w:t>
      Сформировавшаяся экономическая специализация регионов, учитывающая географические, природные, социально-экономические условия, должна стать основой для дальнейшего развития конкурентных преимуществ и углубления специализации на мировом рынке.</w:t>
      </w:r>
    </w:p>
    <w:bookmarkEnd w:id="480"/>
    <w:bookmarkStart w:name="z487" w:id="481"/>
    <w:p>
      <w:pPr>
        <w:spacing w:after="0"/>
        <w:ind w:left="0"/>
        <w:jc w:val="both"/>
      </w:pPr>
      <w:r>
        <w:rPr>
          <w:rFonts w:ascii="Times New Roman"/>
          <w:b w:val="false"/>
          <w:i w:val="false"/>
          <w:color w:val="000000"/>
          <w:sz w:val="28"/>
        </w:rPr>
        <w:t>
      Конкурентоспособная экономическая специализация регионов должна основываться на развитии базовых отраслей, с дальнейшей специализацией в производстве продукции с высокой добавленной стоимостью.</w:t>
      </w:r>
    </w:p>
    <w:bookmarkEnd w:id="481"/>
    <w:bookmarkStart w:name="z488" w:id="482"/>
    <w:p>
      <w:pPr>
        <w:spacing w:after="0"/>
        <w:ind w:left="0"/>
        <w:jc w:val="both"/>
      </w:pPr>
      <w:r>
        <w:rPr>
          <w:rFonts w:ascii="Times New Roman"/>
          <w:b w:val="false"/>
          <w:i w:val="false"/>
          <w:color w:val="000000"/>
          <w:sz w:val="28"/>
        </w:rPr>
        <w:t>
      При этом конкурентные преимущества могут быть развиты за счет создания условий для внедрения новых технологий, инноваций, что позволяет странам - производителям занимать новые рыночные ниши, даже в условиях недостатка природных ресурсов, факторов. Например, Израиль, имея недостаток природных ресурсов, в особенности воды и пахотных земель, занимает лидирующие позиции в мире по экспорту сельскохозяйственной продукции.</w:t>
      </w:r>
    </w:p>
    <w:bookmarkEnd w:id="482"/>
    <w:bookmarkStart w:name="z489" w:id="483"/>
    <w:p>
      <w:pPr>
        <w:spacing w:after="0"/>
        <w:ind w:left="0"/>
        <w:jc w:val="both"/>
      </w:pPr>
      <w:r>
        <w:rPr>
          <w:rFonts w:ascii="Times New Roman"/>
          <w:b w:val="false"/>
          <w:i w:val="false"/>
          <w:color w:val="000000"/>
          <w:sz w:val="28"/>
        </w:rPr>
        <w:t>
      Действующая группировка макрорегионов учитывает их сложившуюся экономическую специализацию лишь в границах страны. При этом в рамках Прогнозной схемы группировка регионов проведена с учетом зон влияния, географической структуры экспорта, рынков сбыта для казахстанских товаров и услуг за пределами страны. Перспективная конкурентоспособная экономическая специализация регионов, система расселения и характер рыночных связей приведены в таблице 2.</w:t>
      </w:r>
    </w:p>
    <w:bookmarkEnd w:id="483"/>
    <w:bookmarkStart w:name="z490" w:id="484"/>
    <w:p>
      <w:pPr>
        <w:spacing w:after="0"/>
        <w:ind w:left="0"/>
        <w:jc w:val="both"/>
      </w:pPr>
      <w:r>
        <w:rPr>
          <w:rFonts w:ascii="Times New Roman"/>
          <w:b w:val="false"/>
          <w:i w:val="false"/>
          <w:color w:val="000000"/>
          <w:sz w:val="28"/>
        </w:rPr>
        <w:t>
      Для всех макрорегионов в целях углубления экономической специализации необходимо усилить связь между производством и учебными заведениями научно-исследовательского и прикладного образования.</w:t>
      </w:r>
    </w:p>
    <w:bookmarkEnd w:id="484"/>
    <w:bookmarkStart w:name="z491" w:id="485"/>
    <w:p>
      <w:pPr>
        <w:spacing w:after="0"/>
        <w:ind w:left="0"/>
        <w:jc w:val="both"/>
      </w:pPr>
      <w:r>
        <w:rPr>
          <w:rFonts w:ascii="Times New Roman"/>
          <w:b w:val="false"/>
          <w:i w:val="false"/>
          <w:color w:val="000000"/>
          <w:sz w:val="28"/>
        </w:rPr>
        <w:t>
      Углубление экономической специализации Казахстана должно сопровождаться постоянной оценкой потенциальных рынков сбыта для адаптации к изменениям на мировых рынках.</w:t>
      </w:r>
    </w:p>
    <w:bookmarkEnd w:id="485"/>
    <w:bookmarkStart w:name="z492" w:id="486"/>
    <w:p>
      <w:pPr>
        <w:spacing w:after="0"/>
        <w:ind w:left="0"/>
        <w:jc w:val="both"/>
      </w:pPr>
      <w:r>
        <w:rPr>
          <w:rFonts w:ascii="Times New Roman"/>
          <w:b w:val="false"/>
          <w:i w:val="false"/>
          <w:color w:val="000000"/>
          <w:sz w:val="28"/>
        </w:rPr>
        <w:t>
      Таблица 2 - Перспективная конкурентоспособная экономическая специализация регионов Республики Казахстан</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1844"/>
        <w:gridCol w:w="3125"/>
        <w:gridCol w:w="1613"/>
        <w:gridCol w:w="2066"/>
      </w:tblGrid>
      <w:tr>
        <w:trPr>
          <w:trHeight w:val="30"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Макрорегионы (зоны влияния, потенциальные рынки сбыта)</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зонирования: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Перспективная конкурентоспособна я экономическая специализация регионов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w:t>
            </w:r>
            <w:r>
              <w:rPr>
                <w:rFonts w:ascii="Times New Roman"/>
                <w:b/>
                <w:i w:val="false"/>
                <w:color w:val="000000"/>
                <w:sz w:val="20"/>
              </w:rPr>
              <w:t>Система</w:t>
            </w:r>
            <w:r>
              <w:br/>
            </w:r>
            <w:r>
              <w:rPr>
                <w:rFonts w:ascii="Times New Roman"/>
                <w:b w:val="false"/>
                <w:i w:val="false"/>
                <w:color w:val="000000"/>
                <w:sz w:val="20"/>
              </w:rPr>
              <w:t>
</w:t>
            </w:r>
            <w:r>
              <w:rPr>
                <w:rFonts w:ascii="Times New Roman"/>
                <w:b/>
                <w:i w:val="false"/>
                <w:color w:val="000000"/>
                <w:sz w:val="20"/>
              </w:rPr>
              <w:t>расселения</w:t>
            </w:r>
          </w:p>
          <w:bookmarkEnd w:id="487"/>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 рыночных связей</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Высокотехнологичные регионы (с учетом географии экспорта услуг)</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Нур-Султан, Алматы, Шымкент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сферы услуг, науки, цифровых Технологий, инноваций с ориентацией на экспорт.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Агломерационная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долгосрочного инвестирования в НИОКР и инновации.</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Добывающие регионы (с учетом географии экспорта, а также приграничные территории РФ, Узбекистана)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Актюбинская, Западно-Казахстанская, Мангистауская и Кызылординская области</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индустриальных проектов в базовых и обрабатывающих отраслях, развитие сопутствующих услуг. Ориентация обрабатывающей промышленности на экспорт.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Дисперсная с дальнейшей концентрацией в городах-"точках роста"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ведущих инжиниринговых компаний мира с последующим выходом на иностранные рынки.</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Индустриальные регионы (с учетом географии экспорта, а также приграничные территории РФ)</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Карагандинская и Павлодарская области</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Появление новых индустрий на базе и вокруг традиционных отраслей экономики, развитие сферы услуг.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Дисперсная с дальнейшей концентрацией в городах-"точках роста"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высокотехнологичных продуктов и встраивания в глобальные цепочки добавленной стоимости.</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Индустриально- аграрные регионы (с учетом географии экспорта, а также приграничные территории РФ, Китая, Узбекистана, Кыргызстана)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Алматинская, Жамбылская, Костанайская, Северо-Казахстанская и Туркестанская области</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сельское хозяйство, развитие аквакультуры. Создание национальных конкурентоспособны х производств с высокой добавленной стоимостью с акцентом на экологичность и экспортоориентированность.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Дисперсная с дальнейшей концентрацие й в опорных СНП</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обеспечения внутреннего рынка сельскохозяйственной продукцией и развитие экспортного потенциала</w:t>
            </w:r>
          </w:p>
        </w:tc>
      </w:tr>
    </w:tbl>
    <w:bookmarkStart w:name="z494" w:id="488"/>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Стратегические направления развития регионов</w:t>
      </w:r>
    </w:p>
    <w:bookmarkEnd w:id="488"/>
    <w:bookmarkStart w:name="z495" w:id="489"/>
    <w:p>
      <w:pPr>
        <w:spacing w:after="0"/>
        <w:ind w:left="0"/>
        <w:jc w:val="both"/>
      </w:pPr>
      <w:r>
        <w:rPr>
          <w:rFonts w:ascii="Times New Roman"/>
          <w:b w:val="false"/>
          <w:i w:val="false"/>
          <w:color w:val="000000"/>
          <w:sz w:val="28"/>
        </w:rPr>
        <w:t>
      Как показывает мировой опыт, во всех развитых странах экономические реформы сопровождались развитием базовых отраслей с последующим переходом на углубление специализации.</w:t>
      </w:r>
    </w:p>
    <w:bookmarkEnd w:id="489"/>
    <w:bookmarkStart w:name="z496" w:id="490"/>
    <w:p>
      <w:pPr>
        <w:spacing w:after="0"/>
        <w:ind w:left="0"/>
        <w:jc w:val="both"/>
      </w:pPr>
      <w:r>
        <w:rPr>
          <w:rFonts w:ascii="Times New Roman"/>
          <w:b w:val="false"/>
          <w:i w:val="false"/>
          <w:color w:val="000000"/>
          <w:sz w:val="28"/>
        </w:rPr>
        <w:t>
      Так, Южная Корея за 60 лет превратилась из отсталой сельскохозяйственной страны в государство с высокотехнологичной экономикой. Германия, Франция и Великобритания продолжают оставаться мощными промышленными центрами Европы за счет усложнения базовых отраслей и создания их высокотехнологичных подотраслей.</w:t>
      </w:r>
    </w:p>
    <w:bookmarkEnd w:id="490"/>
    <w:bookmarkStart w:name="z497" w:id="491"/>
    <w:p>
      <w:pPr>
        <w:spacing w:after="0"/>
        <w:ind w:left="0"/>
        <w:jc w:val="both"/>
      </w:pPr>
      <w:r>
        <w:rPr>
          <w:rFonts w:ascii="Times New Roman"/>
          <w:b w:val="false"/>
          <w:i w:val="false"/>
          <w:color w:val="000000"/>
          <w:sz w:val="28"/>
        </w:rPr>
        <w:t>
      Исторически сложившаяся специализация регионов страны, имеющаяся богатая минерально-сырьевая база и природные ресурсы, географическое положение страны, значительный накопленный опыт и кадровый потенциал в базовых отраслях страны, создают задел для усложнения региональных отраслевых структур экономики и формирования новых конкурентоспособных специализаций регионов.</w:t>
      </w:r>
    </w:p>
    <w:bookmarkEnd w:id="491"/>
    <w:bookmarkStart w:name="z498" w:id="492"/>
    <w:p>
      <w:pPr>
        <w:spacing w:after="0"/>
        <w:ind w:left="0"/>
        <w:jc w:val="both"/>
      </w:pPr>
      <w:r>
        <w:rPr>
          <w:rFonts w:ascii="Times New Roman"/>
          <w:b w:val="false"/>
          <w:i w:val="false"/>
          <w:color w:val="000000"/>
          <w:sz w:val="28"/>
        </w:rPr>
        <w:t>
      В этой связи перспективная специализация регионов страны будет направлена на структурную диверсификацию экономики и рост производительности.</w:t>
      </w:r>
    </w:p>
    <w:bookmarkEnd w:id="492"/>
    <w:bookmarkStart w:name="z499" w:id="493"/>
    <w:p>
      <w:pPr>
        <w:spacing w:after="0"/>
        <w:ind w:left="0"/>
        <w:jc w:val="both"/>
      </w:pPr>
      <w:r>
        <w:rPr>
          <w:rFonts w:ascii="Times New Roman"/>
          <w:b w:val="false"/>
          <w:i w:val="false"/>
          <w:color w:val="000000"/>
          <w:sz w:val="28"/>
        </w:rPr>
        <w:t>
      Приоритеты экономической специализации регионов на долгосрочную перспективу могут быть определены исходя из уровня развития и диверсифицированности экономик регионов, а также имеющихся отраслей.</w:t>
      </w:r>
    </w:p>
    <w:bookmarkEnd w:id="493"/>
    <w:bookmarkStart w:name="z500" w:id="494"/>
    <w:p>
      <w:pPr>
        <w:spacing w:after="0"/>
        <w:ind w:left="0"/>
        <w:jc w:val="both"/>
      </w:pPr>
      <w:r>
        <w:rPr>
          <w:rFonts w:ascii="Times New Roman"/>
          <w:b w:val="false"/>
          <w:i w:val="false"/>
          <w:color w:val="000000"/>
          <w:sz w:val="28"/>
        </w:rPr>
        <w:t>
      Для регионов с постиндустриальной экономикой (города Нур-Султана и Алматы) приоритетами развития должны стать структурно-технологическая модернизация производства, в первую очередь, за счет создания новых высокотехнологичных, наукоемких производств, обновления и реконструкции на базе новых, чистых технологий, действующих с целью повышения конкурентоспособности экономики городов. Приоритетными направлениями специализации должны стать развитие информационных систем, создание новых производств по выпуску лекарственных средств и препаратов, прогрессивных видов строительных материалов и конструкций, экологичных продуктов питания, электроники, бытовой техники. Необходимо осуществлять стимулирование внедрения инноваций, развитие научно-исследовательских структур, поддержку научно-исследовательских и опытно-конструкторских работ, формирование технопарков и технополисов.</w:t>
      </w:r>
    </w:p>
    <w:bookmarkEnd w:id="494"/>
    <w:bookmarkStart w:name="z501" w:id="495"/>
    <w:p>
      <w:pPr>
        <w:spacing w:after="0"/>
        <w:ind w:left="0"/>
        <w:jc w:val="both"/>
      </w:pPr>
      <w:r>
        <w:rPr>
          <w:rFonts w:ascii="Times New Roman"/>
          <w:b w:val="false"/>
          <w:i w:val="false"/>
          <w:color w:val="000000"/>
          <w:sz w:val="28"/>
        </w:rPr>
        <w:t>
      Для добывающих регионов страны основным приоритетом в перспективе должно стать повышение экономической сложности. В этой связи приоритетной задачей на перспективу является диверсификация экономики, связанная с глубокой переработкой нефти, развитием отраслей обрабатывающей промышленности, сферы услуг, транспорта и логистики. Реализация инвестиционных проектов будет направлена на диверсификацию структуры местной экономики и модернизацию действующих производств, что позволит снизить зависимость от традиционных отраслей и конъюнктуры мировых цен на сырье. Политика развития обрабатывающего сектора позволит увеличить занятость. В этой связи, также необходимо создавать условия для повышения квалификации работников, развития культуры регулярного переобучения как фактора востребованности на рынке труда.</w:t>
      </w:r>
    </w:p>
    <w:bookmarkEnd w:id="495"/>
    <w:bookmarkStart w:name="z502" w:id="496"/>
    <w:p>
      <w:pPr>
        <w:spacing w:after="0"/>
        <w:ind w:left="0"/>
        <w:jc w:val="both"/>
      </w:pPr>
      <w:r>
        <w:rPr>
          <w:rFonts w:ascii="Times New Roman"/>
          <w:b w:val="false"/>
          <w:i w:val="false"/>
          <w:color w:val="000000"/>
          <w:sz w:val="28"/>
        </w:rPr>
        <w:t>
      Необходимо обеспечить переход к новым ресурсосберегающим и экологически чистым технологиям, позволяющим не только комплексно использовать природные ресурсы, но и обеспечить восстановление нарушенных экосистем.</w:t>
      </w:r>
    </w:p>
    <w:bookmarkEnd w:id="496"/>
    <w:bookmarkStart w:name="z503" w:id="497"/>
    <w:p>
      <w:pPr>
        <w:spacing w:after="0"/>
        <w:ind w:left="0"/>
        <w:jc w:val="both"/>
      </w:pPr>
      <w:r>
        <w:rPr>
          <w:rFonts w:ascii="Times New Roman"/>
          <w:b w:val="false"/>
          <w:i w:val="false"/>
          <w:color w:val="000000"/>
          <w:sz w:val="28"/>
        </w:rPr>
        <w:t>
      Для индустриальных регионов страны в качестве долгосрочных приоритетов устойчивого развития может стать структурно-технологическая модернизация производства, в первую очередь, за счет создания новых высокотехнологичных, наукоемких производств, коренного обновления и модернизации действующих с целью повышения конкурентоспособности экономики регионов. Стимулирование развития науки и инноваций будет способствовать усложнению их экономик и формированию конкурентоспособных экспортоориентированных специализаций.</w:t>
      </w:r>
    </w:p>
    <w:bookmarkEnd w:id="497"/>
    <w:bookmarkStart w:name="z504" w:id="498"/>
    <w:p>
      <w:pPr>
        <w:spacing w:after="0"/>
        <w:ind w:left="0"/>
        <w:jc w:val="both"/>
      </w:pPr>
      <w:r>
        <w:rPr>
          <w:rFonts w:ascii="Times New Roman"/>
          <w:b w:val="false"/>
          <w:i w:val="false"/>
          <w:color w:val="000000"/>
          <w:sz w:val="28"/>
        </w:rPr>
        <w:t>
      С учетом структурных особенностей для аграрно-промышленных регионов ключевое значение будет иметь диверсификация их экономик на основе ускоренного развития обрабатывающей промышленности, сельского хозяйства, транспорта и логистики, сферы услуг с высокой добавленной стоимостью.</w:t>
      </w:r>
    </w:p>
    <w:bookmarkEnd w:id="498"/>
    <w:bookmarkStart w:name="z505" w:id="499"/>
    <w:p>
      <w:pPr>
        <w:spacing w:after="0"/>
        <w:ind w:left="0"/>
        <w:jc w:val="both"/>
      </w:pPr>
      <w:r>
        <w:rPr>
          <w:rFonts w:ascii="Times New Roman"/>
          <w:b w:val="false"/>
          <w:i w:val="false"/>
          <w:color w:val="000000"/>
          <w:sz w:val="28"/>
        </w:rPr>
        <w:t>
      В целом в перспективе для всех регионов важно уделить особое внимание внедрению энергосберегающих и ресурсосберегающих технологий, развитию ВИЭ, увеличению доли переработки отходов и снижению энергоемкости. Все это позволит создать новые рабочие места с востребованными навыками, в том числе для высвобождаемых кадров из других отраслей.</w:t>
      </w:r>
    </w:p>
    <w:bookmarkEnd w:id="499"/>
    <w:bookmarkStart w:name="z506" w:id="500"/>
    <w:p>
      <w:pPr>
        <w:spacing w:after="0"/>
        <w:ind w:left="0"/>
        <w:jc w:val="both"/>
      </w:pPr>
      <w:r>
        <w:rPr>
          <w:rFonts w:ascii="Times New Roman"/>
          <w:b w:val="false"/>
          <w:i w:val="false"/>
          <w:color w:val="000000"/>
          <w:sz w:val="28"/>
        </w:rPr>
        <w:t>
      Практически во всех регионах имеются потенциал и условия для развития туризма. В связи с этим регионами будут приняты меры по повышению туристической и рекреационной привлекательности территорий, развитию культурно-исторического и архитектурного наследия, созданию новых туристических структур и оздоровительных комплексов.</w:t>
      </w:r>
    </w:p>
    <w:bookmarkEnd w:id="500"/>
    <w:bookmarkStart w:name="z507" w:id="501"/>
    <w:p>
      <w:pPr>
        <w:spacing w:after="0"/>
        <w:ind w:left="0"/>
        <w:jc w:val="both"/>
      </w:pPr>
      <w:r>
        <w:rPr>
          <w:rFonts w:ascii="Times New Roman"/>
          <w:b w:val="false"/>
          <w:i w:val="false"/>
          <w:color w:val="000000"/>
          <w:sz w:val="28"/>
        </w:rPr>
        <w:t>
      Приоритетами будут создание условий для привлечения инвестиций и создание новых рабочих мест в перспективных отраслях, поддержка деловой активности и развитие предпринимательства.</w:t>
      </w:r>
    </w:p>
    <w:bookmarkEnd w:id="501"/>
    <w:bookmarkStart w:name="z508" w:id="502"/>
    <w:p>
      <w:pPr>
        <w:spacing w:after="0"/>
        <w:ind w:left="0"/>
        <w:jc w:val="both"/>
      </w:pPr>
      <w:r>
        <w:rPr>
          <w:rFonts w:ascii="Times New Roman"/>
          <w:b w:val="false"/>
          <w:i w:val="false"/>
          <w:color w:val="000000"/>
          <w:sz w:val="28"/>
        </w:rPr>
        <w:t>
      Настоящий документ дает прогнозные варианты развития отраслей регионов на основе вышестоящих документов и международного опыта, на которые Правительство Республики Казахстан и местные исполнительные органы должны ориентироваться. Вместе с тем, местные исполнительные органы будут иметь самостоятельность в определении приоритетов конкурентоспособной экономической специализации исходя из текущей социально-экономической ситуации страны и региона, а также внешней конъюнктуры.</w:t>
      </w:r>
    </w:p>
    <w:bookmarkEnd w:id="502"/>
    <w:bookmarkStart w:name="z509" w:id="503"/>
    <w:p>
      <w:pPr>
        <w:spacing w:after="0"/>
        <w:ind w:left="0"/>
        <w:jc w:val="both"/>
      </w:pPr>
      <w:r>
        <w:rPr>
          <w:rFonts w:ascii="Times New Roman"/>
          <w:b w:val="false"/>
          <w:i w:val="false"/>
          <w:color w:val="000000"/>
          <w:sz w:val="28"/>
        </w:rPr>
        <w:t xml:space="preserve">
      </w:t>
      </w:r>
      <w:r>
        <w:rPr>
          <w:rFonts w:ascii="Times New Roman"/>
          <w:b/>
          <w:i w:val="false"/>
          <w:color w:val="000000"/>
          <w:sz w:val="28"/>
        </w:rPr>
        <w:t>Территориально-пространственное развитие</w:t>
      </w:r>
    </w:p>
    <w:bookmarkEnd w:id="503"/>
    <w:bookmarkStart w:name="z510" w:id="504"/>
    <w:p>
      <w:pPr>
        <w:spacing w:after="0"/>
        <w:ind w:left="0"/>
        <w:jc w:val="both"/>
      </w:pPr>
      <w:r>
        <w:rPr>
          <w:rFonts w:ascii="Times New Roman"/>
          <w:b w:val="false"/>
          <w:i w:val="false"/>
          <w:color w:val="000000"/>
          <w:sz w:val="28"/>
        </w:rPr>
        <w:t>
      Казахстан имеет большой транспортно-логистический потенциал. Трансконтинентальные маршруты позволяют значительно сократить время на транспортировку грузов между Азией и Европой.</w:t>
      </w:r>
    </w:p>
    <w:bookmarkEnd w:id="504"/>
    <w:bookmarkStart w:name="z511" w:id="505"/>
    <w:p>
      <w:pPr>
        <w:spacing w:after="0"/>
        <w:ind w:left="0"/>
        <w:jc w:val="both"/>
      </w:pPr>
      <w:r>
        <w:rPr>
          <w:rFonts w:ascii="Times New Roman"/>
          <w:b w:val="false"/>
          <w:i w:val="false"/>
          <w:color w:val="000000"/>
          <w:sz w:val="28"/>
        </w:rPr>
        <w:t>
      Железнодорожный транспорт играет ведущую роль в обеспечении грузовых перевозок, как внутри страны, так и за ее пределами.</w:t>
      </w:r>
    </w:p>
    <w:bookmarkEnd w:id="505"/>
    <w:bookmarkStart w:name="z512" w:id="506"/>
    <w:p>
      <w:pPr>
        <w:spacing w:after="0"/>
        <w:ind w:left="0"/>
        <w:jc w:val="both"/>
      </w:pPr>
      <w:r>
        <w:rPr>
          <w:rFonts w:ascii="Times New Roman"/>
          <w:b w:val="false"/>
          <w:i w:val="false"/>
          <w:color w:val="000000"/>
          <w:sz w:val="28"/>
        </w:rPr>
        <w:t>
      В стране сформировано и действуют 5 международных железнодорожных транспортных коридоров ("Северный коридор Трансазиатской железнодорожной магистрали", "Южный коридор Трансазиатской железнодорожной магистрали", "Центральный коридор Трансазиатской железнодорожной магистрали", "ТРАСЕКА", "Север - Юг").</w:t>
      </w:r>
    </w:p>
    <w:bookmarkEnd w:id="506"/>
    <w:bookmarkStart w:name="z513" w:id="507"/>
    <w:p>
      <w:pPr>
        <w:spacing w:after="0"/>
        <w:ind w:left="0"/>
        <w:jc w:val="both"/>
      </w:pPr>
      <w:r>
        <w:rPr>
          <w:rFonts w:ascii="Times New Roman"/>
          <w:b w:val="false"/>
          <w:i w:val="false"/>
          <w:color w:val="000000"/>
          <w:sz w:val="28"/>
        </w:rPr>
        <w:t>
      Меры по развитию железнодорожной отрасли на перспективу будут направлены на строительство участков железных дорог для обеспечения новых кратчайших маршрутов транспортировки грузов по территории Казахстана, а также повышения конкурентоспособности транспортных коридоров и транспортного комплекса в целом, в системе евроазиатских путей сообщения.</w:t>
      </w:r>
    </w:p>
    <w:bookmarkEnd w:id="507"/>
    <w:bookmarkStart w:name="z514" w:id="508"/>
    <w:p>
      <w:pPr>
        <w:spacing w:after="0"/>
        <w:ind w:left="0"/>
        <w:jc w:val="both"/>
      </w:pPr>
      <w:r>
        <w:rPr>
          <w:rFonts w:ascii="Times New Roman"/>
          <w:b w:val="false"/>
          <w:i w:val="false"/>
          <w:color w:val="000000"/>
          <w:sz w:val="28"/>
        </w:rPr>
        <w:t>
      В перспективе железнодорожный транспорт сохранит ведущую роль в обеспечении грузовых перевозок как внутри страны, так и в экспортных направлениях. Приоритетом будет развитие существующих и строительство новых железных дорог, связывающих регионы между собой и являющихся частью международных транзитных коридоров, проходящих по территории Республики Казахстан. В перспективе до 2030 года планируется реализация проекта по строительству обводной железнодорожной линии в обход узла Алматы сообщением "Жетыген-Казбек Бек".</w:t>
      </w:r>
    </w:p>
    <w:bookmarkEnd w:id="508"/>
    <w:bookmarkStart w:name="z515" w:id="509"/>
    <w:p>
      <w:pPr>
        <w:spacing w:after="0"/>
        <w:ind w:left="0"/>
        <w:jc w:val="both"/>
      </w:pPr>
      <w:r>
        <w:rPr>
          <w:rFonts w:ascii="Times New Roman"/>
          <w:b w:val="false"/>
          <w:i w:val="false"/>
          <w:color w:val="000000"/>
          <w:sz w:val="28"/>
        </w:rPr>
        <w:t>
      Значительное влияние на развитие экономик областей страны и реализацию транзитного потенциала будут оказывать автомобильные дороги. Ключевую роль в увеличении транзитных потоков будет играть международный транспортный коридор "Западная Европа-Западный Китай".</w:t>
      </w:r>
    </w:p>
    <w:bookmarkEnd w:id="509"/>
    <w:bookmarkStart w:name="z516" w:id="510"/>
    <w:p>
      <w:pPr>
        <w:spacing w:after="0"/>
        <w:ind w:left="0"/>
        <w:jc w:val="both"/>
      </w:pPr>
      <w:r>
        <w:rPr>
          <w:rFonts w:ascii="Times New Roman"/>
          <w:b w:val="false"/>
          <w:i w:val="false"/>
          <w:color w:val="000000"/>
          <w:sz w:val="28"/>
        </w:rPr>
        <w:t>
      Развитию транзитно-транспортного потенциала будет способствовать функционирование транспортно-логистического хаба Специальной экономической зоны "Хоргос-Восточные ворота", соединяющего КНР, Центральную Азию и Средний Восток. Рост товарооборота из КНР повысит значимость Специальной экономической зоны "Хоргос-Восточные ворота" в качестве "сухого порта".</w:t>
      </w:r>
    </w:p>
    <w:bookmarkEnd w:id="510"/>
    <w:bookmarkStart w:name="z517" w:id="511"/>
    <w:p>
      <w:pPr>
        <w:spacing w:after="0"/>
        <w:ind w:left="0"/>
        <w:jc w:val="both"/>
      </w:pPr>
      <w:r>
        <w:rPr>
          <w:rFonts w:ascii="Times New Roman"/>
          <w:b w:val="false"/>
          <w:i w:val="false"/>
          <w:color w:val="000000"/>
          <w:sz w:val="28"/>
        </w:rPr>
        <w:t>
      В настоящее время в Казахстане действуют 6 автотранспортных коридоров ("Ташкент-Шымкент-Тараз-Бишкек-Алматы-Хоргос", "Шымкент- Кызылорда-Актобе-Уральск-Самара", "Алматы-Караганды-Нур-Султан-Петропавловск", "Астрахань-Атырау-Актау-гр. Туркменистана", "Омск-Павлодар-Семей-Майкапшагай", "Нур-Султан-Костанай-Челябинск- Екатеринбург").</w:t>
      </w:r>
    </w:p>
    <w:bookmarkEnd w:id="511"/>
    <w:bookmarkStart w:name="z518" w:id="512"/>
    <w:p>
      <w:pPr>
        <w:spacing w:after="0"/>
        <w:ind w:left="0"/>
        <w:jc w:val="both"/>
      </w:pPr>
      <w:r>
        <w:rPr>
          <w:rFonts w:ascii="Times New Roman"/>
          <w:b w:val="false"/>
          <w:i w:val="false"/>
          <w:color w:val="000000"/>
          <w:sz w:val="28"/>
        </w:rPr>
        <w:t>
      Основной задачей на перспективу будет повышение и поддержание технических параметров дорог в соответствии с современными стандартами, обеспечение транспортной связности внутри регионов, между регионами и "точками роста". Перспективными до 2030 года будут следующие проекты по развитию автодорог:</w:t>
      </w:r>
    </w:p>
    <w:bookmarkEnd w:id="512"/>
    <w:bookmarkStart w:name="z519" w:id="513"/>
    <w:p>
      <w:pPr>
        <w:spacing w:after="0"/>
        <w:ind w:left="0"/>
        <w:jc w:val="both"/>
      </w:pPr>
      <w:r>
        <w:rPr>
          <w:rFonts w:ascii="Times New Roman"/>
          <w:b w:val="false"/>
          <w:i w:val="false"/>
          <w:color w:val="000000"/>
          <w:sz w:val="28"/>
        </w:rPr>
        <w:t>
      - в рамках коридора "Центр - Юг" по направлению "Нур-Султан- Караганды-Балхаш-Алматы" на участке "Караганда-Балхаш-Бурылбайтал", "Центр - Запад" по направлению "Нур-Султан-Аркалык-Торгай-Иргиз- Шалкар-Кандыагаш" на участке "Нур-Султан-Аркалык-Торгай-Ыргыз- Шалкар- Кандыагаш" и "Центр - Восток" по направлению "Нур-Султан- Павлодар-Семей-Калбатау-Усть-Каменогорск" на участке "Павлодар- Калбатау";</w:t>
      </w:r>
    </w:p>
    <w:bookmarkEnd w:id="513"/>
    <w:bookmarkStart w:name="z520" w:id="514"/>
    <w:p>
      <w:pPr>
        <w:spacing w:after="0"/>
        <w:ind w:left="0"/>
        <w:jc w:val="both"/>
      </w:pPr>
      <w:r>
        <w:rPr>
          <w:rFonts w:ascii="Times New Roman"/>
          <w:b w:val="false"/>
          <w:i w:val="false"/>
          <w:color w:val="000000"/>
          <w:sz w:val="28"/>
        </w:rPr>
        <w:t>
      - реконструкция и проектно-изыскательские работы на автомобильных дорогах республиканского значения: "Таскескен-Бахты (граница КНР)", "Юго- Западный обход города Нур-Султана", "Усть-Каменогорск-Алтай- Большенарымское-Катон-Карагай-Рахмановские ключи", "Бейнеу-Акжигит- граница Республики Узбекистан (на Нукус)", "Щучинск-Зеренда", "Ушарал- Достык", "Алматы-Усть-Каменогорск с обходом города Сарканда", "Граница РФ (на Орск)-Актобе-Атырау-граница РФ (на Астрахань)" на участках "Актобе-Кандыагаш", "Атырау-граница РФ (на Астрахань)", "Карабутак- Комсомольское-Денисовка-Рудный-Костанай", "Мерке-Бурылбайтал", "Кызылорда-Павлодар-Успенка-граница РФ", "Нур-Султан-Костанай- Челябинск", "Жезказган-Петропавловск", "граница РФ (на Астрахань)-Атырау- граница Туркменистана" на участке "Жанаозен-граница Туркменистана", "Атбасар-Кокшетау", "Уральск-Атырау", "Кокшетау - граница РФ (на Омск)", "Актобе- граница РФ (на Орск)", "Караганда-Аягоз-Тарбагатай-Бугаз", "Чапаево- Жалпактал-Казталовка-граница РФ", "Усть-Каменогорск- Семипалатинск", "Павлодар-граница РФ (на Омск)" и "Узынагаш-Карасай батыр".</w:t>
      </w:r>
    </w:p>
    <w:bookmarkEnd w:id="514"/>
    <w:bookmarkStart w:name="z521" w:id="515"/>
    <w:p>
      <w:pPr>
        <w:spacing w:after="0"/>
        <w:ind w:left="0"/>
        <w:jc w:val="both"/>
      </w:pPr>
      <w:r>
        <w:rPr>
          <w:rFonts w:ascii="Times New Roman"/>
          <w:b w:val="false"/>
          <w:i w:val="false"/>
          <w:color w:val="000000"/>
          <w:sz w:val="28"/>
        </w:rPr>
        <w:t>
      Наряду с реконструкцией автомобильных дорог необходимо развивать инфраструктуру пассажирского транспорта, в том числе строительство и реконструкцию автовокзалов, пунктов обслуживания пассажиров и стоянок такси.</w:t>
      </w:r>
    </w:p>
    <w:bookmarkEnd w:id="515"/>
    <w:bookmarkStart w:name="z522" w:id="516"/>
    <w:p>
      <w:pPr>
        <w:spacing w:after="0"/>
        <w:ind w:left="0"/>
        <w:jc w:val="both"/>
      </w:pPr>
      <w:r>
        <w:rPr>
          <w:rFonts w:ascii="Times New Roman"/>
          <w:b w:val="false"/>
          <w:i w:val="false"/>
          <w:color w:val="000000"/>
          <w:sz w:val="28"/>
        </w:rPr>
        <w:t>
      Для уменьшения отрицательного воздействия эрозионных процессов на состояние земельных угодий необходимо применение комплексных противоэрозионных мероприятий (организационно-хозяйственных, агротехнических, лесомелиоративных, гидротехнических), переход на адаптивно-ландшафтную систему земледелия. Для совершенствования систем земледелия и землеустройства необходим новый виток сплошного почвенного крупномасштабного комплексного картографирования с учетом специфики регионов и ландшафтно-экологического подхода, включающего подробную эрозионную съемку с определением степени фактической эродированности и диагностики процессов водной и ветровой эрозии.</w:t>
      </w:r>
    </w:p>
    <w:bookmarkEnd w:id="516"/>
    <w:bookmarkStart w:name="z523" w:id="517"/>
    <w:p>
      <w:pPr>
        <w:spacing w:after="0"/>
        <w:ind w:left="0"/>
        <w:jc w:val="both"/>
      </w:pPr>
      <w:r>
        <w:rPr>
          <w:rFonts w:ascii="Times New Roman"/>
          <w:b w:val="false"/>
          <w:i w:val="false"/>
          <w:color w:val="000000"/>
          <w:sz w:val="28"/>
        </w:rPr>
        <w:t>
      В целях обеспечения населения и промышленности сельскохозяйственной продукцией и в целом продовольственной безопасности страны необходимо произвести реконструкцию и восстановление орошаемого земледелия с внедрением водосберегающих технологий при возделывании и поливе сельскохозяйственных культур.</w:t>
      </w:r>
    </w:p>
    <w:bookmarkEnd w:id="517"/>
    <w:bookmarkStart w:name="z524" w:id="518"/>
    <w:p>
      <w:pPr>
        <w:spacing w:after="0"/>
        <w:ind w:left="0"/>
        <w:jc w:val="both"/>
      </w:pPr>
      <w:r>
        <w:rPr>
          <w:rFonts w:ascii="Times New Roman"/>
          <w:b w:val="false"/>
          <w:i w:val="false"/>
          <w:color w:val="000000"/>
          <w:sz w:val="28"/>
        </w:rPr>
        <w:t>
      В регионах необходимо предусмотреть природоохранные мероприятия по предотвращению опустынивания, истощения подземных вод и защите сельскохозяйственных угодий от эрозии и дефляции. Для принятия мер по улучшению состояния почвенного покрова в стране необходим анализ достоверных и регулярно обновляемых данных об актуальном состоянии почвы. Соответственно, необходимо проведение мониторинга почв по всем основным видам загрязняющих веществ.</w:t>
      </w:r>
    </w:p>
    <w:bookmarkEnd w:id="518"/>
    <w:bookmarkStart w:name="z525" w:id="519"/>
    <w:p>
      <w:pPr>
        <w:spacing w:after="0"/>
        <w:ind w:left="0"/>
        <w:jc w:val="both"/>
      </w:pPr>
      <w:r>
        <w:rPr>
          <w:rFonts w:ascii="Times New Roman"/>
          <w:b w:val="false"/>
          <w:i w:val="false"/>
          <w:color w:val="000000"/>
          <w:sz w:val="28"/>
        </w:rPr>
        <w:t>
      Освоение новых технологий позволит Казахстану в среднесрочной перспективе включить в сельскохозяйственный оборот ранее неосвоенные земли в засушливых и полупустынных регионах, а также повысить общий уровень производительности отрасли.</w:t>
      </w:r>
    </w:p>
    <w:bookmarkEnd w:id="519"/>
    <w:bookmarkStart w:name="z526" w:id="520"/>
    <w:p>
      <w:pPr>
        <w:spacing w:after="0"/>
        <w:ind w:left="0"/>
        <w:jc w:val="both"/>
      </w:pPr>
      <w:r>
        <w:rPr>
          <w:rFonts w:ascii="Times New Roman"/>
          <w:b w:val="false"/>
          <w:i w:val="false"/>
          <w:color w:val="000000"/>
          <w:sz w:val="28"/>
        </w:rPr>
        <w:t>
      Для широкого развития системы мониторинга водных ресурсов необходимо предусмотреть введение дополнительных гидропостов на водных объектах республики.</w:t>
      </w:r>
    </w:p>
    <w:bookmarkEnd w:id="520"/>
    <w:bookmarkStart w:name="z527" w:id="521"/>
    <w:p>
      <w:pPr>
        <w:spacing w:after="0"/>
        <w:ind w:left="0"/>
        <w:jc w:val="both"/>
      </w:pPr>
      <w:r>
        <w:rPr>
          <w:rFonts w:ascii="Times New Roman"/>
          <w:b w:val="false"/>
          <w:i w:val="false"/>
          <w:color w:val="000000"/>
          <w:sz w:val="28"/>
        </w:rPr>
        <w:t>
      В целях сохранения работоспособности жизненно важного для республики предприятия - канала им. К. Сатпаева необходимо проведение полноценной его реконструкции.</w:t>
      </w:r>
    </w:p>
    <w:bookmarkEnd w:id="521"/>
    <w:bookmarkStart w:name="z528" w:id="522"/>
    <w:p>
      <w:pPr>
        <w:spacing w:after="0"/>
        <w:ind w:left="0"/>
        <w:jc w:val="both"/>
      </w:pPr>
      <w:r>
        <w:rPr>
          <w:rFonts w:ascii="Times New Roman"/>
          <w:b w:val="false"/>
          <w:i w:val="false"/>
          <w:color w:val="000000"/>
          <w:sz w:val="28"/>
        </w:rPr>
        <w:t>
      Для стабилизации уровня озера Балхаш, необходимо предусмотреть возможность переброски части стока реки Каратал и возведение Узунаральской перемычки с регулирующим сооружением, которое позволит уменьшить поступление солей с ветровыми нагонами из Восточной части озера.</w:t>
      </w:r>
    </w:p>
    <w:bookmarkEnd w:id="522"/>
    <w:bookmarkStart w:name="z529" w:id="523"/>
    <w:p>
      <w:pPr>
        <w:spacing w:after="0"/>
        <w:ind w:left="0"/>
        <w:jc w:val="both"/>
      </w:pPr>
      <w:r>
        <w:rPr>
          <w:rFonts w:ascii="Times New Roman"/>
          <w:b w:val="false"/>
          <w:i w:val="false"/>
          <w:color w:val="000000"/>
          <w:sz w:val="28"/>
        </w:rPr>
        <w:t>
      Значительным рычагом снижения потерь должны стать мероприятия по реконструкции крупных объектов водной инфраструктуры - магистральных каналов, водных резервуаров, плотин. Для этого будет проведено многофакторное обследование всех водохозяйственных и гидромелиоративных инфраструктурных объектов.</w:t>
      </w:r>
    </w:p>
    <w:bookmarkEnd w:id="523"/>
    <w:bookmarkStart w:name="z530" w:id="524"/>
    <w:p>
      <w:pPr>
        <w:spacing w:after="0"/>
        <w:ind w:left="0"/>
        <w:jc w:val="both"/>
      </w:pPr>
      <w:r>
        <w:rPr>
          <w:rFonts w:ascii="Times New Roman"/>
          <w:b w:val="false"/>
          <w:i w:val="false"/>
          <w:color w:val="000000"/>
          <w:sz w:val="28"/>
        </w:rPr>
        <w:t>
      Политика по развитию электроэнергетики будет направлена на обеспечение сбалансированного и устойчивого развития генерации и транспортировки электроэнергии. Для повышения надежности и стабильного обеспечения электроэнергией южных регионов будет рассмотрена возможность строительства новых линий электропередачи для беспрепятственного перетока электрической энергии северных энергоисточников в южные регионы, а также объединения энергосистемы Западного Казахстана с ЕЭС Казахстана.</w:t>
      </w:r>
    </w:p>
    <w:bookmarkEnd w:id="524"/>
    <w:bookmarkStart w:name="z531" w:id="525"/>
    <w:p>
      <w:pPr>
        <w:spacing w:after="0"/>
        <w:ind w:left="0"/>
        <w:jc w:val="both"/>
      </w:pPr>
      <w:r>
        <w:rPr>
          <w:rFonts w:ascii="Times New Roman"/>
          <w:b w:val="false"/>
          <w:i w:val="false"/>
          <w:color w:val="000000"/>
          <w:sz w:val="28"/>
        </w:rPr>
        <w:t>
      Перспективное размещение новых промышленных производств в регионах должно осуществляться с учетом доступа к энергетической, водной и транспортной инфраструктуре.</w:t>
      </w:r>
    </w:p>
    <w:bookmarkEnd w:id="525"/>
    <w:bookmarkStart w:name="z532" w:id="526"/>
    <w:p>
      <w:pPr>
        <w:spacing w:after="0"/>
        <w:ind w:left="0"/>
        <w:jc w:val="both"/>
      </w:pPr>
      <w:r>
        <w:rPr>
          <w:rFonts w:ascii="Times New Roman"/>
          <w:b w:val="false"/>
          <w:i w:val="false"/>
          <w:color w:val="000000"/>
          <w:sz w:val="28"/>
        </w:rPr>
        <w:t>
      Небольшая емкость рынка, несложная структура экономики и экспортной корзины и закрепление сырьевых направлений являются основными причинами слабой конкурентоспособности казахстанской экономики. Поэтому в качестве приоритета территориально-пространственного развития территорий должно стать повышение конкурентоспособности регионов за счет эффективного использования имеющихся конкурентных преимуществ.</w:t>
      </w:r>
    </w:p>
    <w:bookmarkEnd w:id="526"/>
    <w:bookmarkStart w:name="z533" w:id="527"/>
    <w:p>
      <w:pPr>
        <w:spacing w:after="0"/>
        <w:ind w:left="0"/>
        <w:jc w:val="both"/>
      </w:pPr>
      <w:r>
        <w:rPr>
          <w:rFonts w:ascii="Times New Roman"/>
          <w:b w:val="false"/>
          <w:i w:val="false"/>
          <w:color w:val="000000"/>
          <w:sz w:val="28"/>
        </w:rPr>
        <w:t>
      Перспективы развития территорий должны быть связаны с поддержкой конкурентоспособных производителей, развитием "экономики простых вещей", сопряжением индустриально-инновационного и пространственного развития. Концентрация ресурсов и усилий должна происходить в отдельных пространственных "точках роста" для дальнейшего развития и создания специализированных факторов, таких как инновационный потенциал, квалифицированная рабочая сила, благоприятные институциональные условия и т.д. Текущая структура расселения населения с большим количеством сельского населения и сетью множества дисперсно-размещенных населенных пунктов не отвечает требованиям формирования конкурентоспособной экономики. В современных условиях Казахстану нужна компактная территориально-пространственная структура с ярко выраженными "точками роста".</w:t>
      </w:r>
    </w:p>
    <w:bookmarkEnd w:id="527"/>
    <w:bookmarkStart w:name="z534" w:id="528"/>
    <w:p>
      <w:pPr>
        <w:spacing w:after="0"/>
        <w:ind w:left="0"/>
        <w:jc w:val="both"/>
      </w:pPr>
      <w:r>
        <w:rPr>
          <w:rFonts w:ascii="Times New Roman"/>
          <w:b w:val="false"/>
          <w:i w:val="false"/>
          <w:color w:val="000000"/>
          <w:sz w:val="28"/>
        </w:rPr>
        <w:t>
      В этой связи перспективная территориально-пространственная организация страны должна быть направлена на формирование сильных урбанизированных центров экономического роста в каждом регионе страны. Они будут служить "проводниками" для интеграции региона в глобальную экономику. На национальном уровне необходимо продолжить формирование "точек роста" с интеграцией в международную технологическую цепочку.</w:t>
      </w:r>
    </w:p>
    <w:bookmarkEnd w:id="528"/>
    <w:bookmarkStart w:name="z535" w:id="529"/>
    <w:p>
      <w:pPr>
        <w:spacing w:after="0"/>
        <w:ind w:left="0"/>
        <w:jc w:val="both"/>
      </w:pPr>
      <w:r>
        <w:rPr>
          <w:rFonts w:ascii="Times New Roman"/>
          <w:b w:val="false"/>
          <w:i w:val="false"/>
          <w:color w:val="000000"/>
          <w:sz w:val="28"/>
        </w:rPr>
        <w:t>
      Для повышения их потенциала предлагается формирование ФГР, включающих в себя крупные, большие города и сеть населенных пунктов из близлежащих территорий. Это позволит создать условия для реализации агломерационного эффекта на региональном уровне.</w:t>
      </w:r>
    </w:p>
    <w:bookmarkEnd w:id="529"/>
    <w:bookmarkStart w:name="z536" w:id="530"/>
    <w:p>
      <w:pPr>
        <w:spacing w:after="0"/>
        <w:ind w:left="0"/>
        <w:jc w:val="both"/>
      </w:pPr>
      <w:r>
        <w:rPr>
          <w:rFonts w:ascii="Times New Roman"/>
          <w:b w:val="false"/>
          <w:i w:val="false"/>
          <w:color w:val="000000"/>
          <w:sz w:val="28"/>
        </w:rPr>
        <w:t>
      В отношении крупных городов необходимо проводить политику "контроля роста", то есть не допускать стихийного разрастания городов по площади, а обеспечивать повышение плотности застройки, что также будет способствовать повышению производительности и снижению затрат на инфраструктуру за счет "эффекта масштаба".</w:t>
      </w:r>
    </w:p>
    <w:bookmarkEnd w:id="530"/>
    <w:bookmarkStart w:name="z537" w:id="531"/>
    <w:p>
      <w:pPr>
        <w:spacing w:after="0"/>
        <w:ind w:left="0"/>
        <w:jc w:val="both"/>
      </w:pPr>
      <w:r>
        <w:rPr>
          <w:rFonts w:ascii="Times New Roman"/>
          <w:b w:val="false"/>
          <w:i w:val="false"/>
          <w:color w:val="000000"/>
          <w:sz w:val="28"/>
        </w:rPr>
        <w:t>
      В этой связи для столицы, городов республиканского и областного значения необходимо установить целевые показатели плотности населения для недопущения разрастания городских территорий.</w:t>
      </w:r>
    </w:p>
    <w:bookmarkEnd w:id="531"/>
    <w:bookmarkStart w:name="z538" w:id="532"/>
    <w:p>
      <w:pPr>
        <w:spacing w:after="0"/>
        <w:ind w:left="0"/>
        <w:jc w:val="both"/>
      </w:pPr>
      <w:r>
        <w:rPr>
          <w:rFonts w:ascii="Times New Roman"/>
          <w:b w:val="false"/>
          <w:i w:val="false"/>
          <w:color w:val="000000"/>
          <w:sz w:val="28"/>
        </w:rPr>
        <w:t>
      Необходимо уделить особое внимание развитию специальных экономических зон и индустриальных зон, парков, как инструментов территориально-пространственного развития регионов.</w:t>
      </w:r>
    </w:p>
    <w:bookmarkEnd w:id="532"/>
    <w:bookmarkStart w:name="z539" w:id="533"/>
    <w:p>
      <w:pPr>
        <w:spacing w:after="0"/>
        <w:ind w:left="0"/>
        <w:jc w:val="both"/>
      </w:pPr>
      <w:r>
        <w:rPr>
          <w:rFonts w:ascii="Times New Roman"/>
          <w:b w:val="false"/>
          <w:i w:val="false"/>
          <w:color w:val="000000"/>
          <w:sz w:val="28"/>
        </w:rPr>
        <w:t>
      Для обеспечения безопасности граждан необходимо ограничить развитие инфраструктуры в направлении объектов, предназначенных для хранения оружия и боеприпасов Вооруженных Сил, других войск и воинских формирований Республики Казахстан.</w:t>
      </w:r>
    </w:p>
    <w:bookmarkEnd w:id="533"/>
    <w:bookmarkStart w:name="z540" w:id="534"/>
    <w:p>
      <w:pPr>
        <w:spacing w:after="0"/>
        <w:ind w:left="0"/>
        <w:jc w:val="both"/>
      </w:pPr>
      <w:r>
        <w:rPr>
          <w:rFonts w:ascii="Times New Roman"/>
          <w:b w:val="false"/>
          <w:i w:val="false"/>
          <w:color w:val="000000"/>
          <w:sz w:val="28"/>
        </w:rPr>
        <w:t>
      Требуется ускорить создание интегрированной инфраструктуры пригородного транспорта в крупных и больших городах. Следует принять меры по обеспечению бесперебойного и безопасного транспортного сообщения между городами и населенными пунктами, оптимизации тарифной политики и др.</w:t>
      </w:r>
    </w:p>
    <w:bookmarkEnd w:id="534"/>
    <w:bookmarkStart w:name="z541" w:id="535"/>
    <w:p>
      <w:pPr>
        <w:spacing w:after="0"/>
        <w:ind w:left="0"/>
        <w:jc w:val="both"/>
      </w:pPr>
      <w:r>
        <w:rPr>
          <w:rFonts w:ascii="Times New Roman"/>
          <w:b w:val="false"/>
          <w:i w:val="false"/>
          <w:color w:val="000000"/>
          <w:sz w:val="28"/>
        </w:rPr>
        <w:t>
      В перспективе до 2030 года обеспеченность населения жильем должна вырасти до 30 м</w:t>
      </w:r>
      <w:r>
        <w:rPr>
          <w:rFonts w:ascii="Times New Roman"/>
          <w:b w:val="false"/>
          <w:i w:val="false"/>
          <w:color w:val="000000"/>
          <w:vertAlign w:val="superscript"/>
        </w:rPr>
        <w:t>2</w:t>
      </w:r>
      <w:r>
        <w:rPr>
          <w:rFonts w:ascii="Times New Roman"/>
          <w:b w:val="false"/>
          <w:i w:val="false"/>
          <w:color w:val="000000"/>
          <w:sz w:val="28"/>
        </w:rPr>
        <w:t>. При этом необходимо повысить требования к качеству, экологичности и энергоэффективности жилых зданий, стимулировать применение новых методов строительства, современных материалов, а также принципиально иных подходов в планировании массовой застройки.</w:t>
      </w:r>
    </w:p>
    <w:bookmarkEnd w:id="535"/>
    <w:bookmarkStart w:name="z542" w:id="536"/>
    <w:p>
      <w:pPr>
        <w:spacing w:after="0"/>
        <w:ind w:left="0"/>
        <w:jc w:val="both"/>
      </w:pPr>
      <w:r>
        <w:rPr>
          <w:rFonts w:ascii="Times New Roman"/>
          <w:b w:val="false"/>
          <w:i w:val="false"/>
          <w:color w:val="000000"/>
          <w:sz w:val="28"/>
        </w:rPr>
        <w:t>
      Местными исполнительными органами должна быть продолжена реализация мер по сносу аварийного и ветхого жилья.</w:t>
      </w:r>
    </w:p>
    <w:bookmarkEnd w:id="536"/>
    <w:bookmarkStart w:name="z543" w:id="537"/>
    <w:p>
      <w:pPr>
        <w:spacing w:after="0"/>
        <w:ind w:left="0"/>
        <w:jc w:val="both"/>
      </w:pPr>
      <w:r>
        <w:rPr>
          <w:rFonts w:ascii="Times New Roman"/>
          <w:b w:val="false"/>
          <w:i w:val="false"/>
          <w:color w:val="000000"/>
          <w:sz w:val="28"/>
        </w:rPr>
        <w:t>
      В целях стимулирования урбанизации в крупных и больших городах необходимо принять меры по формированию и развитию рынка арендного жилья, в том числе за счет принятия мер по реновации территорий с ветхим и аварийным жильем.</w:t>
      </w:r>
    </w:p>
    <w:bookmarkEnd w:id="537"/>
    <w:bookmarkStart w:name="z544" w:id="538"/>
    <w:p>
      <w:pPr>
        <w:spacing w:after="0"/>
        <w:ind w:left="0"/>
        <w:jc w:val="both"/>
      </w:pPr>
      <w:r>
        <w:rPr>
          <w:rFonts w:ascii="Times New Roman"/>
          <w:b w:val="false"/>
          <w:i w:val="false"/>
          <w:color w:val="000000"/>
          <w:sz w:val="28"/>
        </w:rPr>
        <w:t>
      В сфере жилищно-коммунального хозяйства (далее - ЖКХ) меры будут направлены на модернизацию и ремонт коммунальных систем.</w:t>
      </w:r>
    </w:p>
    <w:bookmarkEnd w:id="538"/>
    <w:bookmarkStart w:name="z545" w:id="539"/>
    <w:p>
      <w:pPr>
        <w:spacing w:after="0"/>
        <w:ind w:left="0"/>
        <w:jc w:val="both"/>
      </w:pPr>
      <w:r>
        <w:rPr>
          <w:rFonts w:ascii="Times New Roman"/>
          <w:b w:val="false"/>
          <w:i w:val="false"/>
          <w:color w:val="000000"/>
          <w:sz w:val="28"/>
        </w:rPr>
        <w:t>
      Сети "зеленых" зон в городах и поселках должны быть связаны с "зелеными" зонами, лесами и другими природными зонами в окрестностях, а также с зонами отдыха и спорта. Особое внимание необходимо уделять регионам, в которых плотность и целостность зеленых насаждений находится под угрозой.</w:t>
      </w:r>
    </w:p>
    <w:bookmarkEnd w:id="539"/>
    <w:bookmarkStart w:name="z546" w:id="540"/>
    <w:p>
      <w:pPr>
        <w:spacing w:after="0"/>
        <w:ind w:left="0"/>
        <w:jc w:val="both"/>
      </w:pPr>
      <w:r>
        <w:rPr>
          <w:rFonts w:ascii="Times New Roman"/>
          <w:b w:val="false"/>
          <w:i w:val="false"/>
          <w:color w:val="000000"/>
          <w:sz w:val="28"/>
        </w:rPr>
        <w:t>
      Имеются проблемы, связанные с загрязнением твердыми и жидкими отходами добывающих и перерабатывающих отраслей, переработкой ТБО и загрязнением водных ресурсов. Необходимы системные меры по охвату городов и прилегающих территорий очистной и улавливающей инфраструктурой, объектами утилизации промышленных отходов. При этом следует активно привлекать инвестиции, в частности через механизм ГЧП.</w:t>
      </w:r>
    </w:p>
    <w:bookmarkEnd w:id="540"/>
    <w:bookmarkStart w:name="z547" w:id="541"/>
    <w:p>
      <w:pPr>
        <w:spacing w:after="0"/>
        <w:ind w:left="0"/>
        <w:jc w:val="both"/>
      </w:pPr>
      <w:r>
        <w:rPr>
          <w:rFonts w:ascii="Times New Roman"/>
          <w:b w:val="false"/>
          <w:i w:val="false"/>
          <w:color w:val="000000"/>
          <w:sz w:val="28"/>
        </w:rPr>
        <w:t>
      Особого внимание требуют вопросы обеспечения безопасности личности и общества от техногенных аварий, катастроф и стихийных бедствий путем развития инфраструктуры противодействия чрезвычайным ситуациям. Дальнейшая застройка населенных пунктов должна вестись со строгим соблюдением регламентов и ограничений для градостроительной и иной деятельности, с выявлением зон особого градостроительного регулирования, особенно, в населенных пунктах, расположенных в районах, подверженных воздействию чрезвычайных ситуаций.</w:t>
      </w:r>
    </w:p>
    <w:bookmarkEnd w:id="541"/>
    <w:bookmarkStart w:name="z548" w:id="542"/>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агломераций и урбанизированных ареалов</w:t>
      </w:r>
    </w:p>
    <w:bookmarkEnd w:id="542"/>
    <w:bookmarkStart w:name="z549" w:id="543"/>
    <w:p>
      <w:pPr>
        <w:spacing w:after="0"/>
        <w:ind w:left="0"/>
        <w:jc w:val="both"/>
      </w:pPr>
      <w:r>
        <w:rPr>
          <w:rFonts w:ascii="Times New Roman"/>
          <w:b w:val="false"/>
          <w:i w:val="false"/>
          <w:color w:val="000000"/>
          <w:sz w:val="28"/>
        </w:rPr>
        <w:t>
      Современные тенденции в мире показывают, что конкурентоспособность стран определяют не регионы, а города, тесно интегрированные с глобальными и региональными рынками. Эти тенденции прослеживаются и в Казахстане.</w:t>
      </w:r>
    </w:p>
    <w:bookmarkEnd w:id="543"/>
    <w:bookmarkStart w:name="z550" w:id="544"/>
    <w:p>
      <w:pPr>
        <w:spacing w:after="0"/>
        <w:ind w:left="0"/>
        <w:jc w:val="both"/>
      </w:pPr>
      <w:r>
        <w:rPr>
          <w:rFonts w:ascii="Times New Roman"/>
          <w:b w:val="false"/>
          <w:i w:val="false"/>
          <w:color w:val="000000"/>
          <w:sz w:val="28"/>
        </w:rPr>
        <w:t>
      В перспективе до 2030 года городские агломерации будут ключевой формой территориально-пространственной организации страны.</w:t>
      </w:r>
    </w:p>
    <w:bookmarkEnd w:id="544"/>
    <w:bookmarkStart w:name="z551" w:id="545"/>
    <w:p>
      <w:pPr>
        <w:spacing w:after="0"/>
        <w:ind w:left="0"/>
        <w:jc w:val="both"/>
      </w:pPr>
      <w:r>
        <w:rPr>
          <w:rFonts w:ascii="Times New Roman"/>
          <w:b w:val="false"/>
          <w:i w:val="false"/>
          <w:color w:val="000000"/>
          <w:sz w:val="28"/>
        </w:rPr>
        <w:t>
      Развитие агломераций на предстоящее десятилетие должно быть направлено на обеспечение перехода к инновационному развитию, их превращение в полноценные центры экономического роста в национальном и глобальном масштабах, переход с акцента развития отраслевой специализации к усилению параметров комфорта проживания, качества жизни и поддержки торгуемых, высокопродуктивных секторов. Агломерации должны будут конкурировать с крупными агломерациями Евразийского пространства за ресурсы, инвестиции и таланты.</w:t>
      </w:r>
    </w:p>
    <w:bookmarkEnd w:id="545"/>
    <w:bookmarkStart w:name="z552" w:id="546"/>
    <w:p>
      <w:pPr>
        <w:spacing w:after="0"/>
        <w:ind w:left="0"/>
        <w:jc w:val="both"/>
      </w:pPr>
      <w:r>
        <w:rPr>
          <w:rFonts w:ascii="Times New Roman"/>
          <w:b w:val="false"/>
          <w:i w:val="false"/>
          <w:color w:val="000000"/>
          <w:sz w:val="28"/>
        </w:rPr>
        <w:t>
      Экономическое позиционирование агломераций необходимо осуществлять не только в рамках страны, а на уровне открытой системы с учетом глобальных городов-конкурентов. Для центров агломераций долгосрочной целью должно стать вхождение в признанные международные рейтинги по качеству жизни, такие как Mercer</w:t>
      </w:r>
      <w:r>
        <w:rPr>
          <w:rFonts w:ascii="Times New Roman"/>
          <w:b w:val="false"/>
          <w:i w:val="false"/>
          <w:color w:val="000000"/>
          <w:vertAlign w:val="superscript"/>
        </w:rPr>
        <w:t>23</w:t>
      </w:r>
      <w:r>
        <w:rPr>
          <w:rFonts w:ascii="Times New Roman"/>
          <w:b w:val="false"/>
          <w:i w:val="false"/>
          <w:color w:val="000000"/>
          <w:sz w:val="28"/>
        </w:rPr>
        <w:t>, Economist</w:t>
      </w:r>
      <w:r>
        <w:rPr>
          <w:rFonts w:ascii="Times New Roman"/>
          <w:b w:val="false"/>
          <w:i w:val="false"/>
          <w:color w:val="000000"/>
          <w:vertAlign w:val="superscript"/>
        </w:rPr>
        <w:t>24</w:t>
      </w:r>
      <w:r>
        <w:rPr>
          <w:rFonts w:ascii="Times New Roman"/>
          <w:b w:val="false"/>
          <w:i w:val="false"/>
          <w:color w:val="000000"/>
          <w:sz w:val="28"/>
        </w:rPr>
        <w:t xml:space="preserve"> и другие.</w:t>
      </w:r>
    </w:p>
    <w:bookmarkEnd w:id="546"/>
    <w:bookmarkStart w:name="z553" w:id="547"/>
    <w:p>
      <w:pPr>
        <w:spacing w:after="0"/>
        <w:ind w:left="0"/>
        <w:jc w:val="both"/>
      </w:pPr>
      <w:r>
        <w:rPr>
          <w:rFonts w:ascii="Times New Roman"/>
          <w:b w:val="false"/>
          <w:i w:val="false"/>
          <w:color w:val="000000"/>
          <w:sz w:val="28"/>
        </w:rPr>
        <w:t>
      Для городов Нур-Султана и Алматы долгосрочным ориентиром будет вхождение в число городов мирового уровня, а города Шымкент и Актобе должны выйти на уровень городов евроазиатского пространства.</w:t>
      </w:r>
    </w:p>
    <w:bookmarkEnd w:id="547"/>
    <w:bookmarkStart w:name="z554" w:id="548"/>
    <w:p>
      <w:pPr>
        <w:spacing w:after="0"/>
        <w:ind w:left="0"/>
        <w:jc w:val="both"/>
      </w:pPr>
      <w:r>
        <w:rPr>
          <w:rFonts w:ascii="Times New Roman"/>
          <w:b w:val="false"/>
          <w:i w:val="false"/>
          <w:color w:val="000000"/>
          <w:sz w:val="28"/>
        </w:rPr>
        <w:t>
      В зоне межрегионального влияния столичной агломерации находятся Сибирский Федеральный округ РФ (население в 2017 году 19,3 млн. человек), Центральный и Северный Казахстан (4,5 млн. человек) с общей численностью населения в охватываемой зоне свыше 23,8 млн. человек. Города-конкуренты с населением свыше миллиона человек в макрозоне - Красноярск, Новосибирск, Омск. Для международного значения столичной агломерации и схожих условий развитии ориентиром может служить Абу-Даби.</w:t>
      </w:r>
    </w:p>
    <w:bookmarkEnd w:id="548"/>
    <w:bookmarkStart w:name="z555" w:id="549"/>
    <w:p>
      <w:pPr>
        <w:spacing w:after="0"/>
        <w:ind w:left="0"/>
        <w:jc w:val="both"/>
      </w:pPr>
      <w:r>
        <w:rPr>
          <w:rFonts w:ascii="Times New Roman"/>
          <w:b w:val="false"/>
          <w:i w:val="false"/>
          <w:color w:val="000000"/>
          <w:sz w:val="28"/>
        </w:rPr>
        <w:t>
      В зоне межрегионального влияния Алматинской агломерации в качестве международного хаба находятся Узбекистан, Синьцзян-Уйгурский автономный район (КНР), Кыргызстан, Таджикистан, некоторые провинции в торговых отношениях с Казахстаном в Северном Пакистане и Северном Афганистане, а также Северная Индия. Население Казахстана внутри макрозоны 3,7 млн. человек, за пределами страны около 48,7 млн. человек. Крупнейший город- конкурент по людности Урумчи (КНР). Для Алматинской агломерации ориентиры для развития в качестве самых быстроразвивающихся финансовых центров - Стамбул и Дубай.</w:t>
      </w:r>
    </w:p>
    <w:bookmarkEnd w:id="549"/>
    <w:bookmarkStart w:name="z556" w:id="550"/>
    <w:p>
      <w:pPr>
        <w:spacing w:after="0"/>
        <w:ind w:left="0"/>
        <w:jc w:val="both"/>
      </w:pPr>
      <w:r>
        <w:rPr>
          <w:rFonts w:ascii="Times New Roman"/>
          <w:b w:val="false"/>
          <w:i w:val="false"/>
          <w:color w:val="000000"/>
          <w:sz w:val="28"/>
        </w:rPr>
        <w:t>
      __________________________________________________________________</w:t>
      </w:r>
    </w:p>
    <w:bookmarkEnd w:id="550"/>
    <w:bookmarkStart w:name="z557" w:id="5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Рейтинг, проводимый международной консалтинговой компанией Меrсеr по уровню качества жизни.</w:t>
      </w:r>
    </w:p>
    <w:bookmarkEnd w:id="551"/>
    <w:bookmarkStart w:name="z558" w:id="5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Индекс качества жизни, разработанный компанией Economist.</w:t>
      </w:r>
    </w:p>
    <w:bookmarkEnd w:id="552"/>
    <w:bookmarkStart w:name="z559" w:id="553"/>
    <w:p>
      <w:pPr>
        <w:spacing w:after="0"/>
        <w:ind w:left="0"/>
        <w:jc w:val="both"/>
      </w:pPr>
      <w:r>
        <w:rPr>
          <w:rFonts w:ascii="Times New Roman"/>
          <w:b w:val="false"/>
          <w:i w:val="false"/>
          <w:color w:val="000000"/>
          <w:sz w:val="28"/>
        </w:rPr>
        <w:t>
      В зоне межрегионального влияния Шымкентской агломерации находятся Туркестанская, Кызылординская и Жамбылская области с общим населением 4,8 млн. человек, а также Ташкентская, Ферганская, Андижанская и Наманганская области Узбекистана и Кыргызстан с общим населением 17,6 млн. человек. Людность зоны потенциального взаимодействия Шымкентской агломерации 22,4 млн. человек. Основные города - конкуренты по людности Ташкент, Бишкек. Ориентиром по диверсификации экономики и повышению добавленной стоимости могут стать города агрологистического уклада Парма (Италия) и Гуаньчжоу (КНР).</w:t>
      </w:r>
    </w:p>
    <w:bookmarkEnd w:id="553"/>
    <w:bookmarkStart w:name="z560" w:id="554"/>
    <w:p>
      <w:pPr>
        <w:spacing w:after="0"/>
        <w:ind w:left="0"/>
        <w:jc w:val="both"/>
      </w:pPr>
      <w:r>
        <w:rPr>
          <w:rFonts w:ascii="Times New Roman"/>
          <w:b w:val="false"/>
          <w:i w:val="false"/>
          <w:color w:val="000000"/>
          <w:sz w:val="28"/>
        </w:rPr>
        <w:t>
      В зоне влияния Актюбинской агломерации внутри страны в соответствии со значением хаба Западного региона находятся Атырауская, Западно- Казахстанская, Мангистауская и собственно Актюбинская области с населением 2,7 млн. человек. Непосредственно в зоне возможного влияния Актюбинской агломерации остаются приграничные территории РФ с населением 42 млн. человек. Города-конкуренты Казань, Челябинск, приволжская зона и Самара-Тольяттинская агломерация.</w:t>
      </w:r>
    </w:p>
    <w:bookmarkEnd w:id="554"/>
    <w:bookmarkStart w:name="z561" w:id="555"/>
    <w:p>
      <w:pPr>
        <w:spacing w:after="0"/>
        <w:ind w:left="0"/>
        <w:jc w:val="both"/>
      </w:pPr>
      <w:r>
        <w:rPr>
          <w:rFonts w:ascii="Times New Roman"/>
          <w:b w:val="false"/>
          <w:i w:val="false"/>
          <w:color w:val="000000"/>
          <w:sz w:val="28"/>
        </w:rPr>
        <w:t>
      Требуется изменение походов в управлении агломерациями. Необходимо четкое разделение функций и специализации между центрами и его пригородными зонами, это позволит синхронно развивать все зоны агломерации. В целях оценки социально-экономического развития агломераций и принятия управленческих решений необходимо организовать статистический учет по агломерациям. Одним из ключевых параметров будущего развития будет улучшение экологического состояния агломераций.</w:t>
      </w:r>
    </w:p>
    <w:bookmarkEnd w:id="555"/>
    <w:bookmarkStart w:name="z562" w:id="556"/>
    <w:p>
      <w:pPr>
        <w:spacing w:after="0"/>
        <w:ind w:left="0"/>
        <w:jc w:val="both"/>
      </w:pPr>
      <w:r>
        <w:rPr>
          <w:rFonts w:ascii="Times New Roman"/>
          <w:b w:val="false"/>
          <w:i w:val="false"/>
          <w:color w:val="000000"/>
          <w:sz w:val="28"/>
        </w:rPr>
        <w:t>
      Стратегические цели по развитию агломераций на предстоящее десятилетие будут направлены на дальнейшую концентрацию в них населения за счет миграционного прироста, их позиционирования, как центров инноваций и компетенций, улучшение экологии (снижение вредных выбросов, расширение "зеленых" зон), повышение качества базовой и "мягкой" инфраструктуры.</w:t>
      </w:r>
    </w:p>
    <w:bookmarkEnd w:id="556"/>
    <w:bookmarkStart w:name="z563" w:id="557"/>
    <w:p>
      <w:pPr>
        <w:spacing w:after="0"/>
        <w:ind w:left="0"/>
        <w:jc w:val="both"/>
      </w:pPr>
      <w:r>
        <w:rPr>
          <w:rFonts w:ascii="Times New Roman"/>
          <w:b w:val="false"/>
          <w:i w:val="false"/>
          <w:color w:val="000000"/>
          <w:sz w:val="28"/>
        </w:rPr>
        <w:t>
      Градостроительная политика должна соответствовать дальнейшей тенденции урбанизации. Увеличение городского населения приведет к значительному увеличению энергопотребления в городах. Принимая во внимание, что здания потребляют около 50 %, всей вырабатываемой энергии, основное внимание должно быть уделено проектированию и строительству энергоэффективных, энергосберегающих зданий. Есть и другие возможности повышения устойчивости, качества и эффективности использования зданий и участков, а именно стандарты и инвестиции. Например, национальная система "Зеленая звезда" (Green Star System), разработанная Советом по экологическому строительству Австралии, является рейтинговой системой, которая помогает повысить устойчивость зданий и сообществ. Архитектурно-планировочная политика в городах должна быть ориентирована на восстановление и сохранение архитектурного наследия, в том числе памятников истории и культуры, достопримечательностей. В агломерациях есть необходимость строительства современных мусороперерабатывающих заводов (опыт Швеции).</w:t>
      </w:r>
    </w:p>
    <w:bookmarkEnd w:id="557"/>
    <w:bookmarkStart w:name="z564" w:id="558"/>
    <w:p>
      <w:pPr>
        <w:spacing w:after="0"/>
        <w:ind w:left="0"/>
        <w:jc w:val="both"/>
      </w:pPr>
      <w:r>
        <w:rPr>
          <w:rFonts w:ascii="Times New Roman"/>
          <w:b w:val="false"/>
          <w:i w:val="false"/>
          <w:color w:val="000000"/>
          <w:sz w:val="28"/>
        </w:rPr>
        <w:t>
      Столичная агломерация. Центр агломерации, город Нур-Султан, в перспективе будет позиционироваться, как открытый глобальный город, привлекательный для талантов, с развитой постиндустриальной экономикой.</w:t>
      </w:r>
    </w:p>
    <w:bookmarkEnd w:id="558"/>
    <w:bookmarkStart w:name="z565" w:id="559"/>
    <w:p>
      <w:pPr>
        <w:spacing w:after="0"/>
        <w:ind w:left="0"/>
        <w:jc w:val="both"/>
      </w:pPr>
      <w:r>
        <w:rPr>
          <w:rFonts w:ascii="Times New Roman"/>
          <w:b w:val="false"/>
          <w:i w:val="false"/>
          <w:color w:val="000000"/>
          <w:sz w:val="28"/>
        </w:rPr>
        <w:t>
      В агломерации развитие получат креативные индустрии, инновации, сфера высокотехнологичных товаров и услуг, ориентированных на экспорт. Производство товаров переместится в пригородные зоны, тем самым обеспечивая рабочие места и доходы в периферийной зоне.</w:t>
      </w:r>
    </w:p>
    <w:bookmarkEnd w:id="559"/>
    <w:bookmarkStart w:name="z566" w:id="560"/>
    <w:p>
      <w:pPr>
        <w:spacing w:after="0"/>
        <w:ind w:left="0"/>
        <w:jc w:val="both"/>
      </w:pPr>
      <w:r>
        <w:rPr>
          <w:rFonts w:ascii="Times New Roman"/>
          <w:b w:val="false"/>
          <w:i w:val="false"/>
          <w:color w:val="000000"/>
          <w:sz w:val="28"/>
        </w:rPr>
        <w:t>
      Формирование интегрированной транспортной инфраструктуры за счет создания систем Скоростного автобусного транспорта (далее - CAT) и Легкорельсового транспорта (далее - ЛРТ) разгрузит улицы центра агломерации и повысит мобильность населения.</w:t>
      </w:r>
    </w:p>
    <w:bookmarkEnd w:id="560"/>
    <w:bookmarkStart w:name="z567" w:id="561"/>
    <w:p>
      <w:pPr>
        <w:spacing w:after="0"/>
        <w:ind w:left="0"/>
        <w:jc w:val="both"/>
      </w:pPr>
      <w:r>
        <w:rPr>
          <w:rFonts w:ascii="Times New Roman"/>
          <w:b w:val="false"/>
          <w:i w:val="false"/>
          <w:color w:val="000000"/>
          <w:sz w:val="28"/>
        </w:rPr>
        <w:t>
      В этой связи, развитие социальной, инженерной, транспортной инфраструктуры в пределах столичной агломерации должно осуществляться с опережением темпов роста численности населения.</w:t>
      </w:r>
    </w:p>
    <w:bookmarkEnd w:id="561"/>
    <w:bookmarkStart w:name="z568" w:id="562"/>
    <w:p>
      <w:pPr>
        <w:spacing w:after="0"/>
        <w:ind w:left="0"/>
        <w:jc w:val="both"/>
      </w:pPr>
      <w:r>
        <w:rPr>
          <w:rFonts w:ascii="Times New Roman"/>
          <w:b w:val="false"/>
          <w:i w:val="false"/>
          <w:color w:val="000000"/>
          <w:sz w:val="28"/>
        </w:rPr>
        <w:t>
      В рамках развития "зеленой экономики" имеются возможности установки ветростанций и солнечных фотоэлементов.</w:t>
      </w:r>
    </w:p>
    <w:bookmarkEnd w:id="562"/>
    <w:bookmarkStart w:name="z569" w:id="563"/>
    <w:p>
      <w:pPr>
        <w:spacing w:after="0"/>
        <w:ind w:left="0"/>
        <w:jc w:val="both"/>
      </w:pPr>
      <w:r>
        <w:rPr>
          <w:rFonts w:ascii="Times New Roman"/>
          <w:b w:val="false"/>
          <w:i w:val="false"/>
          <w:color w:val="000000"/>
          <w:sz w:val="28"/>
        </w:rPr>
        <w:t>
      Алматинская агломерация. Город Алматы станет катализатором инноваций, извлекая выгоду из своей включенности в глобальные цепочки добавленной стоимости, а также высокой концентрации специализированных научно-исследовательских институтов, международных компаний и провайдеров.</w:t>
      </w:r>
    </w:p>
    <w:bookmarkEnd w:id="563"/>
    <w:bookmarkStart w:name="z570" w:id="564"/>
    <w:p>
      <w:pPr>
        <w:spacing w:after="0"/>
        <w:ind w:left="0"/>
        <w:jc w:val="both"/>
      </w:pPr>
      <w:r>
        <w:rPr>
          <w:rFonts w:ascii="Times New Roman"/>
          <w:b w:val="false"/>
          <w:i w:val="false"/>
          <w:color w:val="000000"/>
          <w:sz w:val="28"/>
        </w:rPr>
        <w:t>
      Являясь центром дистрибуции, Алматы будет реализовывать функции хаба для всего Казахстана. Усилению роли города, как хаба Южного региона, будет способствовать реализация инициативы "Пояса и пути".</w:t>
      </w:r>
    </w:p>
    <w:bookmarkEnd w:id="564"/>
    <w:bookmarkStart w:name="z571" w:id="565"/>
    <w:p>
      <w:pPr>
        <w:spacing w:after="0"/>
        <w:ind w:left="0"/>
        <w:jc w:val="both"/>
      </w:pPr>
      <w:r>
        <w:rPr>
          <w:rFonts w:ascii="Times New Roman"/>
          <w:b w:val="false"/>
          <w:i w:val="false"/>
          <w:color w:val="000000"/>
          <w:sz w:val="28"/>
        </w:rPr>
        <w:t>
      В перспективе необходимо принять меры по экономическому укреплению городов-спутников</w:t>
      </w:r>
      <w:r>
        <w:rPr>
          <w:rFonts w:ascii="Times New Roman"/>
          <w:b w:val="false"/>
          <w:i w:val="false"/>
          <w:color w:val="000000"/>
          <w:vertAlign w:val="superscript"/>
        </w:rPr>
        <w:t>25</w:t>
      </w:r>
      <w:r>
        <w:rPr>
          <w:rFonts w:ascii="Times New Roman"/>
          <w:b w:val="false"/>
          <w:i w:val="false"/>
          <w:color w:val="000000"/>
          <w:sz w:val="28"/>
        </w:rPr>
        <w:t xml:space="preserve"> Алматы (Каскелен, Талгар, Есик), а также - города Капшагай, поселков Узынагаш и Шелек. Продолжится реализация проекта "GateCity</w:t>
      </w:r>
      <w:r>
        <w:rPr>
          <w:rFonts w:ascii="Times New Roman"/>
          <w:b w:val="false"/>
          <w:i w:val="false"/>
          <w:color w:val="000000"/>
          <w:vertAlign w:val="superscript"/>
        </w:rPr>
        <w:t>26</w:t>
      </w:r>
      <w:r>
        <w:rPr>
          <w:rFonts w:ascii="Times New Roman"/>
          <w:b w:val="false"/>
          <w:i w:val="false"/>
          <w:color w:val="000000"/>
          <w:sz w:val="28"/>
        </w:rPr>
        <w:t>", как города-спутника Алматы. Это будет способствовать более равномерному развитию периферийной зоны агломерации и избежать чрезмерной загруженности центра агломерации. Приоритетом экономического развития агломерации должна стать инновационно-ориентированная экономика с акцентом на экспорт. В перспективе центр Алматинской агломерации будет позиционироваться, как финансовый и деловой центр регионального и международного значения, туристских услуг, науки и инноваций, логистики и дистрибуции.</w:t>
      </w:r>
    </w:p>
    <w:bookmarkEnd w:id="565"/>
    <w:bookmarkStart w:name="z572" w:id="566"/>
    <w:p>
      <w:pPr>
        <w:spacing w:after="0"/>
        <w:ind w:left="0"/>
        <w:jc w:val="both"/>
      </w:pPr>
      <w:r>
        <w:rPr>
          <w:rFonts w:ascii="Times New Roman"/>
          <w:b w:val="false"/>
          <w:i w:val="false"/>
          <w:color w:val="000000"/>
          <w:sz w:val="28"/>
        </w:rPr>
        <w:t>
      _________________________________________________________________</w:t>
      </w:r>
    </w:p>
    <w:bookmarkEnd w:id="566"/>
    <w:bookmarkStart w:name="z573" w:id="5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Город-спутник - это город или поселок городского типа, развивающийся близ более крупного города и тяготеющий к нему как к центру в производственном, хозяйственном и культурно-бытовом отношении.</w:t>
      </w:r>
    </w:p>
    <w:bookmarkEnd w:id="567"/>
    <w:bookmarkStart w:name="z574" w:id="5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Один из городов проекта G-4 City</w:t>
      </w:r>
    </w:p>
    <w:bookmarkEnd w:id="568"/>
    <w:bookmarkStart w:name="z575" w:id="569"/>
    <w:p>
      <w:pPr>
        <w:spacing w:after="0"/>
        <w:ind w:left="0"/>
        <w:jc w:val="both"/>
      </w:pPr>
      <w:r>
        <w:rPr>
          <w:rFonts w:ascii="Times New Roman"/>
          <w:b w:val="false"/>
          <w:i w:val="false"/>
          <w:color w:val="000000"/>
          <w:sz w:val="28"/>
        </w:rPr>
        <w:t>
      Для улучшения транспортной связности в агломерации необходимо ускорить формирование CAT и ЛPT, интегрированных с другими видами транспорта.</w:t>
      </w:r>
    </w:p>
    <w:bookmarkEnd w:id="569"/>
    <w:bookmarkStart w:name="z576" w:id="570"/>
    <w:p>
      <w:pPr>
        <w:spacing w:after="0"/>
        <w:ind w:left="0"/>
        <w:jc w:val="both"/>
      </w:pPr>
      <w:r>
        <w:rPr>
          <w:rFonts w:ascii="Times New Roman"/>
          <w:b w:val="false"/>
          <w:i w:val="false"/>
          <w:color w:val="000000"/>
          <w:sz w:val="28"/>
        </w:rPr>
        <w:t>
      Необходимо принять меры по переводу на газ автомобилей и общественного транспорта, расширять сеть заправок для электромобилей.</w:t>
      </w:r>
    </w:p>
    <w:bookmarkEnd w:id="570"/>
    <w:bookmarkStart w:name="z577" w:id="571"/>
    <w:p>
      <w:pPr>
        <w:spacing w:after="0"/>
        <w:ind w:left="0"/>
        <w:jc w:val="both"/>
      </w:pPr>
      <w:r>
        <w:rPr>
          <w:rFonts w:ascii="Times New Roman"/>
          <w:b w:val="false"/>
          <w:i w:val="false"/>
          <w:color w:val="000000"/>
          <w:sz w:val="28"/>
        </w:rPr>
        <w:t>
      В целях улучшения экологической ситуации необходимо реализовать следующие меры: вынос "грязных" производств за черту города, создание новых парков и рекреационных зон, вовлечение в хозяйственный оборот вторичных ресурсов коммунальных отходов за счет переработки ТБО.</w:t>
      </w:r>
    </w:p>
    <w:bookmarkEnd w:id="571"/>
    <w:bookmarkStart w:name="z578" w:id="572"/>
    <w:p>
      <w:pPr>
        <w:spacing w:after="0"/>
        <w:ind w:left="0"/>
        <w:jc w:val="both"/>
      </w:pPr>
      <w:r>
        <w:rPr>
          <w:rFonts w:ascii="Times New Roman"/>
          <w:b w:val="false"/>
          <w:i w:val="false"/>
          <w:color w:val="000000"/>
          <w:sz w:val="28"/>
        </w:rPr>
        <w:t>
      Для города необходимо разработать план мероприятий по управлению климатическими и географическими рисками.</w:t>
      </w:r>
    </w:p>
    <w:bookmarkEnd w:id="572"/>
    <w:bookmarkStart w:name="z579" w:id="573"/>
    <w:p>
      <w:pPr>
        <w:spacing w:after="0"/>
        <w:ind w:left="0"/>
        <w:jc w:val="both"/>
      </w:pPr>
      <w:r>
        <w:rPr>
          <w:rFonts w:ascii="Times New Roman"/>
          <w:b w:val="false"/>
          <w:i w:val="false"/>
          <w:color w:val="000000"/>
          <w:sz w:val="28"/>
        </w:rPr>
        <w:t>
      Шымкентская агломерация. Шымкентская агломерация станет транспортно-логистическим хабом, Южными воротами страны, эффективно использующим свое транзитное преимущество, с развитой сферой услуг, науки и инноваций, торговли и перерабатывающего сектора, в том числе в сельском хозяйстве. Экономическая политика агломерации в перспективе должна быть направлена на обеспечение устойчивости экономики. Для полноценного развития в качестве центра агломерации необходимо развитие сектора услуг в сферах финансов, страхования, телекоммуникаций, туризма, досуга и другие.</w:t>
      </w:r>
    </w:p>
    <w:bookmarkEnd w:id="573"/>
    <w:bookmarkStart w:name="z580" w:id="574"/>
    <w:p>
      <w:pPr>
        <w:spacing w:after="0"/>
        <w:ind w:left="0"/>
        <w:jc w:val="both"/>
      </w:pPr>
      <w:r>
        <w:rPr>
          <w:rFonts w:ascii="Times New Roman"/>
          <w:b w:val="false"/>
          <w:i w:val="false"/>
          <w:color w:val="000000"/>
          <w:sz w:val="28"/>
        </w:rPr>
        <w:t>
      Для повышения своей конкурентоспособности в перспективе перед агломерацией встанет вопрос о необходимости развития направлений "Индустрии 4.0". Применение технологий "BigData" повысит эффективность функционирования городского хозяйства.</w:t>
      </w:r>
    </w:p>
    <w:bookmarkEnd w:id="574"/>
    <w:bookmarkStart w:name="z581" w:id="575"/>
    <w:p>
      <w:pPr>
        <w:spacing w:after="0"/>
        <w:ind w:left="0"/>
        <w:jc w:val="both"/>
      </w:pPr>
      <w:r>
        <w:rPr>
          <w:rFonts w:ascii="Times New Roman"/>
          <w:b w:val="false"/>
          <w:i w:val="false"/>
          <w:color w:val="000000"/>
          <w:sz w:val="28"/>
        </w:rPr>
        <w:t>
      В центре агломерации необходимо решить проблемы низкой обеспеченности врачами и средними медицинскими работниками, дефицита мест в дошкольных учреждениях и школах.</w:t>
      </w:r>
    </w:p>
    <w:bookmarkEnd w:id="575"/>
    <w:bookmarkStart w:name="z582" w:id="576"/>
    <w:p>
      <w:pPr>
        <w:spacing w:after="0"/>
        <w:ind w:left="0"/>
        <w:jc w:val="both"/>
      </w:pPr>
      <w:r>
        <w:rPr>
          <w:rFonts w:ascii="Times New Roman"/>
          <w:b w:val="false"/>
          <w:i w:val="false"/>
          <w:color w:val="000000"/>
          <w:sz w:val="28"/>
        </w:rPr>
        <w:t>
      Необходимо проведение планомерной градостроительной политики на принципах компактности города и полного охвата инженерно-коммуникационной инфраструктурой.</w:t>
      </w:r>
    </w:p>
    <w:bookmarkEnd w:id="576"/>
    <w:bookmarkStart w:name="z583" w:id="577"/>
    <w:p>
      <w:pPr>
        <w:spacing w:after="0"/>
        <w:ind w:left="0"/>
        <w:jc w:val="both"/>
      </w:pPr>
      <w:r>
        <w:rPr>
          <w:rFonts w:ascii="Times New Roman"/>
          <w:b w:val="false"/>
          <w:i w:val="false"/>
          <w:color w:val="000000"/>
          <w:sz w:val="28"/>
        </w:rPr>
        <w:t>
      С ростом численности населения центра агломерации будут приняты меры по повышению пропускной способности городских дорог, в том числе строительству развязок, объездных дорог, железнодорожного и автовокзала. В перспективе с учетом направлений маятниковой миграции целесообразно рассмотреть строительство систем CAT и ЛPT.</w:t>
      </w:r>
    </w:p>
    <w:bookmarkEnd w:id="577"/>
    <w:bookmarkStart w:name="z584" w:id="578"/>
    <w:p>
      <w:pPr>
        <w:spacing w:after="0"/>
        <w:ind w:left="0"/>
        <w:jc w:val="both"/>
      </w:pPr>
      <w:r>
        <w:rPr>
          <w:rFonts w:ascii="Times New Roman"/>
          <w:b w:val="false"/>
          <w:i w:val="false"/>
          <w:color w:val="000000"/>
          <w:sz w:val="28"/>
        </w:rPr>
        <w:t>
      Актюбинская агломерация. Центр агломерации, город Актобе, станет городом-хабом на территории Западного Казахстана. В настоящее время в мире усиливается влияние трендов Четвертой промышленной революции и внедрение практик "Индустрии 4.0". Для Актобе, как промышленного города в первую очередь наиболее значимыми окажутся технологии автоматизации рутинных процессов, распределенных реестров данных и ЗD-печати.</w:t>
      </w:r>
    </w:p>
    <w:bookmarkEnd w:id="578"/>
    <w:bookmarkStart w:name="z585" w:id="579"/>
    <w:p>
      <w:pPr>
        <w:spacing w:after="0"/>
        <w:ind w:left="0"/>
        <w:jc w:val="both"/>
      </w:pPr>
      <w:r>
        <w:rPr>
          <w:rFonts w:ascii="Times New Roman"/>
          <w:b w:val="false"/>
          <w:i w:val="false"/>
          <w:color w:val="000000"/>
          <w:sz w:val="28"/>
        </w:rPr>
        <w:t>
      Агломерации необходимо извлечь выгоды из своего географического положения. Реализация инициативы "Пояса и пути", а также формирование нового экономического коридора "Север-Юг"27 будут способствовать усилению роли города Актобе, как центра роста и крупного транспортного узла западного Казахстана.</w:t>
      </w:r>
    </w:p>
    <w:bookmarkEnd w:id="579"/>
    <w:bookmarkStart w:name="z586" w:id="580"/>
    <w:p>
      <w:pPr>
        <w:spacing w:after="0"/>
        <w:ind w:left="0"/>
        <w:jc w:val="both"/>
      </w:pPr>
      <w:r>
        <w:rPr>
          <w:rFonts w:ascii="Times New Roman"/>
          <w:b w:val="false"/>
          <w:i w:val="false"/>
          <w:color w:val="000000"/>
          <w:sz w:val="28"/>
        </w:rPr>
        <w:t>
      Перспективное развитие агломерации будет основываться на реализации крупных и системных проектов на основе кластерного подхода, в таких приоритетных отраслях как сфера услуг, транспорт и логистика, химическая промышленность, энергетика, строительство, переработка сельскохозяйственной продукции.</w:t>
      </w:r>
    </w:p>
    <w:bookmarkEnd w:id="580"/>
    <w:bookmarkStart w:name="z587" w:id="581"/>
    <w:p>
      <w:pPr>
        <w:spacing w:after="0"/>
        <w:ind w:left="0"/>
        <w:jc w:val="both"/>
      </w:pPr>
      <w:r>
        <w:rPr>
          <w:rFonts w:ascii="Times New Roman"/>
          <w:b w:val="false"/>
          <w:i w:val="false"/>
          <w:color w:val="000000"/>
          <w:sz w:val="28"/>
        </w:rPr>
        <w:t>
      Увеличение численности населения в агломерации может быть достигнуто за счет миграционного прироста, прежде всего из других областей западного региона, что особенно актуально ввиду прогнозируемого снижения добычи нефти и высвобождения трудовых ресурсов.</w:t>
      </w:r>
    </w:p>
    <w:bookmarkEnd w:id="581"/>
    <w:bookmarkStart w:name="z588" w:id="582"/>
    <w:p>
      <w:pPr>
        <w:spacing w:after="0"/>
        <w:ind w:left="0"/>
        <w:jc w:val="both"/>
      </w:pPr>
      <w:r>
        <w:rPr>
          <w:rFonts w:ascii="Times New Roman"/>
          <w:b w:val="false"/>
          <w:i w:val="false"/>
          <w:color w:val="000000"/>
          <w:sz w:val="28"/>
        </w:rPr>
        <w:t>
      Регион имеет транспортные связи со всеми центрами экономического роста. Укрепление межрегиональной связности будет обеспечено за счет реконструкции и повышения категорий существующих автомобильных дорог республиканского значения. Необходимо завершение реализации таких крупных проектов, как "Центр - Запад", "Актобе-Атырау-Астрахань", "Актобе- Хромтау-Карабутак-Улгайсын", которые позволят улучшить транспортно-транзитный потенциал всей Актюбинской области.</w:t>
      </w:r>
    </w:p>
    <w:bookmarkEnd w:id="582"/>
    <w:bookmarkStart w:name="z589" w:id="583"/>
    <w:p>
      <w:pPr>
        <w:spacing w:after="0"/>
        <w:ind w:left="0"/>
        <w:jc w:val="both"/>
      </w:pPr>
      <w:r>
        <w:rPr>
          <w:rFonts w:ascii="Times New Roman"/>
          <w:b w:val="false"/>
          <w:i w:val="false"/>
          <w:color w:val="000000"/>
          <w:sz w:val="28"/>
        </w:rPr>
        <w:t>
      В целях обеспечения перспективной потребности отраслей экономики и населения агломерации энергетическими ресурсами необходимо строительство 3-ей нитки газопровода-отвода от "Бухара-Урал" в город Актобе.</w:t>
      </w:r>
    </w:p>
    <w:bookmarkEnd w:id="583"/>
    <w:bookmarkStart w:name="z590" w:id="584"/>
    <w:p>
      <w:pPr>
        <w:spacing w:after="0"/>
        <w:ind w:left="0"/>
        <w:jc w:val="both"/>
      </w:pPr>
      <w:r>
        <w:rPr>
          <w:rFonts w:ascii="Times New Roman"/>
          <w:b w:val="false"/>
          <w:i w:val="false"/>
          <w:color w:val="000000"/>
          <w:sz w:val="28"/>
        </w:rPr>
        <w:t>
      В городе Актобе необходима реализация концепции "Smart City" с внедрением цифровых технологий во все сферы жизнедеятельности населения.</w:t>
      </w:r>
    </w:p>
    <w:bookmarkEnd w:id="584"/>
    <w:bookmarkStart w:name="z591" w:id="585"/>
    <w:p>
      <w:pPr>
        <w:spacing w:after="0"/>
        <w:ind w:left="0"/>
        <w:jc w:val="both"/>
      </w:pPr>
      <w:r>
        <w:rPr>
          <w:rFonts w:ascii="Times New Roman"/>
          <w:b w:val="false"/>
          <w:i w:val="false"/>
          <w:color w:val="000000"/>
          <w:sz w:val="28"/>
        </w:rPr>
        <w:t>
      Требуется внедрение новых подходов в городском планировании, предусматривающих эффективное освоение городского пространства за счет уплотнения застройки. Необходимы системные меры по охвату города и прилегающих территорий очистной и улавливающей инфраструктурой, объектами утилизации промышленных отходов с применением "зеленых" технологий. Необходимо активно использовать механизмы ГЧП.</w:t>
      </w:r>
    </w:p>
    <w:bookmarkEnd w:id="585"/>
    <w:bookmarkStart w:name="z592" w:id="586"/>
    <w:p>
      <w:pPr>
        <w:spacing w:after="0"/>
        <w:ind w:left="0"/>
        <w:jc w:val="both"/>
      </w:pPr>
      <w:r>
        <w:rPr>
          <w:rFonts w:ascii="Times New Roman"/>
          <w:b w:val="false"/>
          <w:i w:val="false"/>
          <w:color w:val="000000"/>
          <w:sz w:val="28"/>
        </w:rPr>
        <w:t>
      Для реализации конкурентных преимуществ Актюбинской агломерации необходимо выработать инструменты для привлечения дополнительных бюджетных и внебюджетных ресурсов. Для агломерации важно обеспечение синхронного развития окраин города Актобе вместе с центром. В целях диверсификации экономики агломерации необходимо также уделить особое внимание развитию специальных экономических зон и индустриальных зон, центров коммерциализации технологий для придания дополнительного импульса развитию инноваций.</w:t>
      </w:r>
    </w:p>
    <w:bookmarkEnd w:id="586"/>
    <w:bookmarkStart w:name="z593" w:id="587"/>
    <w:p>
      <w:pPr>
        <w:spacing w:after="0"/>
        <w:ind w:left="0"/>
        <w:jc w:val="both"/>
      </w:pPr>
      <w:r>
        <w:rPr>
          <w:rFonts w:ascii="Times New Roman"/>
          <w:b w:val="false"/>
          <w:i w:val="false"/>
          <w:color w:val="000000"/>
          <w:sz w:val="28"/>
        </w:rPr>
        <w:t>
      К 2030 году требуется реализация мер по улучшению экологического состояния территорий всех четырех агломераций, в том числе ликвидация загрязнения водных ресурсов и земель производственными отходами и ТБО, обеспечение инфраструктуры по раздельному сбору и переработке ТБО во всех районных центрах, входящих в агломерации. Также местным исполнительным органам необходимо на постоянной основе осуществлять санитарную очистку территорий для улучшения состояния окружающей среды с применением результатов космического мониторинга мест размещения отходов.</w:t>
      </w:r>
    </w:p>
    <w:bookmarkEnd w:id="587"/>
    <w:bookmarkStart w:name="z594" w:id="588"/>
    <w:p>
      <w:pPr>
        <w:spacing w:after="0"/>
        <w:ind w:left="0"/>
        <w:jc w:val="both"/>
      </w:pPr>
      <w:r>
        <w:rPr>
          <w:rFonts w:ascii="Times New Roman"/>
          <w:b w:val="false"/>
          <w:i w:val="false"/>
          <w:color w:val="000000"/>
          <w:sz w:val="28"/>
        </w:rPr>
        <w:t>
      _________________________________________________________________</w:t>
      </w:r>
    </w:p>
    <w:bookmarkEnd w:id="588"/>
    <w:bookmarkStart w:name="z595" w:id="5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Соглашение о международном транспортном коридоре "Север-Юг" было подписано Россией, Индией и Ираном, позже, к соглашению присоединились Белоруссия, Казахстан, Оман, Таджикистан, Азербайджан, Армения, Сирия, Болгария, Киргизия, Турция и Украина.</w:t>
      </w:r>
    </w:p>
    <w:bookmarkEnd w:id="589"/>
    <w:bookmarkStart w:name="z596" w:id="59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Формирование ФГР</w:t>
      </w:r>
    </w:p>
    <w:bookmarkEnd w:id="590"/>
    <w:bookmarkStart w:name="z597" w:id="591"/>
    <w:p>
      <w:pPr>
        <w:spacing w:after="0"/>
        <w:ind w:left="0"/>
        <w:jc w:val="both"/>
      </w:pPr>
      <w:r>
        <w:rPr>
          <w:rFonts w:ascii="Times New Roman"/>
          <w:b w:val="false"/>
          <w:i w:val="false"/>
          <w:color w:val="000000"/>
          <w:sz w:val="28"/>
        </w:rPr>
        <w:t>
      Политика развития ФГР до 2030 года будет базироваться на основе учета основных факторов, влияющих на региональное развитие:      миграция, управляемая урбанизация, цифровизация, "Smart City", инклюзивное развитие.</w:t>
      </w:r>
    </w:p>
    <w:bookmarkEnd w:id="591"/>
    <w:bookmarkStart w:name="z598" w:id="592"/>
    <w:p>
      <w:pPr>
        <w:spacing w:after="0"/>
        <w:ind w:left="0"/>
        <w:jc w:val="both"/>
      </w:pPr>
      <w:r>
        <w:rPr>
          <w:rFonts w:ascii="Times New Roman"/>
          <w:b w:val="false"/>
          <w:i w:val="false"/>
          <w:color w:val="000000"/>
          <w:sz w:val="28"/>
        </w:rPr>
        <w:t>
      Формирование ФГР вокруг областных центров и прилегающих к ним пригородных зон, имеющих с городами социально-экономические связи, будет осуществляться по принципу "люди к инфраструктуре".</w:t>
      </w:r>
    </w:p>
    <w:bookmarkEnd w:id="592"/>
    <w:bookmarkStart w:name="z599" w:id="593"/>
    <w:p>
      <w:pPr>
        <w:spacing w:after="0"/>
        <w:ind w:left="0"/>
        <w:jc w:val="both"/>
      </w:pPr>
      <w:r>
        <w:rPr>
          <w:rFonts w:ascii="Times New Roman"/>
          <w:b w:val="false"/>
          <w:i w:val="false"/>
          <w:color w:val="000000"/>
          <w:sz w:val="28"/>
        </w:rPr>
        <w:t>
      Необходимо принятие мер по обеспечению безопасности проживания в ФГР: обязательное освещение улиц, дворов, пешеходных дорожек и установка камер видеонаблюдения в общеобразовательных, медицинских, культурных и спортивных организациях. Внедрение технологии "Smart City" в управлении инфраструктурой городов позволит повысить комфорт и безопасность проживания населения, а также приведет к рациональному использованию городских ресурсов</w:t>
      </w:r>
    </w:p>
    <w:bookmarkEnd w:id="593"/>
    <w:bookmarkStart w:name="z600" w:id="594"/>
    <w:p>
      <w:pPr>
        <w:spacing w:after="0"/>
        <w:ind w:left="0"/>
        <w:jc w:val="both"/>
      </w:pPr>
      <w:r>
        <w:rPr>
          <w:rFonts w:ascii="Times New Roman"/>
          <w:b w:val="false"/>
          <w:i w:val="false"/>
          <w:color w:val="000000"/>
          <w:sz w:val="28"/>
        </w:rPr>
        <w:t>
      К 2030 году ожидается увеличение уровня урбанизации до 65 %. Наиболее урбанизированными регионами будут Карагандинская область (85,4 %), Павлодарская область (78,3 %), Актюбинская область (75,7 %).</w:t>
      </w:r>
    </w:p>
    <w:bookmarkEnd w:id="594"/>
    <w:bookmarkStart w:name="z601" w:id="595"/>
    <w:p>
      <w:pPr>
        <w:spacing w:after="0"/>
        <w:ind w:left="0"/>
        <w:jc w:val="both"/>
      </w:pPr>
      <w:r>
        <w:rPr>
          <w:rFonts w:ascii="Times New Roman"/>
          <w:b w:val="false"/>
          <w:i w:val="false"/>
          <w:color w:val="000000"/>
          <w:sz w:val="28"/>
        </w:rPr>
        <w:t>
      В центрах ФГР необходимо организовать деятельность филиалов ведущих национальных университетов для обеспечения развития человеческого капитала, обучения востребованным специальностям, преимущественно технологической направленности, а также модернизации научно-образовательной инфраструктуры. Центры ФГР должны стать точками притяжения молодых и креативных талантов.</w:t>
      </w:r>
    </w:p>
    <w:bookmarkEnd w:id="595"/>
    <w:bookmarkStart w:name="z602" w:id="596"/>
    <w:p>
      <w:pPr>
        <w:spacing w:after="0"/>
        <w:ind w:left="0"/>
        <w:jc w:val="both"/>
      </w:pPr>
      <w:r>
        <w:rPr>
          <w:rFonts w:ascii="Times New Roman"/>
          <w:b w:val="false"/>
          <w:i w:val="false"/>
          <w:color w:val="000000"/>
          <w:sz w:val="28"/>
        </w:rPr>
        <w:t>
      С целью повышения качества здравоохранения необходимо открыть филиалы ведущих республиканских клиник в центрах ФГР. Для повышения индекса экономической сложности необходимо восстановить научно- технический потенциал в сфере обрабатывающей промышленности.</w:t>
      </w:r>
    </w:p>
    <w:bookmarkEnd w:id="596"/>
    <w:bookmarkStart w:name="z603" w:id="597"/>
    <w:p>
      <w:pPr>
        <w:spacing w:after="0"/>
        <w:ind w:left="0"/>
        <w:jc w:val="both"/>
      </w:pPr>
      <w:r>
        <w:rPr>
          <w:rFonts w:ascii="Times New Roman"/>
          <w:b w:val="false"/>
          <w:i w:val="false"/>
          <w:color w:val="000000"/>
          <w:sz w:val="28"/>
        </w:rPr>
        <w:t>
      Необходимо содействовать бизнес-инициативам по развитию "экономики простых вещей", стимулировать рост инвестиций в основной капитал МСБ.</w:t>
      </w:r>
    </w:p>
    <w:bookmarkEnd w:id="597"/>
    <w:bookmarkStart w:name="z604" w:id="598"/>
    <w:p>
      <w:pPr>
        <w:spacing w:after="0"/>
        <w:ind w:left="0"/>
        <w:jc w:val="both"/>
      </w:pPr>
      <w:r>
        <w:rPr>
          <w:rFonts w:ascii="Times New Roman"/>
          <w:b w:val="false"/>
          <w:i w:val="false"/>
          <w:color w:val="000000"/>
          <w:sz w:val="28"/>
        </w:rPr>
        <w:t>
      В целях развития предпринимательства необходимо увеличить объемы выделяемых средств на поддержку МСБ из местного бюджета.</w:t>
      </w:r>
    </w:p>
    <w:bookmarkEnd w:id="598"/>
    <w:bookmarkStart w:name="z605" w:id="599"/>
    <w:p>
      <w:pPr>
        <w:spacing w:after="0"/>
        <w:ind w:left="0"/>
        <w:jc w:val="both"/>
      </w:pPr>
      <w:r>
        <w:rPr>
          <w:rFonts w:ascii="Times New Roman"/>
          <w:b w:val="false"/>
          <w:i w:val="false"/>
          <w:color w:val="000000"/>
          <w:sz w:val="28"/>
        </w:rPr>
        <w:t>
      Необходимо не допустить разрастание площади городов центров ФГР, а повышать плотность расселения с целью стимулирования агломерационного эффекта.</w:t>
      </w:r>
    </w:p>
    <w:bookmarkEnd w:id="599"/>
    <w:bookmarkStart w:name="z606" w:id="600"/>
    <w:p>
      <w:pPr>
        <w:spacing w:after="0"/>
        <w:ind w:left="0"/>
        <w:jc w:val="both"/>
      </w:pPr>
      <w:r>
        <w:rPr>
          <w:rFonts w:ascii="Times New Roman"/>
          <w:b w:val="false"/>
          <w:i w:val="false"/>
          <w:color w:val="000000"/>
          <w:sz w:val="28"/>
        </w:rPr>
        <w:t>
      Необходимо провести модернизацию и укрепление действующих инженерно-защитных сооружений, либо предусмотреть дополнительное строительство новых защитных сооружений.</w:t>
      </w:r>
    </w:p>
    <w:bookmarkEnd w:id="600"/>
    <w:bookmarkStart w:name="z607" w:id="601"/>
    <w:p>
      <w:pPr>
        <w:spacing w:after="0"/>
        <w:ind w:left="0"/>
        <w:jc w:val="both"/>
      </w:pPr>
      <w:r>
        <w:rPr>
          <w:rFonts w:ascii="Times New Roman"/>
          <w:b w:val="false"/>
          <w:i w:val="false"/>
          <w:color w:val="000000"/>
          <w:sz w:val="28"/>
        </w:rPr>
        <w:t>
      Развитие транспортной инфраструктуры ФГР должно быть направлено на усиление логистического потенциала регионов за счет связности авто- и железных дорог, максимального использования преимуществ международных транспортных коридоров, развития транспортного узла и соответствующей инфраструктуры. Необходима поддержка развития сервисных услуг, стимулирование коопераций малых производств с крупными предприятиями. Появление новых производств позволит диверсифицировать экономику городов, а также будет способствовать развитию сферы услуг. Ожидается, что ФГР будут соединены с городами-хабами, а средние и малые города в рамках областей будут соединены с центрами ФГР. Опыт стран Организации экономического сотрудничества и развития показывает, что городская политика является важнейшим источником развития и инструментом для уменьшения неравенства.</w:t>
      </w:r>
    </w:p>
    <w:bookmarkEnd w:id="601"/>
    <w:bookmarkStart w:name="z608" w:id="602"/>
    <w:p>
      <w:pPr>
        <w:spacing w:after="0"/>
        <w:ind w:left="0"/>
        <w:jc w:val="both"/>
      </w:pPr>
      <w:r>
        <w:rPr>
          <w:rFonts w:ascii="Times New Roman"/>
          <w:b w:val="false"/>
          <w:i w:val="false"/>
          <w:color w:val="000000"/>
          <w:sz w:val="28"/>
        </w:rPr>
        <w:t>
      Необходимо осуществить модернизацию действующих канализационно-очистных сооружений, либо предусмотреть строительство новых, привить культуру раздельного сбора отходов. С целью улучшения окружающей среды предполагается увеличение объемов воспроизводства лесов и лесоразведения, создание "зеленых" зон вокруг ФГР, развитие частного лесоразведения.</w:t>
      </w:r>
    </w:p>
    <w:bookmarkEnd w:id="602"/>
    <w:bookmarkStart w:name="z609" w:id="603"/>
    <w:p>
      <w:pPr>
        <w:spacing w:after="0"/>
        <w:ind w:left="0"/>
        <w:jc w:val="both"/>
      </w:pPr>
      <w:r>
        <w:rPr>
          <w:rFonts w:ascii="Times New Roman"/>
          <w:b w:val="false"/>
          <w:i w:val="false"/>
          <w:color w:val="000000"/>
          <w:sz w:val="28"/>
        </w:rPr>
        <w:t>
      В ФГР с центром в городе Семей, а также районах, испытавших последствия деятельности Семипалатинского ядерного полигона, необходимо уделить внимание развитию сферы здравоохранения, охраны труда и социальной защиты. В целях взаимодействия населенных пунктов внутри ФГР необходимо организовать учет социально-экономических данных, отражающих деятельность ФГР.</w:t>
      </w:r>
    </w:p>
    <w:bookmarkEnd w:id="603"/>
    <w:bookmarkStart w:name="z610" w:id="604"/>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моно</w:t>
      </w:r>
      <w:r>
        <w:rPr>
          <w:rFonts w:ascii="Times New Roman"/>
          <w:b w:val="false"/>
          <w:i w:val="false"/>
          <w:color w:val="000000"/>
          <w:sz w:val="28"/>
        </w:rPr>
        <w:t xml:space="preserve"> </w:t>
      </w:r>
      <w:r>
        <w:rPr>
          <w:rFonts w:ascii="Times New Roman"/>
          <w:b/>
          <w:i w:val="false"/>
          <w:color w:val="000000"/>
          <w:sz w:val="28"/>
        </w:rPr>
        <w:t>- и малых городов</w:t>
      </w:r>
    </w:p>
    <w:bookmarkEnd w:id="604"/>
    <w:bookmarkStart w:name="z611" w:id="605"/>
    <w:p>
      <w:pPr>
        <w:spacing w:after="0"/>
        <w:ind w:left="0"/>
        <w:jc w:val="both"/>
      </w:pPr>
      <w:r>
        <w:rPr>
          <w:rFonts w:ascii="Times New Roman"/>
          <w:b w:val="false"/>
          <w:i w:val="false"/>
          <w:color w:val="000000"/>
          <w:sz w:val="28"/>
        </w:rPr>
        <w:t>
      Развитие моно- и малых городов в предстоящее десятилетие будет основываться на реализации их экономического потенциала. Особое внимание стоит уделить развитию моно- и малых городов, входящих в зону влияния агломераций и ФГР. Их перспективное развитие будет связано с их специализацией в экономической системе центров агломераций и ФГР, а также с использованием их потенциала географического месторасположения.</w:t>
      </w:r>
    </w:p>
    <w:bookmarkEnd w:id="605"/>
    <w:bookmarkStart w:name="z612" w:id="606"/>
    <w:p>
      <w:pPr>
        <w:spacing w:after="0"/>
        <w:ind w:left="0"/>
        <w:jc w:val="both"/>
      </w:pPr>
      <w:r>
        <w:rPr>
          <w:rFonts w:ascii="Times New Roman"/>
          <w:b w:val="false"/>
          <w:i w:val="false"/>
          <w:color w:val="000000"/>
          <w:sz w:val="28"/>
        </w:rPr>
        <w:t>
      В целях обеспечения базовыми услугами и благами должна быть обеспечена бесперебойная работа объектов инфраструктуры энерго, тепло и водоснабжения.</w:t>
      </w:r>
    </w:p>
    <w:bookmarkEnd w:id="606"/>
    <w:bookmarkStart w:name="z613" w:id="607"/>
    <w:p>
      <w:pPr>
        <w:spacing w:after="0"/>
        <w:ind w:left="0"/>
        <w:jc w:val="both"/>
      </w:pPr>
      <w:r>
        <w:rPr>
          <w:rFonts w:ascii="Times New Roman"/>
          <w:b w:val="false"/>
          <w:i w:val="false"/>
          <w:color w:val="000000"/>
          <w:sz w:val="28"/>
        </w:rPr>
        <w:t>
      Необходимо принять меры по повышению человеческого капитала молодежи этих населенных пунктов. Это позволит молодежи моно- и малых городов быть востребованными на рынках труда крупных городов.</w:t>
      </w:r>
    </w:p>
    <w:bookmarkEnd w:id="607"/>
    <w:bookmarkStart w:name="z614" w:id="608"/>
    <w:p>
      <w:pPr>
        <w:spacing w:after="0"/>
        <w:ind w:left="0"/>
        <w:jc w:val="both"/>
      </w:pPr>
      <w:r>
        <w:rPr>
          <w:rFonts w:ascii="Times New Roman"/>
          <w:b w:val="false"/>
          <w:i w:val="false"/>
          <w:color w:val="000000"/>
          <w:sz w:val="28"/>
        </w:rPr>
        <w:t>
      Требуется реализация мер по диверсификации экономики городов, увеличению объемов финансирования геологоразведочных работ, выявлению перспективных месторождений полезных ископаемых, находящихся вблизи моно- и малых городов.</w:t>
      </w:r>
    </w:p>
    <w:bookmarkEnd w:id="608"/>
    <w:bookmarkStart w:name="z615" w:id="609"/>
    <w:p>
      <w:pPr>
        <w:spacing w:after="0"/>
        <w:ind w:left="0"/>
        <w:jc w:val="both"/>
      </w:pPr>
      <w:r>
        <w:rPr>
          <w:rFonts w:ascii="Times New Roman"/>
          <w:b w:val="false"/>
          <w:i w:val="false"/>
          <w:color w:val="000000"/>
          <w:sz w:val="28"/>
        </w:rPr>
        <w:t>
      Развитие отдаленных моно- и малых городов будет преимущественно акцентировано на обеспечении базовых благ и услуг. Для всех моно- и малых городов актуальным остается развитие сектора МСБ, создание новых рабочих мест, не связанных с деятельностью доминирующей отрасли. Учитывая разные уровни социально-экономического развития для моно- и малых городов целесообразна выработка дифференцированного пакета мер поддержки.</w:t>
      </w:r>
    </w:p>
    <w:bookmarkEnd w:id="609"/>
    <w:bookmarkStart w:name="z616" w:id="610"/>
    <w:p>
      <w:pPr>
        <w:spacing w:after="0"/>
        <w:ind w:left="0"/>
        <w:jc w:val="both"/>
      </w:pPr>
      <w:r>
        <w:rPr>
          <w:rFonts w:ascii="Times New Roman"/>
          <w:b w:val="false"/>
          <w:i w:val="false"/>
          <w:color w:val="000000"/>
          <w:sz w:val="28"/>
        </w:rPr>
        <w:t>
      В целом дифференцированный пакет мер для городов в зависимости от их потенциала социально-экономического развития должен быть направлен на:</w:t>
      </w:r>
    </w:p>
    <w:bookmarkEnd w:id="610"/>
    <w:bookmarkStart w:name="z617" w:id="611"/>
    <w:p>
      <w:pPr>
        <w:spacing w:after="0"/>
        <w:ind w:left="0"/>
        <w:jc w:val="both"/>
      </w:pPr>
      <w:r>
        <w:rPr>
          <w:rFonts w:ascii="Times New Roman"/>
          <w:b w:val="false"/>
          <w:i w:val="false"/>
          <w:color w:val="000000"/>
          <w:sz w:val="28"/>
        </w:rPr>
        <w:t>
      1) поддержку проектов в целях повышения транспортной доступности, развития дорожной сети внутри агломерационных образований для формирования (содействия) "маятниковой" трудовой миграции населения;</w:t>
      </w:r>
    </w:p>
    <w:bookmarkEnd w:id="611"/>
    <w:bookmarkStart w:name="z618" w:id="612"/>
    <w:p>
      <w:pPr>
        <w:spacing w:after="0"/>
        <w:ind w:left="0"/>
        <w:jc w:val="both"/>
      </w:pPr>
      <w:r>
        <w:rPr>
          <w:rFonts w:ascii="Times New Roman"/>
          <w:b w:val="false"/>
          <w:i w:val="false"/>
          <w:color w:val="000000"/>
          <w:sz w:val="28"/>
        </w:rPr>
        <w:t>
      2) развитие социально-рекреационной (объекты образования, здравоохранения, культуры, спорта, досуга и отдыха, парковые и развлекательные зоны) инфраструктуры;</w:t>
      </w:r>
    </w:p>
    <w:bookmarkEnd w:id="612"/>
    <w:bookmarkStart w:name="z619" w:id="613"/>
    <w:p>
      <w:pPr>
        <w:spacing w:after="0"/>
        <w:ind w:left="0"/>
        <w:jc w:val="both"/>
      </w:pPr>
      <w:r>
        <w:rPr>
          <w:rFonts w:ascii="Times New Roman"/>
          <w:b w:val="false"/>
          <w:i w:val="false"/>
          <w:color w:val="000000"/>
          <w:sz w:val="28"/>
        </w:rPr>
        <w:t>
      3) поддержку МСБ, в том числе разработка новой продукции и развитие ее производства, совершенствование управления предприятиями и повышение кадрового потенциала;</w:t>
      </w:r>
    </w:p>
    <w:bookmarkEnd w:id="613"/>
    <w:bookmarkStart w:name="z620" w:id="614"/>
    <w:p>
      <w:pPr>
        <w:spacing w:after="0"/>
        <w:ind w:left="0"/>
        <w:jc w:val="both"/>
      </w:pPr>
      <w:r>
        <w:rPr>
          <w:rFonts w:ascii="Times New Roman"/>
          <w:b w:val="false"/>
          <w:i w:val="false"/>
          <w:color w:val="000000"/>
          <w:sz w:val="28"/>
        </w:rPr>
        <w:t>
      4) диверсификацию и реструктуризацию монопрофильных предприятий за счет мер стимулирующего характера трансферта технологий;</w:t>
      </w:r>
    </w:p>
    <w:bookmarkEnd w:id="614"/>
    <w:bookmarkStart w:name="z621" w:id="615"/>
    <w:p>
      <w:pPr>
        <w:spacing w:after="0"/>
        <w:ind w:left="0"/>
        <w:jc w:val="both"/>
      </w:pPr>
      <w:r>
        <w:rPr>
          <w:rFonts w:ascii="Times New Roman"/>
          <w:b w:val="false"/>
          <w:i w:val="false"/>
          <w:color w:val="000000"/>
          <w:sz w:val="28"/>
        </w:rPr>
        <w:t>
      5) развитие малых предприятий с высоким уровнем подетальной и технологической специализации (производство узлов и деталей, строительных материалов из местного сырья, товаров народного потребления).</w:t>
      </w:r>
    </w:p>
    <w:bookmarkEnd w:id="615"/>
    <w:bookmarkStart w:name="z622" w:id="616"/>
    <w:p>
      <w:pPr>
        <w:spacing w:after="0"/>
        <w:ind w:left="0"/>
        <w:jc w:val="both"/>
      </w:pPr>
      <w:r>
        <w:rPr>
          <w:rFonts w:ascii="Times New Roman"/>
          <w:b w:val="false"/>
          <w:i w:val="false"/>
          <w:color w:val="000000"/>
          <w:sz w:val="28"/>
        </w:rPr>
        <w:t>
      Для поддержания текущей занятости населения в городах с низким социально-экономическим потенциалом необходимо принять меры по развитию малого бизнеса.</w:t>
      </w:r>
    </w:p>
    <w:bookmarkEnd w:id="616"/>
    <w:bookmarkStart w:name="z623" w:id="617"/>
    <w:p>
      <w:pPr>
        <w:spacing w:after="0"/>
        <w:ind w:left="0"/>
        <w:jc w:val="both"/>
      </w:pPr>
      <w:r>
        <w:rPr>
          <w:rFonts w:ascii="Times New Roman"/>
          <w:b w:val="false"/>
          <w:i w:val="false"/>
          <w:color w:val="000000"/>
          <w:sz w:val="28"/>
        </w:rPr>
        <w:t>
      Кроме того, ряд городов не соответствуют критерию города по численности населения. В связи с этим необходимо рассмотреть вопрос их перевода в статус СНП. К таким городам в настоящее время относятся города Жанатас, Аркалык, Сергеевка, Державинск, Степняк, Темир и Жем, которые имеют низкий социально-экономический потенциал развития. Подходы по развитию данных населенных пунктов будут пересмотрены в соответствии с региональными стандартами качества жизни. Одним из инструментов поддержки может стать содействие добровольному переселению населения в региональные центры экономического роста.</w:t>
      </w:r>
    </w:p>
    <w:bookmarkEnd w:id="617"/>
    <w:bookmarkStart w:name="z624" w:id="618"/>
    <w:p>
      <w:pPr>
        <w:spacing w:after="0"/>
        <w:ind w:left="0"/>
        <w:jc w:val="both"/>
      </w:pPr>
      <w:r>
        <w:rPr>
          <w:rFonts w:ascii="Times New Roman"/>
          <w:b w:val="false"/>
          <w:i w:val="false"/>
          <w:color w:val="000000"/>
          <w:sz w:val="28"/>
        </w:rPr>
        <w:t>
      Кроме того, изменение статуса города потребует внесения изменений в Закон Республики Казахстан "Об административно-территориальном устройстве Республики Казахстан" в части пересмотра количественных и качественных критериев отнесения населенных пунктов к городским и сельским, а также критериев определения монопрофильности городов.</w:t>
      </w:r>
    </w:p>
    <w:bookmarkEnd w:id="618"/>
    <w:bookmarkStart w:name="z625" w:id="619"/>
    <w:p>
      <w:pPr>
        <w:spacing w:after="0"/>
        <w:ind w:left="0"/>
        <w:jc w:val="both"/>
      </w:pPr>
      <w:r>
        <w:rPr>
          <w:rFonts w:ascii="Times New Roman"/>
          <w:b w:val="false"/>
          <w:i w:val="false"/>
          <w:color w:val="000000"/>
          <w:sz w:val="28"/>
        </w:rPr>
        <w:t>
      Для моно- и малых городов с численностью населения 50 тыс. человек и более, не входящих в состав ФГР, необходимо принять конкретные меры по диверсификации экономики, поскольку сокращение рабочих мест на 1-2 градообразующих предприятиях может повлечь существенное увеличение безработицы.</w:t>
      </w:r>
    </w:p>
    <w:bookmarkEnd w:id="619"/>
    <w:bookmarkStart w:name="z626" w:id="62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сельских территорий</w:t>
      </w:r>
    </w:p>
    <w:bookmarkEnd w:id="620"/>
    <w:bookmarkStart w:name="z627" w:id="621"/>
    <w:p>
      <w:pPr>
        <w:spacing w:after="0"/>
        <w:ind w:left="0"/>
        <w:jc w:val="both"/>
      </w:pPr>
      <w:r>
        <w:rPr>
          <w:rFonts w:ascii="Times New Roman"/>
          <w:b w:val="false"/>
          <w:i w:val="false"/>
          <w:color w:val="000000"/>
          <w:sz w:val="28"/>
        </w:rPr>
        <w:t>
      Политика развития сельских территорий в предстоящее десятилетие будет основываться на следующих принципах: обеспечение базовых стандартов качества жизни; стимулирование добровольного переселения; эффективность инвестиций на развитие инфраструктуры; эффективность использования земельных и водных ресурсов; экологическая безопасность.</w:t>
      </w:r>
    </w:p>
    <w:bookmarkEnd w:id="621"/>
    <w:bookmarkStart w:name="z628" w:id="622"/>
    <w:p>
      <w:pPr>
        <w:spacing w:after="0"/>
        <w:ind w:left="0"/>
        <w:jc w:val="both"/>
      </w:pPr>
      <w:r>
        <w:rPr>
          <w:rFonts w:ascii="Times New Roman"/>
          <w:b w:val="false"/>
          <w:i w:val="false"/>
          <w:color w:val="000000"/>
          <w:sz w:val="28"/>
        </w:rPr>
        <w:t>
      Развитие сельских территорий будет направлено на обеспечение региональных стандартов качества жизни за счет укрупнения сельских округов. Переподчинение и укрупнение малочисленных СНП позволит повысить качество и доступность базовых социальных и государственных услуг за счет реализации модели "люди к инфраструктуре". В этих целях предполагается развитие опорных СНП. Данные населенные пункты будут центрами оказания государственных и социальных услуг и иметь достаточно развитую социальную и инженерную инфраструктуру для обеспечения региональных стандартов качества жизни по модели "люди - к инфраструктуре".</w:t>
      </w:r>
    </w:p>
    <w:bookmarkEnd w:id="622"/>
    <w:bookmarkStart w:name="z629" w:id="623"/>
    <w:p>
      <w:pPr>
        <w:spacing w:after="0"/>
        <w:ind w:left="0"/>
        <w:jc w:val="both"/>
      </w:pPr>
      <w:r>
        <w:rPr>
          <w:rFonts w:ascii="Times New Roman"/>
          <w:b w:val="false"/>
          <w:i w:val="false"/>
          <w:color w:val="000000"/>
          <w:sz w:val="28"/>
        </w:rPr>
        <w:t>
      Определение опорных СНП в рамках проекта "Ауыл - Ел бeсiгi" предполагает их отбор в соответствии с потенциалом социально- экономического развитии. При этом, основными критериями будут являться демографические тенденции, транспортная доступность, степень удаленности от рынков сбыта и др. Дальнейшее развитие СНП необходимо рассматривать с учетом демографических тенденций. К 2030 году сельское население составит 7,8 млн. чел. Доля сельского населения будет преобладать в Туркестанской (83,5 %), Алматинской (75,8 %), а также Акмолинской (52,5 %), Жамбылской (59,3 %), Кызылординской (52,7 %), Мангистауской (63,0 %) областях.</w:t>
      </w:r>
    </w:p>
    <w:bookmarkEnd w:id="623"/>
    <w:bookmarkStart w:name="z630" w:id="624"/>
    <w:p>
      <w:pPr>
        <w:spacing w:after="0"/>
        <w:ind w:left="0"/>
        <w:jc w:val="both"/>
      </w:pPr>
      <w:r>
        <w:rPr>
          <w:rFonts w:ascii="Times New Roman"/>
          <w:b w:val="false"/>
          <w:i w:val="false"/>
          <w:color w:val="000000"/>
          <w:sz w:val="28"/>
        </w:rPr>
        <w:t>
      В перспективе прогнозируется изменение в структуре занятости в отраслевом разрезе - сократится численность занятого населения в сельском, лесном и рыбном хозяйстве и увеличится в промышленности и строительстве, а также в сфере услуг. По сравнению с 2017 годом численность занятого населения в сельском хозяйстве к 2030 году по республике снизится на 42,0 % и составит 803,4 тыс.чел. По регионам прогнозируется снижение занятого населения в сельском хозяйстве от 34 % до 54 %, наибольшее снижение произойдет в Мангистауской (54,3 %), Актюбинской (49,8 %), Костанайской (45,4 %), Алматинской (43,1 %) и Кызылординской (41,9 %) областях.</w:t>
      </w:r>
    </w:p>
    <w:bookmarkEnd w:id="624"/>
    <w:bookmarkStart w:name="z631" w:id="625"/>
    <w:p>
      <w:pPr>
        <w:spacing w:after="0"/>
        <w:ind w:left="0"/>
        <w:jc w:val="both"/>
      </w:pPr>
      <w:r>
        <w:rPr>
          <w:rFonts w:ascii="Times New Roman"/>
          <w:b w:val="false"/>
          <w:i w:val="false"/>
          <w:color w:val="000000"/>
          <w:sz w:val="28"/>
        </w:rPr>
        <w:t>
      С учетом ресурсной базы, экономического потенциала и рыночного спроса необходимо создание в сельской местности современных производств, ориентированных на замещение импортной аграрной продукции, продуктов питания и реализацию экспортного потенциала агропромышленного комплекса. Развитие данных производств будет осуществляться при соответствующей поддержке государственных органов и институтов развития. Создание сельскохозяйственных кооперативов с участием действующих сельскохозяйственных производителей позволит повысить эффективность кооперации. Важно создание условий для развития предпринимательской активности посредством повышения доступности финансовых услуг, в том числе микрокредитования, финансового лизинга.</w:t>
      </w:r>
    </w:p>
    <w:bookmarkEnd w:id="625"/>
    <w:bookmarkStart w:name="z632" w:id="626"/>
    <w:p>
      <w:pPr>
        <w:spacing w:after="0"/>
        <w:ind w:left="0"/>
        <w:jc w:val="both"/>
      </w:pPr>
      <w:r>
        <w:rPr>
          <w:rFonts w:ascii="Times New Roman"/>
          <w:b w:val="false"/>
          <w:i w:val="false"/>
          <w:color w:val="000000"/>
          <w:sz w:val="28"/>
        </w:rPr>
        <w:t>
      В целях управляемой урбанизации будут оказаны меры поддержки мобильности и миграции сельского населения, в том числе через содействие добровольному переселению граждан из населенных пунктов с низким потенциалом социально-экономического развития в опорные СНП и крупные города.</w:t>
      </w:r>
    </w:p>
    <w:bookmarkEnd w:id="626"/>
    <w:bookmarkStart w:name="z633" w:id="627"/>
    <w:p>
      <w:pPr>
        <w:spacing w:after="0"/>
        <w:ind w:left="0"/>
        <w:jc w:val="both"/>
      </w:pPr>
      <w:r>
        <w:rPr>
          <w:rFonts w:ascii="Times New Roman"/>
          <w:b w:val="false"/>
          <w:i w:val="false"/>
          <w:color w:val="000000"/>
          <w:sz w:val="28"/>
        </w:rPr>
        <w:t xml:space="preserve">
      </w:t>
      </w:r>
      <w:r>
        <w:rPr>
          <w:rFonts w:ascii="Times New Roman"/>
          <w:b/>
          <w:i w:val="false"/>
          <w:color w:val="000000"/>
          <w:sz w:val="28"/>
        </w:rPr>
        <w:t>Приграничные территории</w:t>
      </w:r>
    </w:p>
    <w:bookmarkEnd w:id="627"/>
    <w:bookmarkStart w:name="z634" w:id="628"/>
    <w:p>
      <w:pPr>
        <w:spacing w:after="0"/>
        <w:ind w:left="0"/>
        <w:jc w:val="both"/>
      </w:pPr>
      <w:r>
        <w:rPr>
          <w:rFonts w:ascii="Times New Roman"/>
          <w:b w:val="false"/>
          <w:i w:val="false"/>
          <w:color w:val="000000"/>
          <w:sz w:val="28"/>
        </w:rPr>
        <w:t>
      Как показывает мировой опыт, приграничное положение является одним из наиболее эффективных факторов социально-экономического развития территории. Пример США, Канады, КНР, Великобритании и других развитых стран показывает, что территории, используя свои преимущества приграничного месторасположения, стали зонами опережающего развития в своих государствах. Ключевым элементом, влияющим на территориально-пространственную организацию приграничных регионов, является их транзитное и приграничное расположение. Так, по территории регионов проходят участки международных транзитных коридоров, к примеру "Западная Европа-Западный Китай", имеются узловые железнодорожные станции. Приграничные регионы характеризуются транспортной связностью и близостью к крупным городам соседних государств.</w:t>
      </w:r>
    </w:p>
    <w:bookmarkEnd w:id="628"/>
    <w:bookmarkStart w:name="z635" w:id="629"/>
    <w:p>
      <w:pPr>
        <w:spacing w:after="0"/>
        <w:ind w:left="0"/>
        <w:jc w:val="both"/>
      </w:pPr>
      <w:r>
        <w:rPr>
          <w:rFonts w:ascii="Times New Roman"/>
          <w:b w:val="false"/>
          <w:i w:val="false"/>
          <w:color w:val="000000"/>
          <w:sz w:val="28"/>
        </w:rPr>
        <w:t>
      Фактором, способствующим территориально-пространственному развитию страны, станет эффективное использование имеющихся ресурсов и развитие торгово-экономических отношений приграничных территорий с сопредельными государствами.</w:t>
      </w:r>
    </w:p>
    <w:bookmarkEnd w:id="629"/>
    <w:bookmarkStart w:name="z636" w:id="630"/>
    <w:p>
      <w:pPr>
        <w:spacing w:after="0"/>
        <w:ind w:left="0"/>
        <w:jc w:val="both"/>
      </w:pPr>
      <w:r>
        <w:rPr>
          <w:rFonts w:ascii="Times New Roman"/>
          <w:b w:val="false"/>
          <w:i w:val="false"/>
          <w:color w:val="000000"/>
          <w:sz w:val="28"/>
        </w:rPr>
        <w:t>
      Для усиления геополитического положения страны и недопущения возникновения обезлюдевших приграничных территорий требуется решение вопросов по развитию производственной, социальной, инженерно-транспортной инфраструктуры.</w:t>
      </w:r>
    </w:p>
    <w:bookmarkEnd w:id="630"/>
    <w:bookmarkStart w:name="z637" w:id="631"/>
    <w:p>
      <w:pPr>
        <w:spacing w:after="0"/>
        <w:ind w:left="0"/>
        <w:jc w:val="both"/>
      </w:pPr>
      <w:r>
        <w:rPr>
          <w:rFonts w:ascii="Times New Roman"/>
          <w:b w:val="false"/>
          <w:i w:val="false"/>
          <w:color w:val="000000"/>
          <w:sz w:val="28"/>
        </w:rPr>
        <w:t>
      Вопросам комплексного развития приграничной инфраструктуры должно быть уделено особое внимание в период до 2030 года.</w:t>
      </w:r>
    </w:p>
    <w:bookmarkEnd w:id="631"/>
    <w:bookmarkStart w:name="z638" w:id="632"/>
    <w:p>
      <w:pPr>
        <w:spacing w:after="0"/>
        <w:ind w:left="0"/>
        <w:jc w:val="both"/>
      </w:pPr>
      <w:r>
        <w:rPr>
          <w:rFonts w:ascii="Times New Roman"/>
          <w:b w:val="false"/>
          <w:i w:val="false"/>
          <w:color w:val="000000"/>
          <w:sz w:val="28"/>
        </w:rPr>
        <w:t>
      Для дальнейшего развития приграничных регионов необходимо инвестировать в инфраструктуру опорных СНП. Особое внимание стоит уделить развитию 8 малых городов (Жаркент, Зайсан, Сарыагаш, Шардара, Шемонаиха, Мамлютка, Булаево, Жетысай). В Алматинской области продолжится реализация мер по развитию города Нуркента, в рамках развития специальной экономической зоны "Хоргос-Восточные ворота".</w:t>
      </w:r>
    </w:p>
    <w:bookmarkEnd w:id="632"/>
    <w:bookmarkStart w:name="z639" w:id="633"/>
    <w:p>
      <w:pPr>
        <w:spacing w:after="0"/>
        <w:ind w:left="0"/>
        <w:jc w:val="both"/>
      </w:pPr>
      <w:r>
        <w:rPr>
          <w:rFonts w:ascii="Times New Roman"/>
          <w:b w:val="false"/>
          <w:i w:val="false"/>
          <w:color w:val="000000"/>
          <w:sz w:val="28"/>
        </w:rPr>
        <w:t>
      Развитие инфраструктуры приграничных опорных СНП и городов должно проводиться в комплексе с развитием пограничной инфраструктуры. Обеспечением базовым уровнем качества жизни должно быть охвачено не только население приграничных населенных пунктов, но и военнослужащие пограничной службы и их семьи.</w:t>
      </w:r>
    </w:p>
    <w:bookmarkEnd w:id="633"/>
    <w:bookmarkStart w:name="z640" w:id="634"/>
    <w:p>
      <w:pPr>
        <w:spacing w:after="0"/>
        <w:ind w:left="0"/>
        <w:jc w:val="both"/>
      </w:pPr>
      <w:r>
        <w:rPr>
          <w:rFonts w:ascii="Times New Roman"/>
          <w:b w:val="false"/>
          <w:i w:val="false"/>
          <w:color w:val="000000"/>
          <w:sz w:val="28"/>
        </w:rPr>
        <w:t>
      Необходимо повышать инфраструктурный потенциал приграничных регионов, как транспортно-логистических центров (далее - ТЛЦ). Строительство приграничных ТЛЦ необходимо при пунктах пропуска или вблизи к территории пунктов пропуска на казахстанском участке таможенной границы Таможенного союза.</w:t>
      </w:r>
    </w:p>
    <w:bookmarkEnd w:id="634"/>
    <w:bookmarkStart w:name="z641" w:id="635"/>
    <w:p>
      <w:pPr>
        <w:spacing w:after="0"/>
        <w:ind w:left="0"/>
        <w:jc w:val="both"/>
      </w:pPr>
      <w:r>
        <w:rPr>
          <w:rFonts w:ascii="Times New Roman"/>
          <w:b w:val="false"/>
          <w:i w:val="false"/>
          <w:color w:val="000000"/>
          <w:sz w:val="28"/>
        </w:rPr>
        <w:t>
      Приоритетными задачами развития ТЛЦ Казахстана в приграничных регионах будут являться три основных направления:</w:t>
      </w:r>
    </w:p>
    <w:bookmarkEnd w:id="635"/>
    <w:bookmarkStart w:name="z642" w:id="636"/>
    <w:p>
      <w:pPr>
        <w:spacing w:after="0"/>
        <w:ind w:left="0"/>
        <w:jc w:val="both"/>
      </w:pPr>
      <w:r>
        <w:rPr>
          <w:rFonts w:ascii="Times New Roman"/>
          <w:b w:val="false"/>
          <w:i w:val="false"/>
          <w:color w:val="000000"/>
          <w:sz w:val="28"/>
        </w:rPr>
        <w:t>
      реализация транзитного потенциала;</w:t>
      </w:r>
    </w:p>
    <w:bookmarkEnd w:id="636"/>
    <w:bookmarkStart w:name="z643" w:id="637"/>
    <w:p>
      <w:pPr>
        <w:spacing w:after="0"/>
        <w:ind w:left="0"/>
        <w:jc w:val="both"/>
      </w:pPr>
      <w:r>
        <w:rPr>
          <w:rFonts w:ascii="Times New Roman"/>
          <w:b w:val="false"/>
          <w:i w:val="false"/>
          <w:color w:val="000000"/>
          <w:sz w:val="28"/>
        </w:rPr>
        <w:t>
      развитие пассажирских перевозок;</w:t>
      </w:r>
    </w:p>
    <w:bookmarkEnd w:id="637"/>
    <w:bookmarkStart w:name="z644" w:id="638"/>
    <w:p>
      <w:pPr>
        <w:spacing w:after="0"/>
        <w:ind w:left="0"/>
        <w:jc w:val="both"/>
      </w:pPr>
      <w:r>
        <w:rPr>
          <w:rFonts w:ascii="Times New Roman"/>
          <w:b w:val="false"/>
          <w:i w:val="false"/>
          <w:color w:val="000000"/>
          <w:sz w:val="28"/>
        </w:rPr>
        <w:t>
      развитие экспорта и внутренних потребностей экономики.</w:t>
      </w:r>
    </w:p>
    <w:bookmarkEnd w:id="638"/>
    <w:bookmarkStart w:name="z645" w:id="639"/>
    <w:p>
      <w:pPr>
        <w:spacing w:after="0"/>
        <w:ind w:left="0"/>
        <w:jc w:val="both"/>
      </w:pPr>
      <w:r>
        <w:rPr>
          <w:rFonts w:ascii="Times New Roman"/>
          <w:b w:val="false"/>
          <w:i w:val="false"/>
          <w:color w:val="000000"/>
          <w:sz w:val="28"/>
        </w:rPr>
        <w:t>
      Логистические объекты необходимо дифференцировать по уровню обслуживания товаропотоков и работе транспортных систем для формирования стройной структуры логистической системы на приграничной территории страны. При формировании государственных политик следует рассматривать Казахстан как открытую систему. Необходимо рассматривать конкурентоспособность регионов Казахстана в более широком масштабе, как конкурентоспособность среди регионов ЕАЭС, Северо-Западной части КНР и стран Центральной Азии.</w:t>
      </w:r>
    </w:p>
    <w:bookmarkEnd w:id="639"/>
    <w:bookmarkStart w:name="z646" w:id="640"/>
    <w:p>
      <w:pPr>
        <w:spacing w:after="0"/>
        <w:ind w:left="0"/>
        <w:jc w:val="both"/>
      </w:pPr>
      <w:r>
        <w:rPr>
          <w:rFonts w:ascii="Times New Roman"/>
          <w:b w:val="false"/>
          <w:i w:val="false"/>
          <w:color w:val="000000"/>
          <w:sz w:val="28"/>
        </w:rPr>
        <w:t>
      Все меры должны сопровождаться симметричным (с крупнейшими городами сопредельных государств) развитием приграничных городов страны (принцип: города-конкуренты). Приграничные регионы должны позиционироваться в качестве важнейших зон международного экономического сотрудничества. На приграничных территориях, обладающих потенциалом участия в приграничной торговле, целесообразно рассмотреть вопрос создания международных центров приграничного сотрудничества по аналогии с Международным центром приграничного сотрудничества "Хоргос".</w:t>
      </w:r>
    </w:p>
    <w:bookmarkEnd w:id="640"/>
    <w:bookmarkStart w:name="z647" w:id="641"/>
    <w:p>
      <w:pPr>
        <w:spacing w:after="0"/>
        <w:ind w:left="0"/>
        <w:jc w:val="both"/>
      </w:pPr>
      <w:r>
        <w:rPr>
          <w:rFonts w:ascii="Times New Roman"/>
          <w:b w:val="false"/>
          <w:i w:val="false"/>
          <w:color w:val="000000"/>
          <w:sz w:val="28"/>
        </w:rPr>
        <w:t>
      В этой связи перспективы развития приграничных территорий будут связаны с применением широкого комплекса мер, таких как точечное субсидирование товаропроизводителей с целью повышения их конкурентоспособности в рамках ЕАЭС и вне его пределов, обеспечение доступа предприятий к кредитным ресурсам и снижение бремени их обслуживания; предоставление дополнительных налоговых стимулов несырьевому сектору; создание инфраструктуры с целью привлечения инвестиций. Далее необходима поддержка развития кооперационного сотрудничества в промышленности стран ЕАЭС. Для этого странам ЕАЭС необходимо реализовать следующие меры:</w:t>
      </w:r>
    </w:p>
    <w:bookmarkEnd w:id="641"/>
    <w:bookmarkStart w:name="z648" w:id="642"/>
    <w:p>
      <w:pPr>
        <w:spacing w:after="0"/>
        <w:ind w:left="0"/>
        <w:jc w:val="both"/>
      </w:pPr>
      <w:r>
        <w:rPr>
          <w:rFonts w:ascii="Times New Roman"/>
          <w:b w:val="false"/>
          <w:i w:val="false"/>
          <w:color w:val="000000"/>
          <w:sz w:val="28"/>
        </w:rPr>
        <w:t>
      - организовать площадки для поиска партнеров, проведение переговоров и заключение предварительных договоров (биржи субконтрактации);</w:t>
      </w:r>
    </w:p>
    <w:bookmarkEnd w:id="642"/>
    <w:bookmarkStart w:name="z649" w:id="643"/>
    <w:p>
      <w:pPr>
        <w:spacing w:after="0"/>
        <w:ind w:left="0"/>
        <w:jc w:val="both"/>
      </w:pPr>
      <w:r>
        <w:rPr>
          <w:rFonts w:ascii="Times New Roman"/>
          <w:b w:val="false"/>
          <w:i w:val="false"/>
          <w:color w:val="000000"/>
          <w:sz w:val="28"/>
        </w:rPr>
        <w:t>
      - оказывать консультативную поддержку предприятиям промышленности по поиску партнеров в кооперации.</w:t>
      </w:r>
    </w:p>
    <w:bookmarkEnd w:id="643"/>
    <w:bookmarkStart w:name="z650" w:id="644"/>
    <w:p>
      <w:pPr>
        <w:spacing w:after="0"/>
        <w:ind w:left="0"/>
        <w:jc w:val="both"/>
      </w:pPr>
      <w:r>
        <w:rPr>
          <w:rFonts w:ascii="Times New Roman"/>
          <w:b w:val="false"/>
          <w:i w:val="false"/>
          <w:color w:val="000000"/>
          <w:sz w:val="28"/>
        </w:rPr>
        <w:t>
      На основе реализации крупных совместных проектов Казахстану необходимо встраиваться в баланс использования ресурсов и цепочки добавленных стоимостей РФ, КНР и стран Центральной Азии.</w:t>
      </w:r>
    </w:p>
    <w:bookmarkEnd w:id="644"/>
    <w:bookmarkStart w:name="z651" w:id="645"/>
    <w:p>
      <w:pPr>
        <w:spacing w:after="0"/>
        <w:ind w:left="0"/>
        <w:jc w:val="both"/>
      </w:pPr>
      <w:r>
        <w:rPr>
          <w:rFonts w:ascii="Times New Roman"/>
          <w:b w:val="false"/>
          <w:i w:val="false"/>
          <w:color w:val="000000"/>
          <w:sz w:val="28"/>
        </w:rPr>
        <w:t>
      В связи с этим, необходимо активизировать производственные и инфраструктурные проекты на приграничных территориях, как инструменты повышения межгосударственного взаимодействия.</w:t>
      </w:r>
    </w:p>
    <w:bookmarkEnd w:id="645"/>
    <w:bookmarkStart w:name="z652" w:id="646"/>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Определение критериев и требований Системы региональных стандартов</w:t>
      </w:r>
    </w:p>
    <w:bookmarkEnd w:id="646"/>
    <w:bookmarkStart w:name="z653" w:id="647"/>
    <w:p>
      <w:pPr>
        <w:spacing w:after="0"/>
        <w:ind w:left="0"/>
        <w:jc w:val="both"/>
      </w:pPr>
      <w:r>
        <w:rPr>
          <w:rFonts w:ascii="Times New Roman"/>
          <w:b w:val="false"/>
          <w:i w:val="false"/>
          <w:color w:val="000000"/>
          <w:sz w:val="28"/>
        </w:rPr>
        <w:t>
      Система региональных стандартов будет способствовать формированию инклюзивного общества, в котором будет обеспечено равенство возможностей для всего населения страны.</w:t>
      </w:r>
    </w:p>
    <w:bookmarkEnd w:id="647"/>
    <w:bookmarkStart w:name="z654" w:id="648"/>
    <w:p>
      <w:pPr>
        <w:spacing w:after="0"/>
        <w:ind w:left="0"/>
        <w:jc w:val="both"/>
      </w:pPr>
      <w:r>
        <w:rPr>
          <w:rFonts w:ascii="Times New Roman"/>
          <w:b w:val="false"/>
          <w:i w:val="false"/>
          <w:color w:val="000000"/>
          <w:sz w:val="28"/>
        </w:rPr>
        <w:t>
      При разработке показателей для региональных стандартов были учтены показатели различных индексов, характеризующих качество жизни - "Better life index</w:t>
      </w:r>
      <w:r>
        <w:rPr>
          <w:rFonts w:ascii="Times New Roman"/>
          <w:b w:val="false"/>
          <w:i w:val="false"/>
          <w:color w:val="000000"/>
          <w:vertAlign w:val="superscript"/>
        </w:rPr>
        <w:t>28</w:t>
      </w:r>
      <w:r>
        <w:rPr>
          <w:rFonts w:ascii="Times New Roman"/>
          <w:b w:val="false"/>
          <w:i w:val="false"/>
          <w:color w:val="000000"/>
          <w:sz w:val="28"/>
        </w:rPr>
        <w:t>" ОЭСР, "Рейтинг качества жизни в городах мира" MERCER, "Индекс развития человеческого потенциала" Программы развития Организации объединенных наций</w:t>
      </w:r>
      <w:r>
        <w:rPr>
          <w:rFonts w:ascii="Times New Roman"/>
          <w:b w:val="false"/>
          <w:i w:val="false"/>
          <w:color w:val="000000"/>
          <w:vertAlign w:val="superscript"/>
        </w:rPr>
        <w:t>29</w:t>
      </w:r>
      <w:r>
        <w:rPr>
          <w:rFonts w:ascii="Times New Roman"/>
          <w:b w:val="false"/>
          <w:i w:val="false"/>
          <w:color w:val="000000"/>
          <w:sz w:val="28"/>
        </w:rPr>
        <w:t>.</w:t>
      </w:r>
    </w:p>
    <w:bookmarkEnd w:id="648"/>
    <w:bookmarkStart w:name="z655" w:id="649"/>
    <w:p>
      <w:pPr>
        <w:spacing w:after="0"/>
        <w:ind w:left="0"/>
        <w:jc w:val="both"/>
      </w:pPr>
      <w:r>
        <w:rPr>
          <w:rFonts w:ascii="Times New Roman"/>
          <w:b w:val="false"/>
          <w:i w:val="false"/>
          <w:color w:val="000000"/>
          <w:sz w:val="28"/>
        </w:rPr>
        <w:t>
      ________________________________________________________________</w:t>
      </w:r>
    </w:p>
    <w:bookmarkEnd w:id="649"/>
    <w:bookmarkStart w:name="z656" w:id="6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Индекс, разработанный ОЭСР для сравнения благосостояния в разных странах по 11 аспектам.</w:t>
      </w:r>
    </w:p>
    <w:bookmarkEnd w:id="650"/>
    <w:bookmarkStart w:name="z657" w:id="6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Индекс развития человеческого капитала, разработанный ООН.</w:t>
      </w:r>
    </w:p>
    <w:bookmarkEnd w:id="651"/>
    <w:bookmarkStart w:name="z658" w:id="652"/>
    <w:p>
      <w:pPr>
        <w:spacing w:after="0"/>
        <w:ind w:left="0"/>
        <w:jc w:val="both"/>
      </w:pPr>
      <w:r>
        <w:rPr>
          <w:rFonts w:ascii="Times New Roman"/>
          <w:b w:val="false"/>
          <w:i w:val="false"/>
          <w:color w:val="000000"/>
          <w:sz w:val="28"/>
        </w:rPr>
        <w:t>
      Цель системы региональных стандартов - установить базовые требования, которым должна соответствовать среда проживания в сельской и городской местности.</w:t>
      </w:r>
    </w:p>
    <w:bookmarkEnd w:id="652"/>
    <w:bookmarkStart w:name="z659" w:id="653"/>
    <w:p>
      <w:pPr>
        <w:spacing w:after="0"/>
        <w:ind w:left="0"/>
        <w:jc w:val="both"/>
      </w:pPr>
      <w:r>
        <w:rPr>
          <w:rFonts w:ascii="Times New Roman"/>
          <w:b w:val="false"/>
          <w:i w:val="false"/>
          <w:color w:val="000000"/>
          <w:sz w:val="28"/>
        </w:rPr>
        <w:t>
      Для каждого уровня административно-территориальных единиц должны быть обеспечены свои базовые региональные стандарты. При этом необходимо выстроить перераспределительные процессы межбюджетных отношений в целях сокращения разрывов в доступности благ и услуг системы региональных стандартов между регионами и внутри регионов.</w:t>
      </w:r>
    </w:p>
    <w:bookmarkEnd w:id="653"/>
    <w:bookmarkStart w:name="z660" w:id="654"/>
    <w:p>
      <w:pPr>
        <w:spacing w:after="0"/>
        <w:ind w:left="0"/>
        <w:jc w:val="both"/>
      </w:pPr>
      <w:r>
        <w:rPr>
          <w:rFonts w:ascii="Times New Roman"/>
          <w:b w:val="false"/>
          <w:i w:val="false"/>
          <w:color w:val="000000"/>
          <w:sz w:val="28"/>
        </w:rPr>
        <w:t>
      Раздел 3. Прогнозные параметры развития страны</w:t>
      </w:r>
    </w:p>
    <w:bookmarkEnd w:id="654"/>
    <w:bookmarkStart w:name="z661" w:id="655"/>
    <w:p>
      <w:pPr>
        <w:spacing w:after="0"/>
        <w:ind w:left="0"/>
        <w:jc w:val="both"/>
      </w:pPr>
      <w:r>
        <w:rPr>
          <w:rFonts w:ascii="Times New Roman"/>
          <w:b w:val="false"/>
          <w:i w:val="false"/>
          <w:color w:val="000000"/>
          <w:sz w:val="28"/>
        </w:rPr>
        <w:t>
      Расчет прогнозных параметров развития страны произведен на основе показателей Стратегического плана развития Республики Казахстан до 2025 года, утвержденного Указом Президента Республики Казахстан от 15 февраля 2018 года № 636, с учетом Стратегической карты ключевых национальных индикаторов.</w:t>
      </w:r>
    </w:p>
    <w:bookmarkEnd w:id="655"/>
    <w:bookmarkStart w:name="z662" w:id="656"/>
    <w:p>
      <w:pPr>
        <w:spacing w:after="0"/>
        <w:ind w:left="0"/>
        <w:jc w:val="both"/>
      </w:pPr>
      <w:r>
        <w:rPr>
          <w:rFonts w:ascii="Times New Roman"/>
          <w:b w:val="false"/>
          <w:i w:val="false"/>
          <w:color w:val="000000"/>
          <w:sz w:val="28"/>
        </w:rPr>
        <w:t>
      Всего предусматривается 9 прогнозных параметров развития регионов страны до 2030 года.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08"/>
        <w:gridCol w:w="2222"/>
        <w:gridCol w:w="1264"/>
        <w:gridCol w:w="1264"/>
        <w:gridCol w:w="1256"/>
        <w:gridCol w:w="1257"/>
        <w:gridCol w:w="1257"/>
        <w:gridCol w:w="1257"/>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регионов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среднедушевых реальных денежных доходов населения*, % прироста от уровня 2016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малого и среднего бизнеса в ВВП*, %ВДСкВВП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Обеспеченность населения жильем**, кв. м на одного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 урбанизации на начало года,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663" w:id="657"/>
    <w:p>
      <w:pPr>
        <w:spacing w:after="0"/>
        <w:ind w:left="0"/>
        <w:jc w:val="both"/>
      </w:pPr>
      <w:r>
        <w:rPr>
          <w:rFonts w:ascii="Times New Roman"/>
          <w:b w:val="false"/>
          <w:i w:val="false"/>
          <w:color w:val="000000"/>
          <w:sz w:val="28"/>
        </w:rPr>
        <w:t>
      * - Рассчитаны методом скользящей средней, умноженной на темпы роста до 2050 года согласно данным Стратегической карты-2025; ** - Прогнозный фонд жилья рассчитан пропорционально к факту по регионам;</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430"/>
        <w:gridCol w:w="2430"/>
        <w:gridCol w:w="3060"/>
        <w:gridCol w:w="338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регионов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Обеспечение широкополосным доступом к Интернет СНП***,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Доля автомобильных дорог областного и районного значения в хорошем и удовлетворительном состоянии*,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685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1250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71,0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97,0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4" w:id="658"/>
    <w:p>
      <w:pPr>
        <w:spacing w:after="0"/>
        <w:ind w:left="0"/>
        <w:jc w:val="both"/>
      </w:pPr>
      <w:r>
        <w:rPr>
          <w:rFonts w:ascii="Times New Roman"/>
          <w:b w:val="false"/>
          <w:i w:val="false"/>
          <w:color w:val="000000"/>
          <w:sz w:val="28"/>
        </w:rPr>
        <w:t>
      * - Рассчитаны методом скользящей средней, умноженной на темпы роста до 2050 года согласно данным Стратегической карты-2025;</w:t>
      </w:r>
    </w:p>
    <w:bookmarkEnd w:id="658"/>
    <w:bookmarkStart w:name="z665" w:id="659"/>
    <w:p>
      <w:pPr>
        <w:spacing w:after="0"/>
        <w:ind w:left="0"/>
        <w:jc w:val="both"/>
      </w:pPr>
      <w:r>
        <w:rPr>
          <w:rFonts w:ascii="Times New Roman"/>
          <w:b w:val="false"/>
          <w:i w:val="false"/>
          <w:color w:val="000000"/>
          <w:sz w:val="28"/>
        </w:rPr>
        <w:t>
      *** - Источник: Министерство цифрового развития, инноваций и аэрокосмической промышленности РК;</w:t>
      </w:r>
    </w:p>
    <w:bookmarkEnd w:id="659"/>
    <w:bookmarkStart w:name="z666" w:id="660"/>
    <w:p>
      <w:pPr>
        <w:spacing w:after="0"/>
        <w:ind w:left="0"/>
        <w:jc w:val="both"/>
      </w:pPr>
      <w:r>
        <w:rPr>
          <w:rFonts w:ascii="Times New Roman"/>
          <w:b w:val="false"/>
          <w:i w:val="false"/>
          <w:color w:val="000000"/>
          <w:sz w:val="28"/>
        </w:rPr>
        <w:t>
      7) Доля электроэнергии от возобновляемых источников энергии (кроме крупных ГЭС), % от общего объема производства ****% должна достичь к 2019 году 2,3 %, к 2030 году 10 %;</w:t>
      </w:r>
    </w:p>
    <w:bookmarkEnd w:id="660"/>
    <w:bookmarkStart w:name="z667" w:id="661"/>
    <w:p>
      <w:pPr>
        <w:spacing w:after="0"/>
        <w:ind w:left="0"/>
        <w:jc w:val="both"/>
      </w:pPr>
      <w:r>
        <w:rPr>
          <w:rFonts w:ascii="Times New Roman"/>
          <w:b w:val="false"/>
          <w:i w:val="false"/>
          <w:color w:val="000000"/>
          <w:sz w:val="28"/>
        </w:rPr>
        <w:t>
      **** . Источник: Министерство энергетики РК.</w:t>
      </w:r>
    </w:p>
    <w:bookmarkEnd w:id="661"/>
    <w:bookmarkStart w:name="z668" w:id="662"/>
    <w:p>
      <w:pPr>
        <w:spacing w:after="0"/>
        <w:ind w:left="0"/>
        <w:jc w:val="both"/>
      </w:pPr>
      <w:r>
        <w:rPr>
          <w:rFonts w:ascii="Times New Roman"/>
          <w:b w:val="false"/>
          <w:i w:val="false"/>
          <w:color w:val="000000"/>
          <w:sz w:val="28"/>
        </w:rPr>
        <w:t>
      8) "Разрыв развития по ВРП на душу населения между регионами"* рассчитан по методике, указанной в Стратегическом плане-2025 (8 регионов с максимальными значениями на 9 регионов с минимальными значениями) и будет составлять к 2019 году - 3,2 и к 2030 году - 2,6 раза;</w:t>
      </w:r>
    </w:p>
    <w:bookmarkEnd w:id="662"/>
    <w:bookmarkStart w:name="z669" w:id="663"/>
    <w:p>
      <w:pPr>
        <w:spacing w:after="0"/>
        <w:ind w:left="0"/>
        <w:jc w:val="both"/>
      </w:pPr>
      <w:r>
        <w:rPr>
          <w:rFonts w:ascii="Times New Roman"/>
          <w:b w:val="false"/>
          <w:i w:val="false"/>
          <w:color w:val="000000"/>
          <w:sz w:val="28"/>
        </w:rPr>
        <w:t>
      9) "Доля переработки отходов" **** должна достичь к 2019 году - 14 % от всего объема, образуемого ТБО, к 2030 году доля переработки отходов - 40 %.</w:t>
      </w:r>
    </w:p>
    <w:bookmarkEnd w:id="663"/>
    <w:bookmarkStart w:name="z670" w:id="664"/>
    <w:p>
      <w:pPr>
        <w:spacing w:after="0"/>
        <w:ind w:left="0"/>
        <w:jc w:val="both"/>
      </w:pPr>
      <w:r>
        <w:rPr>
          <w:rFonts w:ascii="Times New Roman"/>
          <w:b w:val="false"/>
          <w:i w:val="false"/>
          <w:color w:val="000000"/>
          <w:sz w:val="28"/>
        </w:rPr>
        <w:t xml:space="preserve">
      </w:t>
      </w:r>
      <w:r>
        <w:rPr>
          <w:rFonts w:ascii="Times New Roman"/>
          <w:b/>
          <w:i w:val="false"/>
          <w:color w:val="000000"/>
          <w:sz w:val="28"/>
        </w:rPr>
        <w:t>Институциональная схема</w:t>
      </w:r>
      <w:r>
        <w:rPr>
          <w:rFonts w:ascii="Times New Roman"/>
          <w:b w:val="false"/>
          <w:i w:val="false"/>
          <w:color w:val="000000"/>
          <w:sz w:val="28"/>
        </w:rPr>
        <w:t xml:space="preserve"> </w:t>
      </w:r>
      <w:r>
        <w:rPr>
          <w:rFonts w:ascii="Times New Roman"/>
          <w:b/>
          <w:i w:val="false"/>
          <w:color w:val="000000"/>
          <w:sz w:val="28"/>
        </w:rPr>
        <w:t>взаимосвязи</w:t>
      </w:r>
      <w:r>
        <w:rPr>
          <w:rFonts w:ascii="Times New Roman"/>
          <w:b w:val="false"/>
          <w:i w:val="false"/>
          <w:color w:val="000000"/>
          <w:sz w:val="28"/>
        </w:rPr>
        <w:t xml:space="preserve"> </w:t>
      </w:r>
      <w:r>
        <w:rPr>
          <w:rFonts w:ascii="Times New Roman"/>
          <w:b/>
          <w:i w:val="false"/>
          <w:color w:val="000000"/>
          <w:sz w:val="28"/>
        </w:rPr>
        <w:t>документов</w:t>
      </w:r>
      <w:r>
        <w:rPr>
          <w:rFonts w:ascii="Times New Roman"/>
          <w:b w:val="false"/>
          <w:i w:val="false"/>
          <w:color w:val="000000"/>
          <w:sz w:val="28"/>
        </w:rPr>
        <w:t xml:space="preserve"> </w:t>
      </w:r>
      <w:r>
        <w:rPr>
          <w:rFonts w:ascii="Times New Roman"/>
          <w:b/>
          <w:i w:val="false"/>
          <w:color w:val="000000"/>
          <w:sz w:val="28"/>
        </w:rPr>
        <w:t>территориально-пространственного развития</w:t>
      </w:r>
    </w:p>
    <w:bookmarkEnd w:id="664"/>
    <w:bookmarkStart w:name="z671" w:id="665"/>
    <w:p>
      <w:pPr>
        <w:spacing w:after="0"/>
        <w:ind w:left="0"/>
        <w:jc w:val="both"/>
      </w:pPr>
      <w:r>
        <w:rPr>
          <w:rFonts w:ascii="Times New Roman"/>
          <w:b w:val="false"/>
          <w:i w:val="false"/>
          <w:color w:val="000000"/>
          <w:sz w:val="28"/>
        </w:rPr>
        <w:t>
      Реализация Прогнозной схемы будет осуществляться посредством реализации нижестоящих документов системы государственного планирования - государственных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End w:id="665"/>
    <w:bookmarkStart w:name="z672" w:id="666"/>
    <w:p>
      <w:pPr>
        <w:spacing w:after="0"/>
        <w:ind w:left="0"/>
        <w:jc w:val="both"/>
      </w:pPr>
      <w:r>
        <w:rPr>
          <w:rFonts w:ascii="Times New Roman"/>
          <w:b w:val="false"/>
          <w:i w:val="false"/>
          <w:color w:val="000000"/>
          <w:sz w:val="28"/>
        </w:rPr>
        <w:t>
      Для построения вертикали документов территориально-пространственного развития необходимо обеспечить методологическую преемственность "Прогнозная схема - Государственной программы развития регионов - Программ развития территорий". При этом особая функциональная роль отводится Госпрограмме развития регионов, которая должна с учетом потребностей и потенциала регионов по матричной схеме фиксировать распределение бюджетных средств в рамках других государственных программ, с недопущением дисбалансов в финансировании между регионами. Государственная программа развития регионов должна стать координирующим документом в части учета влияния различных отраслевых индикаторов, показателей на сокращение разрывов в обеспечении региональными стандартами качества жизни населения.</w:t>
      </w:r>
    </w:p>
    <w:bookmarkEnd w:id="666"/>
    <w:bookmarkStart w:name="z673" w:id="667"/>
    <w:p>
      <w:pPr>
        <w:spacing w:after="0"/>
        <w:ind w:left="0"/>
        <w:jc w:val="both"/>
      </w:pPr>
      <w:r>
        <w:rPr>
          <w:rFonts w:ascii="Times New Roman"/>
          <w:b w:val="false"/>
          <w:i w:val="false"/>
          <w:color w:val="000000"/>
          <w:sz w:val="28"/>
        </w:rPr>
        <w:t>
      Территориально-пространственное планирование зависит от налаженного взаимодействия документов по всей вертикали.</w:t>
      </w:r>
    </w:p>
    <w:bookmarkEnd w:id="667"/>
    <w:bookmarkStart w:name="z674" w:id="668"/>
    <w:p>
      <w:pPr>
        <w:spacing w:after="0"/>
        <w:ind w:left="0"/>
        <w:jc w:val="both"/>
      </w:pPr>
      <w:r>
        <w:rPr>
          <w:rFonts w:ascii="Times New Roman"/>
          <w:b w:val="false"/>
          <w:i w:val="false"/>
          <w:color w:val="000000"/>
          <w:sz w:val="28"/>
        </w:rPr>
        <w:t>
      В конечном счете, Программы развития территорий имеют особую важность, так как они затрагивают конкретного благополучателя. Местные исполнительные органы должны планировать свою деятельность исходя из приоритетов, инициатив вышестоящих документов, координировать планирование с соседними регионами, привлекать к участию местное население на основе широких консультаций.</w:t>
      </w:r>
    </w:p>
    <w:bookmarkEnd w:id="668"/>
    <w:bookmarkStart w:name="z675" w:id="669"/>
    <w:p>
      <w:pPr>
        <w:spacing w:after="0"/>
        <w:ind w:left="0"/>
        <w:jc w:val="both"/>
      </w:pPr>
      <w:r>
        <w:rPr>
          <w:rFonts w:ascii="Times New Roman"/>
          <w:b w:val="false"/>
          <w:i w:val="false"/>
          <w:color w:val="000000"/>
          <w:sz w:val="28"/>
        </w:rPr>
        <w:t>
      В рамках системы "снизу-вверх" должны быть учтены все исходящие от регионов инициативы, а им в свою очередь должна быть оказана методологическая и институциональная поддержка из центра.</w:t>
      </w:r>
    </w:p>
    <w:bookmarkEnd w:id="669"/>
    <w:bookmarkStart w:name="z676" w:id="670"/>
    <w:p>
      <w:pPr>
        <w:spacing w:after="0"/>
        <w:ind w:left="0"/>
        <w:jc w:val="both"/>
      </w:pPr>
      <w:r>
        <w:rPr>
          <w:rFonts w:ascii="Times New Roman"/>
          <w:b w:val="false"/>
          <w:i w:val="false"/>
          <w:color w:val="000000"/>
          <w:sz w:val="28"/>
        </w:rPr>
        <w:t>
      Единая база информации для пространственного управления</w:t>
      </w:r>
    </w:p>
    <w:bookmarkEnd w:id="670"/>
    <w:bookmarkStart w:name="z677" w:id="671"/>
    <w:p>
      <w:pPr>
        <w:spacing w:after="0"/>
        <w:ind w:left="0"/>
        <w:jc w:val="both"/>
      </w:pPr>
      <w:r>
        <w:rPr>
          <w:rFonts w:ascii="Times New Roman"/>
          <w:b w:val="false"/>
          <w:i w:val="false"/>
          <w:color w:val="000000"/>
          <w:sz w:val="28"/>
        </w:rPr>
        <w:t>
      Инфраструктура пространственных и статистических данных является необходимым условием для разработки стратегических и программных документов территориально-пространственного развития.</w:t>
      </w:r>
    </w:p>
    <w:bookmarkEnd w:id="671"/>
    <w:bookmarkStart w:name="z678" w:id="672"/>
    <w:p>
      <w:pPr>
        <w:spacing w:after="0"/>
        <w:ind w:left="0"/>
        <w:jc w:val="both"/>
      </w:pPr>
      <w:r>
        <w:rPr>
          <w:rFonts w:ascii="Times New Roman"/>
          <w:b w:val="false"/>
          <w:i w:val="false"/>
          <w:color w:val="000000"/>
          <w:sz w:val="28"/>
        </w:rPr>
        <w:t>
      Для улучшения качества регионального анализа необходимы улучшения территориальных данных и статистического учета. Наличие территориальных данных может помочь раскрыть потенциал регионов.</w:t>
      </w:r>
    </w:p>
    <w:bookmarkEnd w:id="672"/>
    <w:bookmarkStart w:name="z679" w:id="673"/>
    <w:p>
      <w:pPr>
        <w:spacing w:after="0"/>
        <w:ind w:left="0"/>
        <w:jc w:val="both"/>
      </w:pPr>
      <w:r>
        <w:rPr>
          <w:rFonts w:ascii="Times New Roman"/>
          <w:b w:val="false"/>
          <w:i w:val="false"/>
          <w:color w:val="000000"/>
          <w:sz w:val="28"/>
        </w:rPr>
        <w:t>
      В настоящее время требуется больше статистических данных на местном уровне. Текущие данные доступны только для административных районов и необязательно соответствуют структурам рынков труда и другим аспектам повседневной жизни. Соответственно, существует потребность в статистических данных по ФГР, городам, агломерациям.</w:t>
      </w:r>
    </w:p>
    <w:bookmarkEnd w:id="673"/>
    <w:bookmarkStart w:name="z680" w:id="674"/>
    <w:p>
      <w:pPr>
        <w:spacing w:after="0"/>
        <w:ind w:left="0"/>
        <w:jc w:val="both"/>
      </w:pPr>
      <w:r>
        <w:rPr>
          <w:rFonts w:ascii="Times New Roman"/>
          <w:b w:val="false"/>
          <w:i w:val="false"/>
          <w:color w:val="000000"/>
          <w:sz w:val="28"/>
        </w:rPr>
        <w:t>
      Данные для целей территориально-пространственного планирования должны содержаться в Национальной инфраструктуре пространственных данных.</w:t>
      </w:r>
    </w:p>
    <w:bookmarkEnd w:id="674"/>
    <w:bookmarkStart w:name="z681" w:id="675"/>
    <w:p>
      <w:pPr>
        <w:spacing w:after="0"/>
        <w:ind w:left="0"/>
        <w:jc w:val="both"/>
      </w:pPr>
      <w:r>
        <w:rPr>
          <w:rFonts w:ascii="Times New Roman"/>
          <w:b w:val="false"/>
          <w:i w:val="false"/>
          <w:color w:val="000000"/>
          <w:sz w:val="28"/>
        </w:rPr>
        <w:t>
      Государственная корпорация "Правительство для граждан" к 2021 году в рамках государственной программы "Цифровой Казахстан" завершит разработку трех проектов - "Национальной инфраструктуры пространственных данных" (НИПД), "Национальной геоинформационной системы" (НГИС), "Единой информационной системы кадастрового учета и регистрации прав на объекты недвижимости".</w:t>
      </w:r>
    </w:p>
    <w:bookmarkEnd w:id="675"/>
    <w:bookmarkStart w:name="z682" w:id="676"/>
    <w:p>
      <w:pPr>
        <w:spacing w:after="0"/>
        <w:ind w:left="0"/>
        <w:jc w:val="both"/>
      </w:pPr>
      <w:r>
        <w:rPr>
          <w:rFonts w:ascii="Times New Roman"/>
          <w:b w:val="false"/>
          <w:i w:val="false"/>
          <w:color w:val="000000"/>
          <w:sz w:val="28"/>
        </w:rPr>
        <w:t>
      Использование данных НИПД во многом будет способствовать лучшему пониманию территориально-пространственной организации территорий и работы рынков, особенно рынка жилья и рынка рабочей силы, а также транспортной инфраструктуры и тенденций их развития.</w:t>
      </w:r>
    </w:p>
    <w:bookmarkEnd w:id="676"/>
    <w:bookmarkStart w:name="z683" w:id="677"/>
    <w:p>
      <w:pPr>
        <w:spacing w:after="0"/>
        <w:ind w:left="0"/>
        <w:jc w:val="both"/>
      </w:pPr>
      <w:r>
        <w:rPr>
          <w:rFonts w:ascii="Times New Roman"/>
          <w:b w:val="false"/>
          <w:i w:val="false"/>
          <w:color w:val="000000"/>
          <w:sz w:val="28"/>
        </w:rPr>
        <w:t>
      Инфраструктура пространственных данных активно используется за рубежом в процессе территориально-пространственного планирования.</w:t>
      </w:r>
    </w:p>
    <w:bookmarkEnd w:id="677"/>
    <w:bookmarkStart w:name="z684" w:id="678"/>
    <w:p>
      <w:pPr>
        <w:spacing w:after="0"/>
        <w:ind w:left="0"/>
        <w:jc w:val="both"/>
      </w:pPr>
      <w:r>
        <w:rPr>
          <w:rFonts w:ascii="Times New Roman"/>
          <w:b w:val="false"/>
          <w:i w:val="false"/>
          <w:color w:val="000000"/>
          <w:sz w:val="28"/>
        </w:rPr>
        <w:t>
      В территориально-пространственном развитии США, Япония, КНР, Австралия, Канада, Индия, Малайзия, стран ЕС широко используется Национальная инфраструктура пространственных данных.</w:t>
      </w:r>
    </w:p>
    <w:bookmarkEnd w:id="678"/>
    <w:bookmarkStart w:name="z685" w:id="679"/>
    <w:p>
      <w:pPr>
        <w:spacing w:after="0"/>
        <w:ind w:left="0"/>
        <w:jc w:val="both"/>
      </w:pPr>
      <w:r>
        <w:rPr>
          <w:rFonts w:ascii="Times New Roman"/>
          <w:b w:val="false"/>
          <w:i w:val="false"/>
          <w:color w:val="000000"/>
          <w:sz w:val="28"/>
        </w:rPr>
        <w:t>
      Использование НИПД позволяет:</w:t>
      </w:r>
    </w:p>
    <w:bookmarkEnd w:id="679"/>
    <w:bookmarkStart w:name="z686" w:id="680"/>
    <w:p>
      <w:pPr>
        <w:spacing w:after="0"/>
        <w:ind w:left="0"/>
        <w:jc w:val="both"/>
      </w:pPr>
      <w:r>
        <w:rPr>
          <w:rFonts w:ascii="Times New Roman"/>
          <w:b w:val="false"/>
          <w:i w:val="false"/>
          <w:color w:val="000000"/>
          <w:sz w:val="28"/>
        </w:rPr>
        <w:t>
      повысить качество принимаемых решений на основе углубленной аналитической обработки информации;</w:t>
      </w:r>
    </w:p>
    <w:bookmarkEnd w:id="680"/>
    <w:bookmarkStart w:name="z687" w:id="681"/>
    <w:p>
      <w:pPr>
        <w:spacing w:after="0"/>
        <w:ind w:left="0"/>
        <w:jc w:val="both"/>
      </w:pPr>
      <w:r>
        <w:rPr>
          <w:rFonts w:ascii="Times New Roman"/>
          <w:b w:val="false"/>
          <w:i w:val="false"/>
          <w:color w:val="000000"/>
          <w:sz w:val="28"/>
        </w:rPr>
        <w:t>
      прогнозировать и моделировать последствия управленческих решений на базе использования информационно-аналитических систем;</w:t>
      </w:r>
    </w:p>
    <w:bookmarkEnd w:id="681"/>
    <w:bookmarkStart w:name="z688" w:id="682"/>
    <w:p>
      <w:pPr>
        <w:spacing w:after="0"/>
        <w:ind w:left="0"/>
        <w:jc w:val="both"/>
      </w:pPr>
      <w:r>
        <w:rPr>
          <w:rFonts w:ascii="Times New Roman"/>
          <w:b w:val="false"/>
          <w:i w:val="false"/>
          <w:color w:val="000000"/>
          <w:sz w:val="28"/>
        </w:rPr>
        <w:t>
      повысить инвестиционную привлекательность регионов;</w:t>
      </w:r>
    </w:p>
    <w:bookmarkEnd w:id="682"/>
    <w:bookmarkStart w:name="z689" w:id="683"/>
    <w:p>
      <w:pPr>
        <w:spacing w:after="0"/>
        <w:ind w:left="0"/>
        <w:jc w:val="both"/>
      </w:pPr>
      <w:r>
        <w:rPr>
          <w:rFonts w:ascii="Times New Roman"/>
          <w:b w:val="false"/>
          <w:i w:val="false"/>
          <w:color w:val="000000"/>
          <w:sz w:val="28"/>
        </w:rPr>
        <w:t>
      предупреждать чрезвычайные ситуации и эффективно ликвидировать их последствия;</w:t>
      </w:r>
    </w:p>
    <w:bookmarkEnd w:id="683"/>
    <w:bookmarkStart w:name="z690" w:id="684"/>
    <w:p>
      <w:pPr>
        <w:spacing w:after="0"/>
        <w:ind w:left="0"/>
        <w:jc w:val="both"/>
      </w:pPr>
      <w:r>
        <w:rPr>
          <w:rFonts w:ascii="Times New Roman"/>
          <w:b w:val="false"/>
          <w:i w:val="false"/>
          <w:color w:val="000000"/>
          <w:sz w:val="28"/>
        </w:rPr>
        <w:t>
      эффективно использовать земельные ресурсы и повысить производительность сельского хозяйства;</w:t>
      </w:r>
    </w:p>
    <w:bookmarkEnd w:id="684"/>
    <w:bookmarkStart w:name="z691" w:id="685"/>
    <w:p>
      <w:pPr>
        <w:spacing w:after="0"/>
        <w:ind w:left="0"/>
        <w:jc w:val="both"/>
      </w:pPr>
      <w:r>
        <w:rPr>
          <w:rFonts w:ascii="Times New Roman"/>
          <w:b w:val="false"/>
          <w:i w:val="false"/>
          <w:color w:val="000000"/>
          <w:sz w:val="28"/>
        </w:rPr>
        <w:t>
      обеспечить более эффективное бюджетное планирование за счет консолидации полной информации о наличии, протяженности, состоянии инженерных сетей, объектов социальной инфраструктуры и ее увязке с демографическим прогнозом.</w:t>
      </w:r>
    </w:p>
    <w:bookmarkEnd w:id="685"/>
    <w:bookmarkStart w:name="z692" w:id="68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Схемы перспективного развития регионов</w:t>
      </w:r>
    </w:p>
    <w:bookmarkEnd w:id="686"/>
    <w:bookmarkStart w:name="z693" w:id="687"/>
    <w:p>
      <w:pPr>
        <w:spacing w:after="0"/>
        <w:ind w:left="0"/>
        <w:jc w:val="both"/>
      </w:pPr>
      <w:r>
        <w:rPr>
          <w:rFonts w:ascii="Times New Roman"/>
          <w:b w:val="false"/>
          <w:i w:val="false"/>
          <w:color w:val="000000"/>
          <w:sz w:val="28"/>
        </w:rPr>
        <w:t>
      1. Перспективное расселение населения.</w:t>
      </w:r>
    </w:p>
    <w:bookmarkEnd w:id="687"/>
    <w:bookmarkStart w:name="z694" w:id="688"/>
    <w:p>
      <w:pPr>
        <w:spacing w:after="0"/>
        <w:ind w:left="0"/>
        <w:jc w:val="both"/>
      </w:pPr>
      <w:r>
        <w:rPr>
          <w:rFonts w:ascii="Times New Roman"/>
          <w:b w:val="false"/>
          <w:i w:val="false"/>
          <w:color w:val="000000"/>
          <w:sz w:val="28"/>
        </w:rPr>
        <w:t xml:space="preserve">
      </w:t>
      </w:r>
    </w:p>
    <w:bookmarkEnd w:id="688"/>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5" w:id="689"/>
    <w:p>
      <w:pPr>
        <w:spacing w:after="0"/>
        <w:ind w:left="0"/>
        <w:jc w:val="both"/>
      </w:pPr>
      <w:r>
        <w:rPr>
          <w:rFonts w:ascii="Times New Roman"/>
          <w:b w:val="false"/>
          <w:i w:val="false"/>
          <w:color w:val="000000"/>
          <w:sz w:val="28"/>
        </w:rPr>
        <w:t>
      2. Развитие железнодорожного транспорта и аэропорты.</w:t>
      </w:r>
    </w:p>
    <w:bookmarkEnd w:id="689"/>
    <w:bookmarkStart w:name="z696" w:id="690"/>
    <w:p>
      <w:pPr>
        <w:spacing w:after="0"/>
        <w:ind w:left="0"/>
        <w:jc w:val="both"/>
      </w:pPr>
      <w:r>
        <w:rPr>
          <w:rFonts w:ascii="Times New Roman"/>
          <w:b w:val="false"/>
          <w:i w:val="false"/>
          <w:color w:val="000000"/>
          <w:sz w:val="28"/>
        </w:rPr>
        <w:t xml:space="preserve">
      </w:t>
      </w:r>
    </w:p>
    <w:bookmarkEnd w:id="690"/>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7" w:id="691"/>
    <w:p>
      <w:pPr>
        <w:spacing w:after="0"/>
        <w:ind w:left="0"/>
        <w:jc w:val="both"/>
      </w:pPr>
      <w:r>
        <w:rPr>
          <w:rFonts w:ascii="Times New Roman"/>
          <w:b w:val="false"/>
          <w:i w:val="false"/>
          <w:color w:val="000000"/>
          <w:sz w:val="28"/>
        </w:rPr>
        <w:t>
      3. Уровень урбанизации.</w:t>
      </w:r>
    </w:p>
    <w:bookmarkEnd w:id="691"/>
    <w:bookmarkStart w:name="z698"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93"/>
    <w:p>
      <w:pPr>
        <w:spacing w:after="0"/>
        <w:ind w:left="0"/>
        <w:jc w:val="both"/>
      </w:pPr>
      <w:r>
        <w:rPr>
          <w:rFonts w:ascii="Times New Roman"/>
          <w:b w:val="false"/>
          <w:i w:val="false"/>
          <w:color w:val="000000"/>
          <w:sz w:val="28"/>
        </w:rPr>
        <w:t>
      4. Прогноз обеспеченности населения жильем до 2030 года.</w:t>
      </w:r>
    </w:p>
    <w:bookmarkEnd w:id="693"/>
    <w:bookmarkStart w:name="z700" w:id="694"/>
    <w:p>
      <w:pPr>
        <w:spacing w:after="0"/>
        <w:ind w:left="0"/>
        <w:jc w:val="both"/>
      </w:pPr>
      <w:r>
        <w:rPr>
          <w:rFonts w:ascii="Times New Roman"/>
          <w:b w:val="false"/>
          <w:i w:val="false"/>
          <w:color w:val="000000"/>
          <w:sz w:val="28"/>
        </w:rPr>
        <w:t xml:space="preserve">
      </w:t>
      </w:r>
    </w:p>
    <w:bookmarkEnd w:id="694"/>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1" w:id="695"/>
    <w:p>
      <w:pPr>
        <w:spacing w:after="0"/>
        <w:ind w:left="0"/>
        <w:jc w:val="both"/>
      </w:pPr>
      <w:r>
        <w:rPr>
          <w:rFonts w:ascii="Times New Roman"/>
          <w:b w:val="false"/>
          <w:i w:val="false"/>
          <w:color w:val="000000"/>
          <w:sz w:val="28"/>
        </w:rPr>
        <w:t>
      5. Развитие системы газоснабжения и электроснабжения.</w:t>
      </w:r>
    </w:p>
    <w:bookmarkEnd w:id="695"/>
    <w:bookmarkStart w:name="z702" w:id="696"/>
    <w:p>
      <w:pPr>
        <w:spacing w:after="0"/>
        <w:ind w:left="0"/>
        <w:jc w:val="both"/>
      </w:pPr>
      <w:r>
        <w:rPr>
          <w:rFonts w:ascii="Times New Roman"/>
          <w:b w:val="false"/>
          <w:i w:val="false"/>
          <w:color w:val="000000"/>
          <w:sz w:val="28"/>
        </w:rPr>
        <w:t xml:space="preserve">
      </w:t>
      </w:r>
    </w:p>
    <w:bookmarkEnd w:id="696"/>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697"/>
    <w:p>
      <w:pPr>
        <w:spacing w:after="0"/>
        <w:ind w:left="0"/>
        <w:jc w:val="both"/>
      </w:pPr>
      <w:r>
        <w:rPr>
          <w:rFonts w:ascii="Times New Roman"/>
          <w:b w:val="false"/>
          <w:i w:val="false"/>
          <w:color w:val="000000"/>
          <w:sz w:val="28"/>
        </w:rPr>
        <w:t>
      6. Потенциал развития ВИЭ, переработка ТБО.</w:t>
      </w:r>
    </w:p>
    <w:bookmarkEnd w:id="697"/>
    <w:bookmarkStart w:name="z704"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99"/>
    <w:p>
      <w:pPr>
        <w:spacing w:after="0"/>
        <w:ind w:left="0"/>
        <w:jc w:val="both"/>
      </w:pPr>
      <w:r>
        <w:rPr>
          <w:rFonts w:ascii="Times New Roman"/>
          <w:b w:val="false"/>
          <w:i w:val="false"/>
          <w:color w:val="000000"/>
          <w:sz w:val="28"/>
        </w:rPr>
        <w:t>
      7. Схема перспективной экономической специализации регионов.</w:t>
      </w:r>
    </w:p>
    <w:bookmarkEnd w:id="699"/>
    <w:bookmarkStart w:name="z706" w:id="700"/>
    <w:p>
      <w:pPr>
        <w:spacing w:after="0"/>
        <w:ind w:left="0"/>
        <w:jc w:val="both"/>
      </w:pPr>
      <w:r>
        <w:rPr>
          <w:rFonts w:ascii="Times New Roman"/>
          <w:b w:val="false"/>
          <w:i w:val="false"/>
          <w:color w:val="000000"/>
          <w:sz w:val="28"/>
        </w:rPr>
        <w:t xml:space="preserve">
      </w:t>
      </w:r>
    </w:p>
    <w:bookmarkEnd w:id="700"/>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701"/>
    <w:p>
      <w:pPr>
        <w:spacing w:after="0"/>
        <w:ind w:left="0"/>
        <w:jc w:val="both"/>
      </w:pPr>
      <w:r>
        <w:rPr>
          <w:rFonts w:ascii="Times New Roman"/>
          <w:b w:val="false"/>
          <w:i w:val="false"/>
          <w:color w:val="000000"/>
          <w:sz w:val="28"/>
        </w:rPr>
        <w:t>
      Примечание: расшифровка аббревиатур:</w:t>
      </w:r>
    </w:p>
    <w:bookmarkEnd w:id="701"/>
    <w:tbl>
      <w:tblPr>
        <w:tblW w:w="0" w:type="auto"/>
        <w:tblCellSpacing w:w="0" w:type="auto"/>
        <w:tblBorders>
          <w:top w:val="none"/>
          <w:left w:val="none"/>
          <w:bottom w:val="none"/>
          <w:right w:val="none"/>
          <w:insideH w:val="none"/>
          <w:insideV w:val="none"/>
        </w:tblBorders>
      </w:tblPr>
      <w:tblGrid>
        <w:gridCol w:w="5764"/>
        <w:gridCol w:w="1603"/>
        <w:gridCol w:w="4933"/>
      </w:tblGrid>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ВИЭ</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возобновляемый источник энергии</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16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учебное заведение</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ЖКХ</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часов</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статистике Министерства национальной экономики Республики Казахстан</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ЛРТ</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Легкорельсового транспорта</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РК</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международного сотрудничества и развития</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скоростного автобусного транспорта</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CKO</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ТЛЦ</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транспортно-логистический центр</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городской район</w:t>
            </w:r>
          </w:p>
        </w:tc>
      </w:tr>
      <w:tr>
        <w:trPr>
          <w:trHeight w:val="30" w:hRule="atLeast"/>
        </w:trPr>
        <w:tc>
          <w:tcPr>
            <w:tcW w:w="5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ШПД</w:t>
            </w:r>
          </w:p>
        </w:tc>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широкополосный доступ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