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d59c" w14:textId="77dd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2019 года № 526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2018 года "О республиканском бюджете на 2019 – 2021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финансирования обновления парка пассажирских вагонов через акционерное общество "БРК-Лизинг".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"Национальный управляющий холдинг "Байтерек";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своевременного погашения и обслуживания бюджетного кредита.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"Национальный управляющий холдинг "Байтерек" (по согласованию) ежеквартально, не позднее 10-го числа месяца, следующего за отчетным периодом, представлять информацию об освоении кредита в министерства финансов, индустрии и инфраструктурного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инфраструктурного развития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2019 года № 526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финансирования обновления парка пассажирских вагонов через акционерное общество "БРК-Лизинг"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кредита акционерному обществу "Национальный управляющий холдинг "Байтерек" (далее – заемщик) устанавливаются следующие основные условия: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предоставляется в сумме 11 258 978 000 (одиннадцать миллиардов двести пятьдесят восемь миллионов девятьсот семьдесят восемь тысяч)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2018 года "О республиканском бюджете на 2019 – 2021 годы" по бюджетной программе 219 "Кредитование АО "Национальный управляющий холдинг "Байтерек" с последующим кредитованием АО "Банк Развития Казахстана" для финансирования обновления парка пассажирских вагонов через АО "БРК-Лизинг";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заемщику в тенге на условиях срочности, платности и возвратности сроком на 20 (двадцать) лет по ставке вознаграждения, равной 0,05 % годовых;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 кредита из республиканского бюджета осуществляется путем единовременного перечисления всей суммы кредита на счет заемщика;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составляет 2 (два) года со дня перечисления кредита на счет заемщика;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1 (один) раз в год;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кредиту осуществляется заемщиком равными долями по истечении льготного периода, который составляет 6 (шесть) лет;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целью предоставления бюджетного кредита является последующее кредитование заемщиком акционерного общества "Банк Развития Казахстана" со ставкой вознаграждения 0,08 % годовых для последующего кредитования акционерного общества "БРК-Лизинг" со ставкой вознаграждения 0,1 % годовых со сроком на 20 (двадцать) лет для финансирования обновления парка пассажирских вагонов акционерного общества "Пассажирские перевозки".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кредитов устанавливаются в кредитных договорах в соответствии с бюджетным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