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d924" w14:textId="780d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ноября 2016 года № 653 "Об утверждении Правил (методики)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2016 года № 653 "Об утверждении Правил (методики)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при осуществлении экспортных операций с сырой нефтью, полученной в качестве доли Республики Казахстан по Соглашению о разделе продукции по Северному Каспию от 18 ноября 1997 года,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Цена сделки (реализации) рассчитывается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P = B + S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 D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цена сделки (реализации) на сырую нефть;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Platts, на каждую отгрузку с учетом котировок, действующих в течение пяти котировальных дней, следующих за датой коносамента;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спрэд (Spread vs Fwd Dated Brent в строке CPC Blend CIF), одна или средняя нескольких последовательных средних котировок, публикуемых в источнике информации Platts, в период с 10 по 25 день до 1 дня окна погрузки в соответствии с условиями контракта.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грузов с окнами погрузки в первой и второй декаде месяца применяется спрэд (котировка) в период с 1 по 25 календарный день до 1 дня окна погрузки. Окна погрузки в порту погрузки определяются на основе утвержденного официального позиционного графика, выпускаемого морским терминалом по заявке, полученной от транспортной компании.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дифференциал, учитываемый в зависимости от условий поставки сырой нефти, определенный в контракте,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 судна;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сверхнормативному простою танкера, буксировке и пилотажу при прохождении турецких проливов;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скидку (премию) на партии нефти с поставкой танкерами объемом 135 тысяч тонн к партиям с поставкой танкерами объемом 85 тысяч тонн (CPC-85-135);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доставке сырой нефти до портов Черного моря по маршруту Атырау-Самара для последующей продажи на условиях FOB цена сделки (реализации) рассчитывается по следующей формуле: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P = B + S ± К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 D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цена сделки (реализации) на сырую нефть;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средняя из средних котировок на сырую нефть сорта североморский ценовой эталон за 1 (один) баррель, применяемых на соответствующем рынке в соответствии с условиями контракта, опубликованных в источнике информации Platts, на каждую отгрузку с учетом котировок, действующих в течение пяти котировальных дней, следующих за датой коносамента;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спрэд (Spread vs Fwd Dated Brent в строке Urals RCMB), одна или средняя нескольких последовательных средних котировок, публикуемых в источнике информации Platts, в период с 10 по 25 день до 1 дня окна погрузки в соответствии с условиями контракта.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грузов с окнами погрузки в первой и второй декаде месяца применяется спрэд (котировка) в период с 1 по 25 календарный день до 1 дня окна погрузки. Окна погрузки в порту погрузки определяются на основе утвержденного официального позиционного графика, выпускаемого морским терминалом по заявке, полученной от транспортной компании;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корректировка цены по градусу API (эскаляция-деэскаляция) рассчитывается в виде премии/скидки в случае, если качество сырой нефти выше/ниже стандартного промежутка базовых пределов плотности (например, 32.00-32.09 градусов API для нефти сорта Urals) по условиям контракта;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дифференциал, учитываемый в зависимости от условий поставки сырой нефти, определенный в контракте, применяемый для приведения в сопоставимые экономические условия цены из источника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включающий в себя: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фрахту судна;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страхованию груза;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портовые сборы;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сверхнормативному простою танкера, буксировке и пилотажу при прохождении турецких проливов;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скидку (премию) на партии нефти с поставкой танкерами объемом 140 тысяч тонн к партиям с поставкой танкерами объемом 80 тысяч тонн (URL-80-135);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маржу покупателя;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инспекции груза;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расходы по открытию и обслуживанию безотзывного аккредитива;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потерям при перевозке сырой нефти.";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Скидка (премия) на партии нефти с поставкой танкерами объемом 140 тысяч тонн (Suezmax) к партиям с поставкой танкерами объемом 80 тысяч тонн (Afrаmax) определяется как среднее из средних значений котировок URL-80-135, согласно данным Thomson Reuters, в период с 10 по 25 день до 1 дня окна погрузки. При этом, в случае, если котировка имеет отрицательное значение, то данная составляющая дифференциала увеличивает общее значение дифференциала и уменьшает значение цены и, наоборот, в случае положительного значения котировки, уменьшает общее значение дифференциала и увеличивает значение цены. Для судна класса Aframax скидка к танкерным партиям не применяется.";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Скидка (премия) на партии нефти с поставкой танкерами объемом 135 тысяч тонн (Suezmax) к партиям с поставкой танкерами объемом 85 тысяч тонн (Afrаmax) определяется как среднее из средних значений котировок CPC-85-135, согласно данным Thomson Reuters, в период с 10 по 25 день до 1 дня окна погрузки. При этом, в случае, если котировка имеет отрицательное значение, то данная составляющая дифференциала увеличивает общее значение дифференциала и уменьшает значение цены и, наоборот, в случае положительного значения котировки, уменьшает общее значение дифференциала и увеличивает значение цены. Для судна класса Aframax скидка к танкерным партиям не применяется.".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