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ff0a" w14:textId="0b1f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Организацией экономического сотрудничества и развития о реализации проекта "Формирование эффективных национальных стратегий по навыкам"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апреля 2019 года № 205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Организацией экономического сотрудничества и развития о реализации проекта "Формирование эффективных национальных стратегий по навыкам".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труда и социальной защиты населения Республики Казахстан Сапарбаева Бердыбека Машбековича подписать от имени Правительства Республики Казахстан Соглашение между Правительством Республики Казахстан и Организацией экономического сотрудничества и развития о реализации проекта "Формирование эффективных национальных стратегий по навыкам",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2019 года № 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и Организацией экономического сотрудничества и развития о реализации</w:t>
      </w:r>
      <w:r>
        <w:br/>
      </w:r>
      <w:r>
        <w:rPr>
          <w:rFonts w:ascii="Times New Roman"/>
          <w:b/>
          <w:i w:val="false"/>
          <w:color w:val="000000"/>
        </w:rPr>
        <w:t>проекта "Формирование эффективных национальных стратегий по навыкам"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Организация экономического сотрудничества и развития (далее - ОЭСР), далее по отдельности именуемые "Сторона" или совместно именуемые "Стороны", заключили настоящее Соглашение о нижеследующем: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Предмет Соглашения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ОЭСР в ходе своей работы по формированию эффективных национальных стратегий по навыкам в рамках Программы работы и бюджета 2019-2020 годов (далее - ПРБ) будет осуществлять проект "Формирование эффективных национальных стратегий по навыкам" в Казахстане (далее - Проект), по результатам которого ОЭСР подготовит отчет ОЭСР о диагностике стратегии навыков: Казахстан (далее - отчет) для публикации в 2021 году.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Правительство Республики Казахстан соглашается финансировать работу, которую ОЭСР будет выполнять в рамках проекта.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Взнос может использоваться для финансирования расходов, понесенных в период начиная с 1 мая 2019 года и заканчивая 30 апреля 2021 года, продолжительность проекта.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Продление любых результатов ОЭСР после 2020 года подлежит дальнейшему включению Советом ОЭСР в ПРБ ОЭСР. Однако в случае, если эти результаты в конечном итоге не будут включены в будущую ПРБ, ОЭСР имеет право прекратить работу, финансируемую за счет этого взноса, и расторгнуть настоящее Соглашение; в этом случае финансирующая Сторона будет покрывать только расходы, понесенные ОЭСР до даты расторжения.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Бюджет и механизмы финансирования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Правительство Республики Казахстан обязуется предоставить ОЭСР взнос в размере 500 ООО (пятьсот тысяч) евро в счет расходов на осуществление Проекта.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Взнос будет выплачиваться тремя траншами. Первый транш (аванс) в размере 235 000 (двести тридцать пять тысяч) евро будет выплачен в июне 2019 года после получения соответствующего счета-фактуры от ОЭСР. Второй транш (аванс) в размере 215 000 (двести пятнадцать тысяч) евро будет выплачен в декабре 2019 года после получения соответствующего счета-фактуры от ОЭСР. Третий транш в размере 50 000 (пятьдесят тысяч) евро будет выплачен по завершению Проекта после получения окончательного отчета о расходах, как указано в пункте 8 статьи 3 и соответствующего счета-фактуры от ОЭСР.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ОЭСР осваивает этот взнос в соответствии с финансовыми положениями и другими соответствующими правилами, политикой и процедурами ОЭСР, которые в настоящее время предусматривают взимание сбора для возмещения административных затрат в размере 5,3% от общей суммы взносов. Расходы будут отражаться на счетах ОЭСР, которые следуют общепринятым принципам бухгалтерского учета и подлежат аудиту в соответствии со стандартными правилами аудита ОЭСР.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Описание мероприятий и отчетности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ОЭСР реализует Проект в соответствии с техническим заданием согласно приложению к настоящему Соглашению.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течение двух месяцев после подписания Соглашения ОЭСР прибудет в Казахстан с первой миссией, чтобы провести семинар ОЭСР по стратегии навыков с участием межведомственной национальной проектной группы с представительством должностных лиц из соответствующих министерств и ведомств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течение четырех месяцев после проведения семинара ОЭСР по стратегии навыков и получения заполненного вопросника от Правительства Республики Казахстан ОЭСР прибудет в Казахстан со второй миссией, чтобы провести диагностический практикум для обсуждения ключевых факторов, приоритетных для политики в области навыков.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течение четырех месяцев после проведения диагностического практикума ОЭСР прибудет в Казахстан с третьей миссией, чтобы провести практикум по передовому опыту, рассмотреть проекты рекомендаций, разработанных для Казахстана, и определить ключевые аспекты реализации.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ОЭСР завершит подготовку отчета ОЭСР о диагностике стратегии навыков: Казахстан (отчет) до 30 ноября 2020 года.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течение двух месяцев по завершению отчета ОЭСР совместно с Правительством Республики Казахстан проведет публичное мероприятие с участием как представителей Казахстана, так и ОЭСР, чтобы презентовать отчет ОЭСР о диагностике стратегии навыков: Казахстан". Целями мероприятия являются повышение осведомленности общественности и создание широкой базы поддержки для будущей деятельности, направленной на совершенствование системы навыков в Казахстане.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ОЭСР представит в Правительство Республики Казахстан промежуточный отчет о расходах в период с 1 мая 2019 года по 1 мая 2020 года в течение трех месяцев после окончания данного периода несения расходов.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течение трех месяцев после завершения Проекта ОЭСР представит в Правительство Республики Казахстан окончательный отчет о расходах.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Обмен информацией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настоящего Соглашения оказывают друг другу взаимную поддержку и представляют информацию, необходимую для осуществления Проекта. Любые сообщения между Сторонами адресуются: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Правительства Республики Казахстан: в Министерство труда и социальной защиты населения Республики Казахстан -010000, Астана (Нур-Султан), район Есиль, пр. Мәнгілік ел, 8, тел.: +7 (7172) 74-36-04, эл. почта: kense@enbek.gov.kz;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ОЭСР: Эндрю Белл, в Центр по навыкам ОЭСР, эл. почта: Andrew.Bell @oecd.org, тел.: +33 1 45 24 78 06 и Алессандро Голио, Директорат ОЭСР по занятости, трудовым и социальным делам, эл. почта: Alessandro.Goglio@oecd.org, тел.: +33 1 45 24 75 71, Франция, 75775 Paris Cedex 16, rue Andre Pascal, 2.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Использование результатов проекта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Результаты проекта в любой форме являются исключительной собственностью ОЭСР.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условии соблюдения прав третьих лиц, а также соблюдении правил и политики ОЭСР по засекречиванию и рассекречиванию документов, если применимо, ОЭСР предоставляет Правительству Республики Казахстан неисключительное право: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распространять и загружать на свой веб-сайт неизменяемые, доступные только для чтения публикации, выпущенные в рамках мероприятий, финансируемых за счет настоящего взноса, а также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копировать, использовать и распространять в некоммерческих целях копии публикации(-й) и других окончательных результатов, полученных в рамках мероприятий, финансируемых за счет настоящего взноса. Тем не менее, Правительство Республики Казахстан не имеет права выкладывать загружаемые версии публикации на свой веб-сайт.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любых обстоятельствах, если иное не установлено ОЭСР, Правительство Республики Казахстан обязуется всегда в надлежащем порядке признавать авторское право ОЭСР в соответствующих случаях.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ОЭСР сохраняет за собой право на первую публикацию Отчета вне зависимости от языка и формы такой публикации.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Печатный Отчет будет включать подтверждение вклада Правительства Республики Казахстан при отсутствии оснований для того, чтобы этот вклад не был подтвержден.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Любые данные или информация, являющиеся собственностью Правительства Республики Казахстан, представленные ОЭСР в ходе Проекта, остаются собственностью Правительства Республики Казахстан. ОЭСР имеет право использовать и/или включать вышеупомянутые данные и информацию в целях подготовки Отчета и в целом для осуществления Проекта.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ОЭСР предоставляет Правительству Республики Казахстан неисключительное право переводить отчет на казахский язык и публиковать его версию на казахском языке при наличии отдельного соглашения между Сторонами об условиях в соответствии со стандартными положениями ОЭСР. ОЭСР будет нести ответственность только за перевод документа на русский язык.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Разрешение споров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спор, разногласие или требование, вытекающие из настоящего Соглашения, связанные с ним или возникшие из-за его нарушения, прекращения или недействительности, подлежат разрешению в арбитражном порядке в соответствии с Арбитражными правилами Постоянной палаты третейского суда от 2012 года. Число арбитров - один. Язык арбитражного разбирательства - английский. Место арбитражного разбирательства - Париж (Франция). Стороны недвусмысленно отказываются от своего права добиваться аннулирования или отмены любого решения, вынесенного третейским судом.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Привилегии и иммунитеты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Ничто в настоящем Соглашении не должно толковаться как отказ ОЭСР от иммунитетов и привилегий международной организации.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8. Изменения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являющиеся неотъемлемыми частями настоящего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Соглашения, которые оформляются отдельными протоколами, вступающими в силу в соответствии со статьей 9 настоящего Соглашения.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 Вступление в силу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и действует с даты его подписания обеими Сторонами и принятия взноса Комитетом по бюджету ОЭСР в зависимости от того, что наступит позднее. Оно остается в силе и действует до тех пор, пока обе Стороны не выполнят все вытекающие из него обязательства.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"____" _________ в двух экземплярах, каждый на казахском, русском и английском языках. В случае возникновения несогласия при толковании положений настоящего Соглашения, Стороны обращаются к версии на английском языке, которая является единственной подлинной версией.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и развития-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Бердыбек Сапарбаев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труда и социальной защиты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Стефано Скарпетта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Директор, Директорат по занятости,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трудовым и социальным делам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Подпись: 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Дата: __________________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Подпись: 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Дата: __________________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Организации экономического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сотрудничества и развития-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Антуан Пайль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Заместитель начальника Службы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 программами, бюджетом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финансами, Исполнительный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директорат.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Подпись: 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Дата: __________________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Организацией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сотрудничества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о реализации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"Формирование эффективных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стратегий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навыкам"</w:t>
            </w:r>
          </w:p>
        </w:tc>
      </w:tr>
    </w:tbl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Техническое задание к проекту "Формирование эффективных национальных стратегий по навыкам"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Навыки - новая валюта. Навыки играют ключевую роль в потенциале процветания стран и людей во все более взаимосвязанном и быстро меняющемся мире. Такие мегатенденции как глобализация, научно-техническая революция (в частности, цифровизация) и демографические изменения преобразуют форму работы и социальную среду, порождая растущий спрос на более высокие уровни нестандартных, когнитивных навыков, а также новые комплексы навыков. Навыки определяются ОЭСР как совокупность знаний, характеристик и способностей, которые могут быть освоены и позволяют людям успешно и регулярно выполнять какую-либо деятельность или задачу, а также могут быть развиты и улучшены посредством обучения.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ОЭСР по Стратегии навыков обеспечивают стратегический и комплексный подход к оценке проблем в области навыков в странах и созданию более эффективных систем навыков. ОЭСР тесно сотрудничает со странами для разработки стратегических планов на будущее и политических мер, которые позволят населению правильно сочетать навыки, необходимые для достижения устойчивого, инклюзивного роста, и позволят людям процветать в быстро меняющихся условиях.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ОЭСР по Стратегии навыков применяют подход, основанный на жизненном цикле, чтобы люди могли переучиваться и повышать квалификацию на протяжении всей своей жизни, с тем чтобы они могли приспосабливаться к быстрым изменениям на рабочем месте и обеспечивать благополучие и хорошие социальные результаты. Для этого потребуется укрепить систему навыков на трех уровнях: управление, финансирование и информационные системы.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Усовершенствованные системы управления требуют лучшей координации между различными уровнями правительства, а также с другими заинтересованными сторонами. Общая система навыков финансируется многими в рамках часто фрагментированной экосистемы, что обеспечивает четкое разделение обязанностей и правильные стимулы. Для оценки сильных и слабых сторон системы навыков и оценки влияния политики также необходимы хорошо проработанные информационные системы.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Какую пользу принесет внедрение Проекта ОЭСР Стратегии навыков в Казахстане?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нескольких лет Казахстан был одной из самых быстрорастущих экономик мира. Во многом благодаря буму природных ресурсов в начале 2000-х годов стране удалось повысить уровень жизни, снизить уровень бедности, увеличить занятость и инвестировать в образование. Однако недавние колебания цен на ресурсы показали уязвимость, связанную с сильной экономической зависимостью от одной высокоценной деятельности. Чтобы реагировать на эти современные вызовы и обеспечить лучшее будущее для своих людей, Казахстан должен повысить свои показатели в развитии, активизации и использовании навыков.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развитии навыков имеются значительные возможности для совершенствования. Несмотря на наличие высокого уровня образовательной подготовки, показатель по системе Международной программы по оценке образовательных достижений учащихся (PISA) сравнительно низок, а доля участников с низким показателем высока. Более того, хотя в последние годы Казахстан добился значительных успехов в реформировании своей системы высшего образования, еще многое предстоит сделать. Например, можно сделать гораздо больше для развития проекта "21</w:t>
      </w:r>
      <w:r>
        <w:rPr>
          <w:rFonts w:ascii="Times New Roman"/>
          <w:b w:val="false"/>
          <w:i w:val="false"/>
          <w:color w:val="000000"/>
          <w:vertAlign w:val="superscript"/>
        </w:rPr>
        <w:t>st</w:t>
      </w:r>
      <w:r>
        <w:rPr>
          <w:rFonts w:ascii="Times New Roman"/>
          <w:b w:val="false"/>
          <w:i w:val="false"/>
          <w:color w:val="000000"/>
          <w:sz w:val="28"/>
        </w:rPr>
        <w:t xml:space="preserve"> Century" ("21 век"), дополнительных навыков, борьбы со слабым инвестированием, сбора большего количества данных для анализа, устранения региональных и социально-демографических различий и улучшения профессионально-технической подготовки кадров (VBT-education).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первый взгляд, Казахстан очень хорошо справляется с активацией и использованием навыков: к примеру, производительность рынка труда очень высока. Однако качество работы (например, нарушение формальных требований, самозанятость и низкая оплата) остается проблемой, и Казахстан может сделать гораздо больше для активизации уязвимых групп (например, низкоквалифицированных рабочих, женщин) на рынке труда.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последние годы Казахстан прилагает усилия для решения этих вопросов, но для достижения этих целей на практике потребуются общеправительственные усилия, направленные на укрепление потенциала страны в развитии соответствующих навыков, активизации доступных навыков и эффективном использовании навыков. ОЭСР может поддержать Казахстан в этом начинании в рамках проекта Национальной стратегии навыков, который может внести значительный вклад, в том числе: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сравнительный анализ системы навыков в Казахстане: для того, чтобы лучше понять организации, политику и заинтересованные стороны, которые влияют на спрос и предложение навыков;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приоритетов политики: чтобы помочь Казахстану направлять инвестиции в области политики с наибольшим потенциалом для улучшения результатов навыков;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согласование политик: чтобы улучшить координацию политики и сформировать взаимодополняемость политики;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политических рекомендаций и определение соображений для реализации: чтобы поддержать Казахстан в переходе от диагноза к действию.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Как будет осуществляться Проект ОЭСР в Казахстане?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общеправительственного сотрудничества: максимизация потенциала навыков в Казахстане требует сотрудничества и координации между министерствами и уровнями правительства. Общеправительственный подход к навыкам предполагает координацию политических инициатив министерств, отвечающих за образование и подготовку, трудовые ресурсы, экономику, налоги, местное экономическое развитие, исследования и инновации и др.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взаимодействия с заинтересованными сторонами: эффективное проектирование и реализация политики в области навыков в Казахстане требует общего понимания необходимости совершенствования навыков, нынешних сильных сторон и проблем, стоящих перед системой навыков, и приоритетных областей деятельности. Это влечет за собой необходимость выйти за рамки правительства для налаживания прочных партнерских отношений со всеми задействованными участниками, такими как работодатели, профсоюзы, учебные заведения, студенты и другие заинтересованные стороны.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высококачественного анализа: качественный анализ эффективности работы в Казахстане - это основа, на которой строится и реализуется более совершенная политика. Проект использует ОЭСР, национальные и другие источники данных, а также таланты и опыт в ОЭСР для предоставления Казахстану высококачественных консультаций о том, как разрабатывать и выполнять эффективные стратегии развития и использования навыков, а также для укрепления управления системы навыков. В проекте также будут использованы конкретные примеры политических инициатив из других стран и регионов, которые могут послужить важными уроками.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возможности взаимного обучения: возможности обучения сверстников помогут расширить и углубить понимание альтернативных подходов, которым страны и регионы могут учиться друг у друга. Это включает регулярные встречи между командами ОЭСР по проекту Стратегии навыков из участвующих стран (на дату подписания настоящего Соглашения: Австрия, Италия, Корея, Мексика, Нидерланды, Норвегия, Перу, Португалия, Словения и Испания).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Каковы общие цели Проекта в Казахстане?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целью настоящего Проекта ОЭСР является обеспечение стратегической оценки системы навыков в Казахстане для оказания технической помощи в разработке эффективной стратегии навыков для поддержки будущего экономического и социального развития. Проект призван быть межсекторальным и привлекать все соответствующие заинтересованные стороны. Он также будет подчеркивать развитие общих целей, согласованных и ориентированных на будущее политик в области навыков и эффективной координации.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Индивидуальный проект Стратегии навыков в Казахстане ОЭСР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этапе диагностики ОЭСР проведет анализ и оценку казахстанской системы навыков. Этот этап будет подразумевать сочетание кабинетных исследований, семинаров и встреч с государственными чиновниками и заинтересованными сторонами и завершится созданием "Отчета ОЭСР о диагностике стратегии навыков: Казахстан" ("Отчет"), ОЭСР: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 соответствующие тенденции на период 2020-2030 годов, уделив особое внимание демографическим, экономическим и социальным тенденциям и их последствиям для политики в области навыков в Казахстане.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Проведет анализ системы навыков в Казахстане, чтобы лучше понять всех участников, влияющих на показатели навыков в Казахстане.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Оценит существующие сильные и слабые стороны казахстанской системы навыков в сравнении с международными данными.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Опишет и оценит существующие политики в области навыков и оценит их фактическое или потенциальное воздействие.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Определит 3-4 приоритетные области для действий совместно с Казахстаном до начала Проекта. Принимая в расчет новую информацию, которая будет доступна в результате участия Казахстана в Обзоре навыков взрослого населения (PIAAC), эти приоритетные области могут включать, без ограничений: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более широкому участию во всех формах обучения и (рослого населения, а также лиц с ограниченными возможностями;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улучшение активизации навыков на рынке труда, в том числе молодежи, к (рослого населения и лиц с ограниченными возможностями;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укрепление навыков, информационных систем рынков труда и обучения;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усиление управления системы навыков.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Составит конкретные рекомендации как для правительства, так и для заинтересованных сторон в 3-4 приоритетных областях деятельности, учитывая препятствия, стоящие на пути к улучшению, а также передовые методы на национальном и международном уровнях.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Взаимодействие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Эффективное проектирование и реализация политики в области навыков в Казахстане потребует общего понимания необходимости совершенствования навыков, нынешних сильных сторон и проблем, стоящих перед системой навыков, и приоритетных областей деятельности. Это влечет за собой необходимость выйти за рамки правительства для создания прочных партнерских отношений со всеми задействованными участниками. Проект предназначен для привлечения всех заинтересованных сторон.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ОЭСР привлечет ключевые заинтересованные стороны из широкого круга секторов, в том числе: работодатели, профсоюзы, правительственные министерства и ведомства, службы занятости, профессиональные ассоциации, представители малого и среднего бизнеса, студенческие организации, региональные и местные органы власти, исследователи, учебные заведения и некоммерческие организации.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эти участники будут приглашены поделиться своими мнениями о системе навыков в Казахстане на семинары, посвященные Проекту. Каждое участвующее министерство предложит набор наиболее важных ключевых заинтересованных сторон, которые будут приглашены на семинары. ОЭСР совместно с межведомственной национальной проектной группой примет решение о том, какие заинтересованные стороны будут приглашены. Взаимодействие с заинтересованными сторонами будет проводиться в виде небольших дискуссий в группах. Презентации и пленарные заседания ОЭСР будут проводиться на английском языке.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Каковы основные компоненты Проекта?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зависит от тесной взаимосвязи между специализированной междисциплинарной группой ОЭСР и межведомственной национальной проектной группой. Информация ниже иллюстрирует ключевые этапы проекта и сроков.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первого месяца работы ОЭСР разработает предварительный оперативный план по Проекту, в котором будут определены мероприятия, результаты и сроки Проекта, а также предварительный общий опросник для Казахстана, который будет представлен ниже.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ОЭСР прибудет с первой миссией в Казахстан для проведения следующих мероприятий: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семинар ОЭСР по стратегии навыков с целью собрать политиков и руководящих работников из соответствующих министерств и организаций Республики Казахстан, в том числе потенциально - Министерства труда и социальной защиты населения, Министерства образования и науки, Министерства национальной экономики, Министерства индустрии и инфраструктурного развития, Национальной палаты предпринимателей "Атамекен" и других. Семинар будет иметь следующие цели: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Стратегии навыков ОЭСР в качестве стратегической основы для развития соответствующих навыков, активизации предложения навыков и обеспечение их эффективного применения;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обсуждений на высоком уровне вопросов повышения системы навыков в Казахстане;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приоритетных областей, которые необходимо охватить на данном этапе после переговоров с казахстанской стороной (до семинара будет организована встреча между ОЭСР и Казахстаном);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реализуемых в Казахстане реформ по данным приоритетным отраслям;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сроков для реализации проектов и определение ключевых ролей и обязанностей;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встречи между ОЭСР и межведомственной национальной проектной группой. Цели встречи: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состава, ролей и обязанностей межведомственной национальной проектной группы, утверждение целей и приоритетов правительства Казахстана относительно Проекта с ОЭСР (данная цель включает в себя достижение соглашения об обмене информацией между межведомственной национальной проектной группой и ОЭСР через проектного координатора);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масштабов приоритетных областей, которые необходимо охватить на данном этапе;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завершение операционного плана Проекта;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организационных мер для первого семинара;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 обсуждение общего опросника и подготовка ответов на все вопросы со стороны Казахстана;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завершения подготовки общего опросника приблизительно в 30 страниц межведомственной национальной проектной группе будет дано два месяца. Опросник должен отражать следующую информацию: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всех важных текущих и недавно введенных стратегических реформ и программ в сфере повышения квалификации, включая их историю, цели, основные виды деятельности, сроки, распределение бюджетных средств и их источники, любые другие доступные данные о контроле и оценке;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ключевых действующих лиц и их ролей, обязанностей в реализации проекта;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самооценка эффективности работы в приоритетных областях, проводимая национальной проектной группой;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необходимых источников информации и исследований;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технические двусторонние встречи между ОЭСР и казахстанскими министерствами для планирования системы профессиональной подготовки.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ОЭСР осуществит вторую миссию в Казахстане, чтобы выполнить следующие действия: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учебный семинар для представителей министерств, входящих в межведомственную национальную проектную группу (Министерства труда и социальной защиты населения, Министерства образования и науки, Министерства национальной экономики, Министерства индустрии и инфраструктурного развития), а также других соответствующих государственных учреждений и всех заинтересованных сторон (например, Национальная палата предпринимателей РК "Атамекен", ассоциации работодателей, студенческие ассоциации, профсоюзы, учебные заведения, колледжи и школы профессионального образования и подготовки, агентства по трудоустройству и агентства по экономическому развитию). Целью данного семинара будет обсуждение ключевых факторов политики в области навыков, определенных ОЭСР и межведомственной национальной проектной группой.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семинара получат "Информационную справку стратегий навыков ОЭСР" на английском языке, заранее подготовленную группой ОЭСР, в которой будут представлены ключевые данные об успехах развития, внедрения и применения навыков в Казахстане.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выступлений экспертов ОЭСР по актуальным для казахстанской системы навыков темам участники в небольших группах будут прорабатывать специальные упражнения.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Рабочая встреча с межведомственной национальной проектной группой: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ОЭСР направит проект плана доклада, определяющий основные проблемы, стоящие перед системой навыков в Казахстане на основе сравнительного анализа ОЭСР, и результаты семинаров с заинтересованными сторонами за две недели до встречи, чтобы получить комментарии и замечания от межведомственной национальной проектной группы, если таковые имеются;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ОЭСР рассмотрит и обновит список предварительных рекомендаций по проектам, подготовленным ОЭСР совместно с межведомственной национальной проектной группой для включения их в отчет, если это будет сочтено актуальным для ОЭСР.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Технические двусторонние встречи между ОЭСР и соответствующими казахстанскими партнерами для обсуждения и проверки основных результатов доклада.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ОЭСР осуществит третью миссию в Казахстане для проведения семинара по передовому опыту. На данном семинаре соберутся заинтересованные стороны для обсуждения проекта перечня рекомендаций для Казахстана, определения ключевых шагов для реализации и обсуждения передового опыта в Казахстане и других странах.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Общественное мероприятие, посвященное "Отчету ОЭСР о диагностике стратегии навыков: Казахстан" будет проведено для привлечения внимания общественности и разработки широкой базы поддержки будущих действий по совершенствованию системы навыков в Казахстане.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протяжении всего проекта между ОЭСР и межведомственной национальной проектной группой будут проводиться регулярные встречи с помощью теле- или видеоконференций для обеспечения координации мер по проекту, облегчения обмена знаниями и способствования применения общегосударственного подхода к политике в области навыков.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Последующие действия после реализации Проекта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процедурой Проекта стратегии по навыкам ОЭСР, каждая страна или регион, завершивший этап диагностики, может перейти к этапу имплементации при условии дополнительного финансирования, опираясь на вклад ОЭСР и поддержку в осуществлении. Окончательное решение о проведении последовательного этапа действия может быть принято Казахстаном в любой момент на этапе диагностики. Цель заключалась бы в том, чтобы использовать опыт ОЭСР в поддержку собственных приоритетов правительства для принятия мер, в частности, в отношении результатов этапа диагностики и будет предметом нового проектного предложения.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этапа действия будет зависеть от количества тем, которые Казахстан хотел бы охватить в ходе проекта.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Какова предлагаемая стоимость и график реализации проекта?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диагностики начнется в мае 2019 года и будет завершен через 24 месяца, общий бюджет для покрытия расходов ОЭСР составляет 500 тыс. евро. (Примечание: расходы, связанные с логистикой, не включены в этот бюджетный показатель).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Казахстан будет заинтересован в этапе действий, реализация и завершение этапа действий будут подлежать дополнительному финансированию, и для этого может быть подготовлен бюджет, объем которого будет определяться масштабом действий.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2"/>
        <w:gridCol w:w="4888"/>
      </w:tblGrid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бюджета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ЕВРО
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362100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Централизованные услуги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консультацию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Поездки сотрудников и экспертов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19 380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(включая документацию, IT и т.д.)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34 270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управление VC (5,3%)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</w:tbl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любой перерасход средств по одной бюджетной линии может быть компенсирован снижением расходов на другую линию бюджета, оставаясь в общем бюджете.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Для получения дополнительной информации о страновых проектах национальной стратегии по навыкам обращайтесь: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Монтсеррат Гомендио, руководитель Центра навыков ОЭСР и заместитель директора Директората образования и навыков ОЭСР: montserrat.gomendio@oecd.org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Стефано Скарпетта, Директор по вопросам занятости, труда и социальным вопросам: stefano.scarpetta@oecd.org.</w:t>
      </w:r>
    </w:p>
    <w:bookmarkEnd w:id="127"/>
    <w:bookmarkStart w:name="z13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Группа ОЭСР и межведомственная национальная проектная группа Казахстана:</w:t>
      </w:r>
      <w:r>
        <w:br/>
      </w:r>
      <w:r>
        <w:rPr>
          <w:rFonts w:ascii="Times New Roman"/>
          <w:b/>
          <w:i w:val="false"/>
          <w:color w:val="000000"/>
        </w:rPr>
        <w:t>Роли и обязанности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5"/>
        <w:gridCol w:w="5735"/>
      </w:tblGrid>
      <w:tr>
        <w:trPr>
          <w:trHeight w:val="30" w:hRule="atLeast"/>
        </w:trPr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 ОЭСР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Общее управление проектом и ответственность за процесс и 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Формирование проектной группы ОЭСР, опираясь на опыт различных директоратов, имеющих отношение к проекту и региональным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Консультация межведомственной национальной проектной группы Казахстана по управлению критическими факторами успеха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Подготовка общего плана проекта, определение последовательности и завершения деятельности проекта в рамках согласованного бюджета и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Содействовать в организации семинаров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Проектирование и проведение семинаров в тесном сотрудничестве с межведомственной национальной проектной группой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Представление материалов и упражнений для семинаров, тщательно отобранных из ряда материалов ОЭСР для адаптации к обстоятельствам и задачам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Брифингование межведомственной национальной проектной группы перед семинарами, проведение опроса после семинаров с целью дальнейшего применения знаний, полученных в процессе совместного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Поддержание регулярных контактов с межведомственной национальной проектной группой для обеспечения общего понимания целей, этапов и прогресса в ходе проекта (например, посредством теле - или видеоконференций)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Информирование и привлечение соответствующих сотрудников ОЭСР на каждом этапе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Участие в соответствующих региональных мероприятиях, выступая с претензиями 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навыков, при необходимости и если ОЭСР сочтет приемлемым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Представление необходимой и своевременной информации о ходе и результатах проекта через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официальные каналы (например, комитеты ОЭСР, Консультативную группу по стар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тегии навыков ОЭСР) и основным заинтересованным сторонам (например, Европейской комиссии) когда это уместно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целесообразно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При необходимости Продвижение и распространение основных итогов и результатов проекта через платформы связи ОЭСР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Сравнительные данные ОЭСР, анализы и примеры из стран ОЭСР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Представление сравнительных данных и проведение анализа ОЭСР для освещения проблем, имеющих отношение к Казахстану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Выявление и привидение международной практики и привлечение ведущих специалистов-практиков из ключевых стран 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Составление и публикация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Подготовка и распространение проектов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итогам проведения семинаров межведомственной национальной проектной группе для представления замечаний в соответствии с графиком, согласования между ОЭСР и межведомственной национальной проектной группой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Составление первоначального плана и отчета, распространени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среди межведомственной национальной проектной группы для комментариев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Публи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кация отчета (на английском языке) в течении 1 месяца после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Перевод отчета на 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Межведомственная национальная проектная группа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Главный исполнитель Казахстана: Министерство труда и социальной защиты населения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соисполнитель: Министерство образования и науки Республики Казахстан и другие заинтересованные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Координация осуществления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Создание межведомственной национальной проектной группы и назначение проектного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Проведение регулярных совещаний проектной группы в рамках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Определение основных заинтересованных сторон для участия в проекте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Координация, организация и обеспечение всех практических мероприятий для деятельности в рамках проекта в Казахстане – включая поиск и аренду помещения для семинаров, логистику, кофе-брейки, переводы (при необходимости)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Источник экспертных знаний о навыках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Заполнить опросник в течение двух месяцев после проведения семинара по стратегии навыков и перед второй миссией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Представление основной информации, опыта по основным национальным и региональным данным и анализам по навыкам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Обеспечить руководство по актуальности международных данных и тому, какой другой международный опыт будет наиболее полезен в условиях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Взаимодействие в Казахстане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Обеспечение своевременной и соответствующей отчетности для министров о ходе и результатах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Обеспечение обсуждения и распространения отдельных вопросов по проекту внутри своего министерства/организации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Выполнение функции основного контактного лица с заинтересованными сторонами, включая приглашение их на семинары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Представление регулярной обновленной информации заинтересованным сторонам (например, по электронной почте или путем проведения коротких совещаний между семинарами)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Взаимодействие с группой ОЭСР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регулярных контактов с группой ОЭСР для обеспечения общего понимания целей и прогресса в течение реализации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Оказание необходимой помощи для разработки проекта и подготовки рабочих совещаний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Представление ОЭСР актуальной информации и замечаний по проектным отчетам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Координация замечаний заинтересованных сторон группе ОЭСР (например, о семинарах, отчетах)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Информирование группы ОЭСР о любых событиях, которые могут повлиять на результаты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Участие в разработке и проведении семинаров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Обеспечение соответствующей информацией группы ОЭСР о планировании семинаров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Определение и стимулирование участия основных заинтересованных сторон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Выполнение функции посредников для обсуждения в малых группах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Представление ОЭСР замечаний по каждому семинару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Перевод отчета на казахский язык (с учетом отдельного письменного соглашения с ОЭСР)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