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c925" w14:textId="118c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944. Утратило силу постановлением Правительства Республики Казахстан от 2 февраля 2022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 "Введение":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предприниматель – субъект малого и (или) среднего предпринимательства,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29 октября 2015 года, а также субъект частного предпринимательства, указанный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направления, пути достижения поставленных целей Программы и соответствующие меры":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субсидирование ставки вознаграждения по кредитам, выданным в рамках обеспечения долгосрочной тенговой ликвидности для решения задачи доступного кредитования в обрабатывающей промышленности и услуг, а также по переработке в агропромышленном комплексе.";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и пунктом 109-1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ставки вознаграждения по кредитам, выданным в рамках обеспечения долгосрочной тенговой ликвидности для решения задачи доступного кредитования в обрабатывающей промышленности и услуг, а также по переработке в агропромышленном комплексе.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109-1. Субсидирование ставки вознаграждения по кредитам, выданным в рамках обеспечения долгосрочной тенговой ликвидности для решения задачи доступного кредитования в обрабатывающей промышленности и услуг, а также по переработке в агропромышленном комплексе, осуществляется в соответствии с условиями,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