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101" w14:textId="df8d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941.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кредитования проектов в обрабатывающей промышленности и услуг на сумму свыше 10 миллиардов тенге, а также по производству и переработке в агропромышленном комплексе на сумму свыше 500 миллионов тенге необходимо положительное заключение соответствующего отраслевого центрального уполномоченного органа.";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 четвертый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субсидирования проектов СЧП в обрабатывающей промышленности, по услугам и переработке в агропромышленном комплексе: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предусмотренных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поддержки и развития бизнеса "Дорожная карта бизнеса-2020", утвержденной постановлением Правительства Республики Казахстан от 25 августа 2018 года № 522.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 кредитам СЧП осуществляется из средств республиканского бюджета. Перечисление средств финансовому агентству осуществляется уполномоченным органом по предпринимательству в соответствии с договором перечисления субсидий на специальный счет финансового агентства, открытый в Национальном Банке Республики Казахстан. При этом первый платеж перечисляется финансовому агентству в размере 50 % от суммы средств, предусмотренных в соответствующем финансовом году. Последующие платежи осуществляются по заявкам финансового агентства по потребности.";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"Условия, порядок и механизм субсидирования,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