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4fcd" w14:textId="e864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экономического сотрудничества и развития о реализации проекта "Стимулирование диверсификации и налаживание связей между прямыми иностранными инвестициями и малым и средним бизнесом"</w:t>
      </w:r>
    </w:p>
    <w:p>
      <w:pPr>
        <w:spacing w:after="0"/>
        <w:ind w:left="0"/>
        <w:jc w:val="both"/>
      </w:pPr>
      <w:r>
        <w:rPr>
          <w:rFonts w:ascii="Times New Roman"/>
          <w:b w:val="false"/>
          <w:i w:val="false"/>
          <w:color w:val="000000"/>
          <w:sz w:val="28"/>
        </w:rPr>
        <w:t>Постановление Правительства Республики Казахстан от 16 ноября 2018 года № 771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Организацией экономического сотрудничества и развития о реализации проекта "Стимулирование диверсификации и налаживание связей между прямыми иностранными инвестициями и малым и средним бизнесом".</w:t>
      </w:r>
    </w:p>
    <w:bookmarkEnd w:id="1"/>
    <w:bookmarkStart w:name="z5" w:id="2"/>
    <w:p>
      <w:pPr>
        <w:spacing w:after="0"/>
        <w:ind w:left="0"/>
        <w:jc w:val="both"/>
      </w:pPr>
      <w:r>
        <w:rPr>
          <w:rFonts w:ascii="Times New Roman"/>
          <w:b w:val="false"/>
          <w:i w:val="false"/>
          <w:color w:val="000000"/>
          <w:sz w:val="28"/>
        </w:rPr>
        <w:t>
      2.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"Стимулирование диверсификации и налаживание связей между прямыми иностранными инвестициями и малым и средним бизнесом",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 771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Организацией экономического сотрудничества и развития о реализации проекта "Стимулирование диверсификации и налаживание связей между прямыми иностранными инвестициями и малым и средним бизнесом"</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Организация экономического сотрудничества и развития, далее отдельно именуемые как "Сторона" или совместно именуемые как "Стороны", согласились о нижеследующем:</w:t>
      </w:r>
    </w:p>
    <w:bookmarkEnd w:id="5"/>
    <w:bookmarkStart w:name="z12" w:id="6"/>
    <w:p>
      <w:pPr>
        <w:spacing w:after="0"/>
        <w:ind w:left="0"/>
        <w:jc w:val="left"/>
      </w:pPr>
      <w:r>
        <w:rPr>
          <w:rFonts w:ascii="Times New Roman"/>
          <w:b/>
          <w:i w:val="false"/>
          <w:color w:val="000000"/>
        </w:rPr>
        <w:t xml:space="preserve"> Статья 1. Предмет Соглашения</w:t>
      </w:r>
    </w:p>
    <w:bookmarkEnd w:id="6"/>
    <w:bookmarkStart w:name="z13" w:id="7"/>
    <w:p>
      <w:pPr>
        <w:spacing w:after="0"/>
        <w:ind w:left="0"/>
        <w:jc w:val="both"/>
      </w:pPr>
      <w:r>
        <w:rPr>
          <w:rFonts w:ascii="Times New Roman"/>
          <w:b w:val="false"/>
          <w:i w:val="false"/>
          <w:color w:val="000000"/>
          <w:sz w:val="28"/>
        </w:rPr>
        <w:t>
      1. Организация экономического сотрудничества и развития (далее - ОЭСР) реализует проект "Стимулирование диверсификации и налаживание связей между прямыми иностранными инвестициями и малым и средним бизнесом" (далее - проект).</w:t>
      </w:r>
    </w:p>
    <w:bookmarkEnd w:id="7"/>
    <w:bookmarkStart w:name="z14" w:id="8"/>
    <w:p>
      <w:pPr>
        <w:spacing w:after="0"/>
        <w:ind w:left="0"/>
        <w:jc w:val="both"/>
      </w:pPr>
      <w:r>
        <w:rPr>
          <w:rFonts w:ascii="Times New Roman"/>
          <w:b w:val="false"/>
          <w:i w:val="false"/>
          <w:color w:val="000000"/>
          <w:sz w:val="28"/>
        </w:rPr>
        <w:t>
      2. Правительство Республики Казахстан соглашается финансировать работу, которую ОЭСР будет выполнять в отношении проекта.</w:t>
      </w:r>
    </w:p>
    <w:bookmarkEnd w:id="8"/>
    <w:bookmarkStart w:name="z15" w:id="9"/>
    <w:p>
      <w:pPr>
        <w:spacing w:after="0"/>
        <w:ind w:left="0"/>
        <w:jc w:val="both"/>
      </w:pPr>
      <w:r>
        <w:rPr>
          <w:rFonts w:ascii="Times New Roman"/>
          <w:b w:val="false"/>
          <w:i w:val="false"/>
          <w:color w:val="000000"/>
          <w:sz w:val="28"/>
        </w:rPr>
        <w:t>
      3. Продолжительность проекта составляет 24 месяца с даты подписания настоящего Соглашения.</w:t>
      </w:r>
    </w:p>
    <w:bookmarkEnd w:id="9"/>
    <w:bookmarkStart w:name="z16" w:id="10"/>
    <w:p>
      <w:pPr>
        <w:spacing w:after="0"/>
        <w:ind w:left="0"/>
        <w:jc w:val="left"/>
      </w:pPr>
      <w:r>
        <w:rPr>
          <w:rFonts w:ascii="Times New Roman"/>
          <w:b/>
          <w:i w:val="false"/>
          <w:color w:val="000000"/>
        </w:rPr>
        <w:t xml:space="preserve"> Статья 2. Бюджет и механизм финансирования</w:t>
      </w:r>
    </w:p>
    <w:bookmarkEnd w:id="10"/>
    <w:bookmarkStart w:name="z17" w:id="11"/>
    <w:p>
      <w:pPr>
        <w:spacing w:after="0"/>
        <w:ind w:left="0"/>
        <w:jc w:val="both"/>
      </w:pPr>
      <w:r>
        <w:rPr>
          <w:rFonts w:ascii="Times New Roman"/>
          <w:b w:val="false"/>
          <w:i w:val="false"/>
          <w:color w:val="000000"/>
          <w:sz w:val="28"/>
        </w:rPr>
        <w:t>
      1. Правительство Республики Казахстан обязуется предоставить ОЭСР взнос в размере 690 000 евро (шестьсот девяносто тысяч евро) в счет покрытия расходов на реализацию проекта.</w:t>
      </w:r>
    </w:p>
    <w:bookmarkEnd w:id="11"/>
    <w:bookmarkStart w:name="z18" w:id="12"/>
    <w:p>
      <w:pPr>
        <w:spacing w:after="0"/>
        <w:ind w:left="0"/>
        <w:jc w:val="both"/>
      </w:pPr>
      <w:r>
        <w:rPr>
          <w:rFonts w:ascii="Times New Roman"/>
          <w:b w:val="false"/>
          <w:i w:val="false"/>
          <w:color w:val="000000"/>
          <w:sz w:val="28"/>
        </w:rPr>
        <w:t>
      2. Взнос будет выплачиваться в соответствии со следующим графиком:</w:t>
      </w:r>
    </w:p>
    <w:bookmarkEnd w:id="12"/>
    <w:bookmarkStart w:name="z19" w:id="13"/>
    <w:p>
      <w:pPr>
        <w:spacing w:after="0"/>
        <w:ind w:left="0"/>
        <w:jc w:val="both"/>
      </w:pPr>
      <w:r>
        <w:rPr>
          <w:rFonts w:ascii="Times New Roman"/>
          <w:b w:val="false"/>
          <w:i w:val="false"/>
          <w:color w:val="000000"/>
          <w:sz w:val="28"/>
        </w:rPr>
        <w:t>
      а) первый взнос в размере 345 000 евро (триста сорок пять тысяч евро) после подписания настоящего Соглашения и получения соответствующего счета-фактуры из ОЭСР;</w:t>
      </w:r>
    </w:p>
    <w:bookmarkEnd w:id="13"/>
    <w:bookmarkStart w:name="z20" w:id="14"/>
    <w:p>
      <w:pPr>
        <w:spacing w:after="0"/>
        <w:ind w:left="0"/>
        <w:jc w:val="both"/>
      </w:pPr>
      <w:r>
        <w:rPr>
          <w:rFonts w:ascii="Times New Roman"/>
          <w:b w:val="false"/>
          <w:i w:val="false"/>
          <w:color w:val="000000"/>
          <w:sz w:val="28"/>
        </w:rPr>
        <w:t>
      б) второй взнос в размере 345 000 евро (триста сорок пять тысяч евро) после получения финансового отчета о первом годе реализации проекта и получения соответствующей счет-фактуры из ОЭСР.</w:t>
      </w:r>
    </w:p>
    <w:bookmarkEnd w:id="14"/>
    <w:bookmarkStart w:name="z21" w:id="15"/>
    <w:p>
      <w:pPr>
        <w:spacing w:after="0"/>
        <w:ind w:left="0"/>
        <w:jc w:val="both"/>
      </w:pPr>
      <w:r>
        <w:rPr>
          <w:rFonts w:ascii="Times New Roman"/>
          <w:b w:val="false"/>
          <w:i w:val="false"/>
          <w:color w:val="000000"/>
          <w:sz w:val="28"/>
        </w:rPr>
        <w:t>
      3. ОЭСР управляет этим взносом в соответствии с ее финансовыми и другими соответствующими правилами, политикой и процедурами ОЭСР, которые в настоящее время предусматривают ставку возмещения в размере 5,3 % от общей суммы взносов за административную плату. Расходы будут отражаться на счетах ОЭСР, которые следуют общепринятым принципам бухгалтерского учета и подлежат аудиту в соответствии со сшпдартными правилами аудита ОЭСР.</w:t>
      </w:r>
    </w:p>
    <w:bookmarkEnd w:id="15"/>
    <w:bookmarkStart w:name="z22" w:id="16"/>
    <w:p>
      <w:pPr>
        <w:spacing w:after="0"/>
        <w:ind w:left="0"/>
        <w:jc w:val="left"/>
      </w:pPr>
      <w:r>
        <w:rPr>
          <w:rFonts w:ascii="Times New Roman"/>
          <w:b/>
          <w:i w:val="false"/>
          <w:color w:val="000000"/>
        </w:rPr>
        <w:t xml:space="preserve"> Статья 3. Процедуры по осуществлению мероприятий и отчетность</w:t>
      </w:r>
    </w:p>
    <w:bookmarkEnd w:id="16"/>
    <w:bookmarkStart w:name="z23" w:id="17"/>
    <w:p>
      <w:pPr>
        <w:spacing w:after="0"/>
        <w:ind w:left="0"/>
        <w:jc w:val="both"/>
      </w:pPr>
      <w:r>
        <w:rPr>
          <w:rFonts w:ascii="Times New Roman"/>
          <w:b w:val="false"/>
          <w:i w:val="false"/>
          <w:color w:val="000000"/>
          <w:sz w:val="28"/>
        </w:rPr>
        <w:t>
      1. ОЭСР будет осуществлять проект согласно приложенному техническому заданию.</w:t>
      </w:r>
    </w:p>
    <w:bookmarkEnd w:id="17"/>
    <w:bookmarkStart w:name="z24" w:id="18"/>
    <w:p>
      <w:pPr>
        <w:spacing w:after="0"/>
        <w:ind w:left="0"/>
        <w:jc w:val="both"/>
      </w:pPr>
      <w:r>
        <w:rPr>
          <w:rFonts w:ascii="Times New Roman"/>
          <w:b w:val="false"/>
          <w:i w:val="false"/>
          <w:color w:val="000000"/>
          <w:sz w:val="28"/>
        </w:rPr>
        <w:t>
      2. ОЭСР по истечении девяти месяцев после подписания настоящего Соглашения предоставляет в Правительство Республики Казахстан содержательный промежуточный отчет.</w:t>
      </w:r>
    </w:p>
    <w:bookmarkEnd w:id="18"/>
    <w:bookmarkStart w:name="z25" w:id="19"/>
    <w:p>
      <w:pPr>
        <w:spacing w:after="0"/>
        <w:ind w:left="0"/>
        <w:jc w:val="both"/>
      </w:pPr>
      <w:r>
        <w:rPr>
          <w:rFonts w:ascii="Times New Roman"/>
          <w:b w:val="false"/>
          <w:i w:val="false"/>
          <w:color w:val="000000"/>
          <w:sz w:val="28"/>
        </w:rPr>
        <w:t>
      3. По окончании реализации проекта в течение шести месяцев ОЭСР предоставляет в Правительство Республики Казахстан содержательный итоговый отчет.</w:t>
      </w:r>
    </w:p>
    <w:bookmarkEnd w:id="19"/>
    <w:bookmarkStart w:name="z26" w:id="20"/>
    <w:p>
      <w:pPr>
        <w:spacing w:after="0"/>
        <w:ind w:left="0"/>
        <w:jc w:val="both"/>
      </w:pPr>
      <w:r>
        <w:rPr>
          <w:rFonts w:ascii="Times New Roman"/>
          <w:b w:val="false"/>
          <w:i w:val="false"/>
          <w:color w:val="000000"/>
          <w:sz w:val="28"/>
        </w:rPr>
        <w:t>
      4. По окончании четырнадцати месяцев после подписания настоящего Соглашения ОЭСР предоставляет Правительству Республики Казахстан ежегодный отчет о расходах первых двенадцати месяцев реализации проекта.</w:t>
      </w:r>
    </w:p>
    <w:bookmarkEnd w:id="20"/>
    <w:bookmarkStart w:name="z27" w:id="21"/>
    <w:p>
      <w:pPr>
        <w:spacing w:after="0"/>
        <w:ind w:left="0"/>
        <w:jc w:val="both"/>
      </w:pPr>
      <w:r>
        <w:rPr>
          <w:rFonts w:ascii="Times New Roman"/>
          <w:b w:val="false"/>
          <w:i w:val="false"/>
          <w:color w:val="000000"/>
          <w:sz w:val="28"/>
        </w:rPr>
        <w:t>
      5. По окончании реализации проекта в течение шести месяцев ОЭСР предоставляет в Правительство Республики Казахстан итоговый финансовый отчет о расходах.</w:t>
      </w:r>
    </w:p>
    <w:bookmarkEnd w:id="21"/>
    <w:bookmarkStart w:name="z28" w:id="22"/>
    <w:p>
      <w:pPr>
        <w:spacing w:after="0"/>
        <w:ind w:left="0"/>
        <w:jc w:val="both"/>
      </w:pPr>
      <w:r>
        <w:rPr>
          <w:rFonts w:ascii="Times New Roman"/>
          <w:b w:val="false"/>
          <w:i w:val="false"/>
          <w:color w:val="000000"/>
          <w:sz w:val="28"/>
        </w:rPr>
        <w:t>
      6. Правительство Республики Казахстан соглашается, что требования к финансовой отчетности соответствуют стандартным форматам отчетности ОЭСР.</w:t>
      </w:r>
    </w:p>
    <w:bookmarkEnd w:id="22"/>
    <w:bookmarkStart w:name="z29" w:id="23"/>
    <w:p>
      <w:pPr>
        <w:spacing w:after="0"/>
        <w:ind w:left="0"/>
        <w:jc w:val="left"/>
      </w:pPr>
      <w:r>
        <w:rPr>
          <w:rFonts w:ascii="Times New Roman"/>
          <w:b/>
          <w:i w:val="false"/>
          <w:color w:val="000000"/>
        </w:rPr>
        <w:t xml:space="preserve"> Статья 4. Обмен информацией</w:t>
      </w:r>
    </w:p>
    <w:bookmarkEnd w:id="23"/>
    <w:bookmarkStart w:name="z30" w:id="24"/>
    <w:p>
      <w:pPr>
        <w:spacing w:after="0"/>
        <w:ind w:left="0"/>
        <w:jc w:val="both"/>
      </w:pPr>
      <w:r>
        <w:rPr>
          <w:rFonts w:ascii="Times New Roman"/>
          <w:b w:val="false"/>
          <w:i w:val="false"/>
          <w:color w:val="000000"/>
          <w:sz w:val="28"/>
        </w:rPr>
        <w:t>
      Стороны настоящего Соглашения оказывают друг другу содействие и обмениваются информацией, необходимой для осуществления проекта.</w:t>
      </w:r>
    </w:p>
    <w:bookmarkEnd w:id="24"/>
    <w:bookmarkStart w:name="z31" w:id="25"/>
    <w:p>
      <w:pPr>
        <w:spacing w:after="0"/>
        <w:ind w:left="0"/>
        <w:jc w:val="both"/>
      </w:pPr>
      <w:r>
        <w:rPr>
          <w:rFonts w:ascii="Times New Roman"/>
          <w:b w:val="false"/>
          <w:i w:val="false"/>
          <w:color w:val="000000"/>
          <w:sz w:val="28"/>
        </w:rPr>
        <w:t>
      Для любого обмена сообщениями между Сторонами используется следующая контактная информация:</w:t>
      </w:r>
    </w:p>
    <w:bookmarkEnd w:id="25"/>
    <w:bookmarkStart w:name="z32" w:id="26"/>
    <w:p>
      <w:pPr>
        <w:spacing w:after="0"/>
        <w:ind w:left="0"/>
        <w:jc w:val="both"/>
      </w:pPr>
      <w:r>
        <w:rPr>
          <w:rFonts w:ascii="Times New Roman"/>
          <w:b w:val="false"/>
          <w:i w:val="false"/>
          <w:color w:val="000000"/>
          <w:sz w:val="28"/>
        </w:rPr>
        <w:t>
      для Правительства Республики Казахстан: Министерство по инвестициям и развитию Республики Казахстан: 010000 Казахстан, Астана, тел .: +7 (7172) 983 625, факс: +7 (7172) 983 625;</w:t>
      </w:r>
    </w:p>
    <w:bookmarkEnd w:id="26"/>
    <w:bookmarkStart w:name="z33" w:id="27"/>
    <w:p>
      <w:pPr>
        <w:spacing w:after="0"/>
        <w:ind w:left="0"/>
        <w:jc w:val="both"/>
      </w:pPr>
      <w:r>
        <w:rPr>
          <w:rFonts w:ascii="Times New Roman"/>
          <w:b w:val="false"/>
          <w:i w:val="false"/>
          <w:color w:val="000000"/>
          <w:sz w:val="28"/>
        </w:rPr>
        <w:t>
      для ОЭСР: Программа ОЭСР по повышению конкурентоспособности стран Евразии, Секретариат глобальных связей, 2 rue Andre Pascal 75775, Париж Cedex 16, Франция, электронная почта: jolanta.chmielik@oecd.org.</w:t>
      </w:r>
    </w:p>
    <w:bookmarkEnd w:id="27"/>
    <w:bookmarkStart w:name="z34" w:id="28"/>
    <w:p>
      <w:pPr>
        <w:spacing w:after="0"/>
        <w:ind w:left="0"/>
        <w:jc w:val="left"/>
      </w:pPr>
      <w:r>
        <w:rPr>
          <w:rFonts w:ascii="Times New Roman"/>
          <w:b/>
          <w:i w:val="false"/>
          <w:color w:val="000000"/>
        </w:rPr>
        <w:t xml:space="preserve"> Статья 5. Использование результатов проекта</w:t>
      </w:r>
    </w:p>
    <w:bookmarkEnd w:id="28"/>
    <w:bookmarkStart w:name="z35" w:id="29"/>
    <w:p>
      <w:pPr>
        <w:spacing w:after="0"/>
        <w:ind w:left="0"/>
        <w:jc w:val="both"/>
      </w:pPr>
      <w:r>
        <w:rPr>
          <w:rFonts w:ascii="Times New Roman"/>
          <w:b w:val="false"/>
          <w:i w:val="false"/>
          <w:color w:val="000000"/>
          <w:sz w:val="28"/>
        </w:rPr>
        <w:t>
      1. Результаты проекта, в какой бы форме они ни были, должны оставаться исключительной собственностью ОЭСР.</w:t>
      </w:r>
    </w:p>
    <w:bookmarkEnd w:id="29"/>
    <w:bookmarkStart w:name="z36" w:id="30"/>
    <w:p>
      <w:pPr>
        <w:spacing w:after="0"/>
        <w:ind w:left="0"/>
        <w:jc w:val="both"/>
      </w:pPr>
      <w:r>
        <w:rPr>
          <w:rFonts w:ascii="Times New Roman"/>
          <w:b w:val="false"/>
          <w:i w:val="false"/>
          <w:color w:val="000000"/>
          <w:sz w:val="28"/>
        </w:rPr>
        <w:t>
      2. При соблюдении прав третьих лиц, а также при соблюдении правил и политики ОЭСР по классификации и рассекречиванию документов, если это применимо, ОЭСР предоставляет Правительству Республики Казахстан неисключительную безотзывную и действующую во всем мире лицензию на использование, копирование и распространение окончательных результатов по проекту, полученных в рамках мероприятий, финансируемых за счет настоящего взноса, для любой правительственной некоммерческой цели. Если со стороны ОЭСР не предоставлены иные инструкций, Республика Казахстан признает право собственности ОЭСР на работу.</w:t>
      </w:r>
    </w:p>
    <w:bookmarkEnd w:id="30"/>
    <w:bookmarkStart w:name="z37" w:id="31"/>
    <w:p>
      <w:pPr>
        <w:spacing w:after="0"/>
        <w:ind w:left="0"/>
        <w:jc w:val="both"/>
      </w:pPr>
      <w:r>
        <w:rPr>
          <w:rFonts w:ascii="Times New Roman"/>
          <w:b w:val="false"/>
          <w:i w:val="false"/>
          <w:color w:val="000000"/>
          <w:sz w:val="28"/>
        </w:rPr>
        <w:t>
      3. ОЭСР сохраняет право первой публикации окончательного отчета, независимо от языка и формы такой публикации.</w:t>
      </w:r>
    </w:p>
    <w:bookmarkEnd w:id="31"/>
    <w:bookmarkStart w:name="z38" w:id="32"/>
    <w:p>
      <w:pPr>
        <w:spacing w:after="0"/>
        <w:ind w:left="0"/>
        <w:jc w:val="both"/>
      </w:pPr>
      <w:r>
        <w:rPr>
          <w:rFonts w:ascii="Times New Roman"/>
          <w:b w:val="false"/>
          <w:i w:val="false"/>
          <w:color w:val="000000"/>
          <w:sz w:val="28"/>
        </w:rPr>
        <w:t>
      4. Окончательный отчет будет включать оговорку о вкладе Правительства Республики Казахстан в проект.</w:t>
      </w:r>
    </w:p>
    <w:bookmarkEnd w:id="32"/>
    <w:bookmarkStart w:name="z39" w:id="33"/>
    <w:p>
      <w:pPr>
        <w:spacing w:after="0"/>
        <w:ind w:left="0"/>
        <w:jc w:val="both"/>
      </w:pPr>
      <w:r>
        <w:rPr>
          <w:rFonts w:ascii="Times New Roman"/>
          <w:b w:val="false"/>
          <w:i w:val="false"/>
          <w:color w:val="000000"/>
          <w:sz w:val="28"/>
        </w:rPr>
        <w:t>
      5. Любые данные или информация, которые являются собственностью Правительства Республики Казахстан, предоставленные ОЭСР в ходе проекта, остаются собственностью Правительства Республики Казахстан. ОЭСР имеет право использовать и/или включать указанные данные и информацию в целях подготовки своего отчета, публикации и для других целей, касающихся исследовательской деятельности.</w:t>
      </w:r>
    </w:p>
    <w:bookmarkEnd w:id="33"/>
    <w:bookmarkStart w:name="z40" w:id="34"/>
    <w:p>
      <w:pPr>
        <w:spacing w:after="0"/>
        <w:ind w:left="0"/>
        <w:jc w:val="left"/>
      </w:pPr>
      <w:r>
        <w:rPr>
          <w:rFonts w:ascii="Times New Roman"/>
          <w:b/>
          <w:i w:val="false"/>
          <w:color w:val="000000"/>
        </w:rPr>
        <w:t xml:space="preserve"> Статья 6. Урегулирование споров</w:t>
      </w:r>
    </w:p>
    <w:bookmarkEnd w:id="34"/>
    <w:bookmarkStart w:name="z41" w:id="35"/>
    <w:p>
      <w:pPr>
        <w:spacing w:after="0"/>
        <w:ind w:left="0"/>
        <w:jc w:val="both"/>
      </w:pPr>
      <w:r>
        <w:rPr>
          <w:rFonts w:ascii="Times New Roman"/>
          <w:b w:val="false"/>
          <w:i w:val="false"/>
          <w:color w:val="000000"/>
          <w:sz w:val="28"/>
        </w:rPr>
        <w:t>
      Любой спор, разногласие или претензия, возникающие из или в отношении толкования, применения или выполнения настоящего Соглашения, включая существование, действие или расторжение, которые не могут быть разрешены путем переговоров, разрешаются окончательным арбитражным разбирательством, имеющим обязательную силу, в соответствии с факультативными правилами арбитражного суда для международных организаций и государств Постоянной палаты третейского суда, действительными на дату заключения настоящего Соглашения. Количество судей - один. Судья выбирается путем договоренности между Сторонами, если такая договоренность не достигнута в течение трех месяцев после требования арбитража, судья назначается в соответствии с указанными выше правилами по требованию одной из Сторон. Арбитражный суд проходит в Париже, Франция, и все производство и подаваемые пояснения должны быть на английском языке.</w:t>
      </w:r>
    </w:p>
    <w:bookmarkEnd w:id="35"/>
    <w:bookmarkStart w:name="z42" w:id="36"/>
    <w:p>
      <w:pPr>
        <w:spacing w:after="0"/>
        <w:ind w:left="0"/>
        <w:jc w:val="left"/>
      </w:pPr>
      <w:r>
        <w:rPr>
          <w:rFonts w:ascii="Times New Roman"/>
          <w:b/>
          <w:i w:val="false"/>
          <w:color w:val="000000"/>
        </w:rPr>
        <w:t xml:space="preserve"> Статья 7. Привилегии и иммунитеты</w:t>
      </w:r>
    </w:p>
    <w:bookmarkEnd w:id="36"/>
    <w:bookmarkStart w:name="z43" w:id="37"/>
    <w:p>
      <w:pPr>
        <w:spacing w:after="0"/>
        <w:ind w:left="0"/>
        <w:jc w:val="both"/>
      </w:pPr>
      <w:r>
        <w:rPr>
          <w:rFonts w:ascii="Times New Roman"/>
          <w:b w:val="false"/>
          <w:i w:val="false"/>
          <w:color w:val="000000"/>
          <w:sz w:val="28"/>
        </w:rPr>
        <w:t>
      Ничто в настоящем Соглашении не должно толковаться как отказ ОЭСР как международной организации от иммунитетов и привилегий</w:t>
      </w:r>
    </w:p>
    <w:bookmarkEnd w:id="37"/>
    <w:bookmarkStart w:name="z44" w:id="38"/>
    <w:p>
      <w:pPr>
        <w:spacing w:after="0"/>
        <w:ind w:left="0"/>
        <w:jc w:val="left"/>
      </w:pPr>
      <w:r>
        <w:rPr>
          <w:rFonts w:ascii="Times New Roman"/>
          <w:b/>
          <w:i w:val="false"/>
          <w:color w:val="000000"/>
        </w:rPr>
        <w:t xml:space="preserve"> Статья 8. Изменения и дополнения </w:t>
      </w:r>
    </w:p>
    <w:bookmarkEnd w:id="38"/>
    <w:bookmarkStart w:name="z45" w:id="39"/>
    <w:p>
      <w:pPr>
        <w:spacing w:after="0"/>
        <w:ind w:left="0"/>
        <w:jc w:val="both"/>
      </w:pPr>
      <w:r>
        <w:rPr>
          <w:rFonts w:ascii="Times New Roman"/>
          <w:b w:val="false"/>
          <w:i w:val="false"/>
          <w:color w:val="000000"/>
          <w:sz w:val="28"/>
        </w:rPr>
        <w:t>
      В настоящее Соглашение могут вноситься изменения и дополнения, являющиеся его неотъемлемыми частями и оформляемые отдельными протоколами по взаимному согласию Сторон.</w:t>
      </w:r>
    </w:p>
    <w:bookmarkEnd w:id="39"/>
    <w:bookmarkStart w:name="z46" w:id="40"/>
    <w:p>
      <w:pPr>
        <w:spacing w:after="0"/>
        <w:ind w:left="0"/>
        <w:jc w:val="left"/>
      </w:pPr>
      <w:r>
        <w:rPr>
          <w:rFonts w:ascii="Times New Roman"/>
          <w:b/>
          <w:i w:val="false"/>
          <w:color w:val="000000"/>
        </w:rPr>
        <w:t xml:space="preserve"> Статья 9. Вступление в силу</w:t>
      </w:r>
    </w:p>
    <w:bookmarkEnd w:id="40"/>
    <w:bookmarkStart w:name="z47" w:id="41"/>
    <w:p>
      <w:pPr>
        <w:spacing w:after="0"/>
        <w:ind w:left="0"/>
        <w:jc w:val="both"/>
      </w:pPr>
      <w:r>
        <w:rPr>
          <w:rFonts w:ascii="Times New Roman"/>
          <w:b w:val="false"/>
          <w:i w:val="false"/>
          <w:color w:val="000000"/>
          <w:sz w:val="28"/>
        </w:rPr>
        <w:t>
      Настоящее Соглашение вступает в силу с момента подписания и будет оставаться в силе до тех пор, пока обе Стороны не выполнят все обязательства, вытекающие из него.</w:t>
      </w:r>
    </w:p>
    <w:bookmarkEnd w:id="41"/>
    <w:bookmarkStart w:name="z48" w:id="42"/>
    <w:p>
      <w:pPr>
        <w:spacing w:after="0"/>
        <w:ind w:left="0"/>
        <w:jc w:val="both"/>
      </w:pPr>
      <w:r>
        <w:rPr>
          <w:rFonts w:ascii="Times New Roman"/>
          <w:b w:val="false"/>
          <w:i w:val="false"/>
          <w:color w:val="000000"/>
          <w:sz w:val="28"/>
        </w:rPr>
        <w:t>
      Совершено в двух подлинных экземплярах, каждый на казахском, русском и английском языках. В случае расхождений между казахским, русским и английским текстами вариант на английском языке является единственной подлинной версией.</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5400"/>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 по инвестиям и</w:t>
            </w:r>
            <w:r>
              <w:br/>
            </w:r>
            <w:r>
              <w:rPr>
                <w:rFonts w:ascii="Times New Roman"/>
                <w:b w:val="false"/>
                <w:i w:val="false"/>
                <w:color w:val="000000"/>
                <w:sz w:val="20"/>
              </w:rPr>
              <w:t>развитию Республики</w:t>
            </w:r>
            <w:r>
              <w:br/>
            </w:r>
            <w:r>
              <w:rPr>
                <w:rFonts w:ascii="Times New Roman"/>
                <w:b w:val="false"/>
                <w:i w:val="false"/>
                <w:color w:val="000000"/>
                <w:sz w:val="20"/>
              </w:rPr>
              <w:t>Казахстан</w:t>
            </w:r>
            <w:r>
              <w:br/>
            </w:r>
            <w:r>
              <w:rPr>
                <w:rFonts w:ascii="Times New Roman"/>
                <w:b w:val="false"/>
                <w:i w:val="false"/>
                <w:color w:val="000000"/>
                <w:sz w:val="20"/>
              </w:rPr>
              <w:t>Женис Касымбек</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За Организацию экономического</w:t>
            </w:r>
            <w:r>
              <w:br/>
            </w:r>
            <w:r>
              <w:rPr>
                <w:rFonts w:ascii="Times New Roman"/>
                <w:b w:val="false"/>
                <w:i w:val="false"/>
                <w:color w:val="000000"/>
                <w:sz w:val="20"/>
              </w:rPr>
              <w:t>сотрудничества и развития</w:t>
            </w:r>
            <w:r>
              <w:br/>
            </w:r>
            <w:r>
              <w:rPr>
                <w:rFonts w:ascii="Times New Roman"/>
                <w:b w:val="false"/>
                <w:i w:val="false"/>
                <w:color w:val="000000"/>
                <w:sz w:val="20"/>
              </w:rPr>
              <w:t>Директор международных</w:t>
            </w:r>
            <w:r>
              <w:br/>
            </w:r>
            <w:r>
              <w:rPr>
                <w:rFonts w:ascii="Times New Roman"/>
                <w:b w:val="false"/>
                <w:i w:val="false"/>
                <w:color w:val="000000"/>
                <w:sz w:val="20"/>
              </w:rPr>
              <w:t>отношений</w:t>
            </w:r>
            <w:r>
              <w:br/>
            </w:r>
            <w:r>
              <w:rPr>
                <w:rFonts w:ascii="Times New Roman"/>
                <w:b w:val="false"/>
                <w:i w:val="false"/>
                <w:color w:val="000000"/>
                <w:sz w:val="20"/>
              </w:rPr>
              <w:t>
Андреас Шаал</w:t>
            </w:r>
          </w:p>
          <w:bookmarkEnd w:id="43"/>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w:t>
            </w:r>
            <w:r>
              <w:br/>
            </w:r>
            <w:r>
              <w:rPr>
                <w:rFonts w:ascii="Times New Roman"/>
                <w:b/>
                <w:i w:val="false"/>
                <w:color w:val="000000"/>
                <w:sz w:val="20"/>
              </w:rPr>
              <w:t>Дата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w:t>
            </w:r>
            <w:r>
              <w:br/>
            </w:r>
            <w:r>
              <w:rPr>
                <w:rFonts w:ascii="Times New Roman"/>
                <w:b/>
                <w:i w:val="false"/>
                <w:color w:val="000000"/>
                <w:sz w:val="20"/>
              </w:rPr>
              <w:t>Дата</w:t>
            </w:r>
          </w:p>
        </w:tc>
      </w:tr>
    </w:tbl>
    <w:bookmarkStart w:name="z50" w:id="44"/>
    <w:p>
      <w:pPr>
        <w:spacing w:after="0"/>
        <w:ind w:left="0"/>
        <w:jc w:val="both"/>
      </w:pPr>
      <w:r>
        <w:rPr>
          <w:rFonts w:ascii="Times New Roman"/>
          <w:b w:val="false"/>
          <w:i w:val="false"/>
          <w:color w:val="000000"/>
          <w:sz w:val="28"/>
        </w:rPr>
        <w:t xml:space="preserve">
                                                 </w:t>
      </w:r>
      <w:r>
        <w:rPr>
          <w:rFonts w:ascii="Times New Roman"/>
          <w:b/>
          <w:i w:val="false"/>
          <w:color w:val="000000"/>
          <w:sz w:val="28"/>
        </w:rPr>
        <w:t>За Организацию экономического</w:t>
      </w:r>
      <w:r>
        <w:br/>
      </w:r>
      <w:r>
        <w:rPr>
          <w:rFonts w:ascii="Times New Roman"/>
          <w:b w:val="false"/>
          <w:i w:val="false"/>
          <w:color w:val="000000"/>
          <w:sz w:val="28"/>
        </w:rPr>
        <w:t xml:space="preserve">                                           </w:t>
      </w:r>
      <w:r>
        <w:rPr>
          <w:rFonts w:ascii="Times New Roman"/>
          <w:b/>
          <w:i w:val="false"/>
          <w:color w:val="000000"/>
          <w:sz w:val="28"/>
        </w:rPr>
        <w:t>      сотрудничества и развития</w:t>
      </w:r>
      <w:r>
        <w:br/>
      </w:r>
      <w:r>
        <w:rPr>
          <w:rFonts w:ascii="Times New Roman"/>
          <w:b w:val="false"/>
          <w:i w:val="false"/>
          <w:color w:val="000000"/>
          <w:sz w:val="28"/>
        </w:rPr>
        <w:t xml:space="preserve">                                           </w:t>
      </w:r>
      <w:r>
        <w:rPr>
          <w:rFonts w:ascii="Times New Roman"/>
          <w:b/>
          <w:i w:val="false"/>
          <w:color w:val="000000"/>
          <w:sz w:val="28"/>
        </w:rPr>
        <w:t>      Заместитель начальника</w:t>
      </w:r>
      <w:r>
        <w:br/>
      </w:r>
      <w:r>
        <w:rPr>
          <w:rFonts w:ascii="Times New Roman"/>
          <w:b w:val="false"/>
          <w:i w:val="false"/>
          <w:color w:val="000000"/>
          <w:sz w:val="28"/>
        </w:rPr>
        <w:t xml:space="preserve">                                           </w:t>
      </w:r>
      <w:r>
        <w:rPr>
          <w:rFonts w:ascii="Times New Roman"/>
          <w:b/>
          <w:i w:val="false"/>
          <w:color w:val="000000"/>
          <w:sz w:val="28"/>
        </w:rPr>
        <w:t>      Службы программной,</w:t>
      </w:r>
      <w:r>
        <w:br/>
      </w:r>
      <w:r>
        <w:rPr>
          <w:rFonts w:ascii="Times New Roman"/>
          <w:b w:val="false"/>
          <w:i w:val="false"/>
          <w:color w:val="000000"/>
          <w:sz w:val="28"/>
        </w:rPr>
        <w:t xml:space="preserve">                                           </w:t>
      </w:r>
      <w:r>
        <w:rPr>
          <w:rFonts w:ascii="Times New Roman"/>
          <w:b/>
          <w:i w:val="false"/>
          <w:color w:val="000000"/>
          <w:sz w:val="28"/>
        </w:rPr>
        <w:t>      бюджетной и финансовой</w:t>
      </w:r>
      <w:r>
        <w:br/>
      </w:r>
      <w:r>
        <w:rPr>
          <w:rFonts w:ascii="Times New Roman"/>
          <w:b w:val="false"/>
          <w:i w:val="false"/>
          <w:color w:val="000000"/>
          <w:sz w:val="28"/>
        </w:rPr>
        <w:t xml:space="preserve">                                                 </w:t>
      </w:r>
      <w:r>
        <w:rPr>
          <w:rFonts w:ascii="Times New Roman"/>
          <w:b/>
          <w:i w:val="false"/>
          <w:color w:val="000000"/>
          <w:sz w:val="28"/>
        </w:rPr>
        <w:t>      деятельности</w:t>
      </w:r>
      <w:r>
        <w:br/>
      </w:r>
      <w:r>
        <w:rPr>
          <w:rFonts w:ascii="Times New Roman"/>
          <w:b w:val="false"/>
          <w:i w:val="false"/>
          <w:color w:val="000000"/>
          <w:sz w:val="28"/>
        </w:rPr>
        <w:t xml:space="preserve">                                           </w:t>
      </w:r>
      <w:r>
        <w:rPr>
          <w:rFonts w:ascii="Times New Roman"/>
          <w:b/>
          <w:i w:val="false"/>
          <w:color w:val="000000"/>
          <w:sz w:val="28"/>
        </w:rPr>
        <w:t>      Исполнительная дирекция</w:t>
      </w:r>
      <w:r>
        <w:br/>
      </w:r>
      <w:r>
        <w:rPr>
          <w:rFonts w:ascii="Times New Roman"/>
          <w:b w:val="false"/>
          <w:i w:val="false"/>
          <w:color w:val="000000"/>
          <w:sz w:val="28"/>
        </w:rPr>
        <w:t xml:space="preserve">                                                 </w:t>
      </w:r>
      <w:r>
        <w:rPr>
          <w:rFonts w:ascii="Times New Roman"/>
          <w:b/>
          <w:i w:val="false"/>
          <w:color w:val="000000"/>
          <w:sz w:val="28"/>
        </w:rPr>
        <w:t>      Антуан Пайль</w:t>
      </w:r>
      <w:r>
        <w:br/>
      </w:r>
      <w:r>
        <w:rPr>
          <w:rFonts w:ascii="Times New Roman"/>
          <w:b w:val="false"/>
          <w:i w:val="false"/>
          <w:color w:val="000000"/>
          <w:sz w:val="28"/>
        </w:rPr>
        <w:t xml:space="preserve">                                     </w:t>
      </w:r>
      <w:r>
        <w:rPr>
          <w:rFonts w:ascii="Times New Roman"/>
          <w:b/>
          <w:i w:val="false"/>
          <w:color w:val="000000"/>
          <w:sz w:val="28"/>
        </w:rPr>
        <w:t>      Подпись</w:t>
      </w:r>
      <w:r>
        <w:br/>
      </w:r>
      <w:r>
        <w:rPr>
          <w:rFonts w:ascii="Times New Roman"/>
          <w:b w:val="false"/>
          <w:i w:val="false"/>
          <w:color w:val="000000"/>
          <w:sz w:val="28"/>
        </w:rPr>
        <w:t xml:space="preserve">                                     </w:t>
      </w:r>
      <w:r>
        <w:rPr>
          <w:rFonts w:ascii="Times New Roman"/>
          <w:b/>
          <w:i w:val="false"/>
          <w:color w:val="000000"/>
          <w:sz w:val="28"/>
        </w:rPr>
        <w:t>      Дата</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между</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Казахстан и Организацией</w:t>
            </w:r>
            <w:r>
              <w:br/>
            </w:r>
            <w:r>
              <w:rPr>
                <w:rFonts w:ascii="Times New Roman"/>
                <w:b w:val="false"/>
                <w:i w:val="false"/>
                <w:color w:val="000000"/>
                <w:sz w:val="20"/>
              </w:rPr>
              <w:t>экономического сотрудничества</w:t>
            </w:r>
            <w:r>
              <w:br/>
            </w:r>
            <w:r>
              <w:rPr>
                <w:rFonts w:ascii="Times New Roman"/>
                <w:b w:val="false"/>
                <w:i w:val="false"/>
                <w:color w:val="000000"/>
                <w:sz w:val="20"/>
              </w:rPr>
              <w:t>и развития о реализации проекта</w:t>
            </w:r>
            <w:r>
              <w:br/>
            </w:r>
            <w:r>
              <w:rPr>
                <w:rFonts w:ascii="Times New Roman"/>
                <w:b w:val="false"/>
                <w:i w:val="false"/>
                <w:color w:val="000000"/>
                <w:sz w:val="20"/>
              </w:rPr>
              <w:t>"Стимулирование</w:t>
            </w:r>
            <w:r>
              <w:br/>
            </w:r>
            <w:r>
              <w:rPr>
                <w:rFonts w:ascii="Times New Roman"/>
                <w:b w:val="false"/>
                <w:i w:val="false"/>
                <w:color w:val="000000"/>
                <w:sz w:val="20"/>
              </w:rPr>
              <w:t>диверсификации и налаживание</w:t>
            </w:r>
            <w:r>
              <w:br/>
            </w:r>
            <w:r>
              <w:rPr>
                <w:rFonts w:ascii="Times New Roman"/>
                <w:b w:val="false"/>
                <w:i w:val="false"/>
                <w:color w:val="000000"/>
                <w:sz w:val="20"/>
              </w:rPr>
              <w:t>связей между прямыми</w:t>
            </w:r>
            <w:r>
              <w:br/>
            </w:r>
            <w:r>
              <w:rPr>
                <w:rFonts w:ascii="Times New Roman"/>
                <w:b w:val="false"/>
                <w:i w:val="false"/>
                <w:color w:val="000000"/>
                <w:sz w:val="20"/>
              </w:rPr>
              <w:t>иностранными инвестициями и</w:t>
            </w:r>
            <w:r>
              <w:br/>
            </w:r>
            <w:r>
              <w:rPr>
                <w:rFonts w:ascii="Times New Roman"/>
                <w:b w:val="false"/>
                <w:i w:val="false"/>
                <w:color w:val="000000"/>
                <w:sz w:val="20"/>
              </w:rPr>
              <w:t>малым и средним бизнесом"</w:t>
            </w:r>
          </w:p>
        </w:tc>
      </w:tr>
    </w:tbl>
    <w:bookmarkStart w:name="z52" w:id="45"/>
    <w:p>
      <w:pPr>
        <w:spacing w:after="0"/>
        <w:ind w:left="0"/>
        <w:jc w:val="left"/>
      </w:pPr>
      <w:r>
        <w:rPr>
          <w:rFonts w:ascii="Times New Roman"/>
          <w:b/>
          <w:i w:val="false"/>
          <w:color w:val="000000"/>
        </w:rPr>
        <w:t xml:space="preserve"> Техническое задание</w:t>
      </w:r>
      <w:r>
        <w:br/>
      </w:r>
      <w:r>
        <w:rPr>
          <w:rFonts w:ascii="Times New Roman"/>
          <w:b/>
          <w:i w:val="false"/>
          <w:color w:val="000000"/>
        </w:rPr>
        <w:t>к проекту Организации экономического сотрудничества и развития по стимулированию диверсификации и налаживанию связей между прямыми иностранными инвестициями и малым и средним бизнесом</w:t>
      </w:r>
    </w:p>
    <w:bookmarkEnd w:id="45"/>
    <w:bookmarkStart w:name="z53" w:id="46"/>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Справочная информация</w:t>
      </w:r>
    </w:p>
    <w:bookmarkEnd w:id="46"/>
    <w:bookmarkStart w:name="z54" w:id="47"/>
    <w:p>
      <w:pPr>
        <w:spacing w:after="0"/>
        <w:ind w:left="0"/>
        <w:jc w:val="both"/>
      </w:pPr>
      <w:r>
        <w:rPr>
          <w:rFonts w:ascii="Times New Roman"/>
          <w:b w:val="false"/>
          <w:i w:val="false"/>
          <w:color w:val="000000"/>
          <w:sz w:val="28"/>
        </w:rPr>
        <w:t>
      Миссия Организации экономического сотрудничества и развития (далее - ОЭСР) заключается в содействии политике, которая улучшит экономическое и социальное благосостояние людей во всем мире. В ОЭСР входит 37 наиболее экономически развитых стран.</w:t>
      </w:r>
    </w:p>
    <w:bookmarkEnd w:id="47"/>
    <w:bookmarkStart w:name="z55" w:id="48"/>
    <w:p>
      <w:pPr>
        <w:spacing w:after="0"/>
        <w:ind w:left="0"/>
        <w:jc w:val="both"/>
      </w:pPr>
      <w:r>
        <w:rPr>
          <w:rFonts w:ascii="Times New Roman"/>
          <w:b w:val="false"/>
          <w:i w:val="false"/>
          <w:color w:val="000000"/>
          <w:sz w:val="28"/>
        </w:rPr>
        <w:t>
      ОЭСР предоставляет форум, участвуя в котором правительства могут работать вместе, чтобы делиться опытом и искать решения общих проблем. ОЭСР работает с правительствами, чтобы понять, что влияет на экономические, социальные и экологические изменения. ОЭСР измеряет производительность и глобальные потоки торговли и инвестиций, анализирует и сравнивает данные для прогнозирования будущих тенденций и устанавливает международные стандарты по широкому кругу вопросов: от сельского хозяйства и налогов до безопасности химических веществ.</w:t>
      </w:r>
    </w:p>
    <w:bookmarkEnd w:id="48"/>
    <w:bookmarkStart w:name="z56" w:id="49"/>
    <w:p>
      <w:pPr>
        <w:spacing w:after="0"/>
        <w:ind w:left="0"/>
        <w:jc w:val="both"/>
      </w:pPr>
      <w:r>
        <w:rPr>
          <w:rFonts w:ascii="Times New Roman"/>
          <w:b w:val="false"/>
          <w:i w:val="false"/>
          <w:color w:val="000000"/>
          <w:sz w:val="28"/>
        </w:rPr>
        <w:t>
      Программа ОЭСР о конкурентоспособности Евразии реализовывается с 2008 года для поддержания экономики стран Евразии в развитии более динамичных и конкурентных рынков. В программе используются инструменты и механизмы ОЭСР, чтобы оценить, где и как повысить конкурентоспособность стран, секторов и субрегионов для обеспечения устойчивого роста. Этот подход включает как региональный аспект, который предусматривает коллегиальный диалог и наращивание потенциала, так и измерение, ориентированное на конкретную страну, в поддержку разработки и осуществления ряда приоритетных реформ.</w:t>
      </w:r>
    </w:p>
    <w:bookmarkEnd w:id="49"/>
    <w:bookmarkStart w:name="z57" w:id="50"/>
    <w:p>
      <w:pPr>
        <w:spacing w:after="0"/>
        <w:ind w:left="0"/>
        <w:jc w:val="both"/>
      </w:pPr>
      <w:r>
        <w:rPr>
          <w:rFonts w:ascii="Times New Roman"/>
          <w:b w:val="false"/>
          <w:i w:val="false"/>
          <w:color w:val="000000"/>
          <w:sz w:val="28"/>
        </w:rPr>
        <w:t>
      В рамках этой программы правительство, частный сектор и гражданское общество в этих странах ведут диалог и совместный процесс для поддержки политических действий и выявления ключевых барьеров на пути к конкурентоспособности. Участие всех заинтересованных сторон в процессе реформ, включая иностранных инвесторов, считается решающим для обеспечения эффективности и прозрачности рекомендованных политик.</w:t>
      </w:r>
    </w:p>
    <w:bookmarkEnd w:id="50"/>
    <w:bookmarkStart w:name="z58" w:id="51"/>
    <w:p>
      <w:pPr>
        <w:spacing w:after="0"/>
        <w:ind w:left="0"/>
        <w:jc w:val="left"/>
      </w:pPr>
      <w:r>
        <w:rPr>
          <w:rFonts w:ascii="Times New Roman"/>
          <w:b/>
          <w:i w:val="false"/>
          <w:color w:val="000000"/>
        </w:rPr>
        <w:t xml:space="preserve"> 1. ВВЕДЕНИЕ</w:t>
      </w:r>
    </w:p>
    <w:bookmarkEnd w:id="51"/>
    <w:bookmarkStart w:name="z59"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Экономический рост в Казахстане чрезмерно зависит от </w:t>
      </w:r>
      <w:r>
        <w:rPr>
          <w:rFonts w:ascii="Times New Roman"/>
          <w:b/>
          <w:i w:val="false"/>
          <w:color w:val="000000"/>
          <w:sz w:val="28"/>
        </w:rPr>
        <w:t>добывающих</w:t>
      </w:r>
      <w:r>
        <w:rPr>
          <w:rFonts w:ascii="Times New Roman"/>
          <w:b/>
          <w:i w:val="false"/>
          <w:color w:val="000000"/>
          <w:sz w:val="28"/>
        </w:rPr>
        <w:t xml:space="preserve"> отраслей</w:t>
      </w:r>
    </w:p>
    <w:bookmarkEnd w:id="52"/>
    <w:bookmarkStart w:name="z60" w:id="53"/>
    <w:p>
      <w:pPr>
        <w:spacing w:after="0"/>
        <w:ind w:left="0"/>
        <w:jc w:val="both"/>
      </w:pPr>
      <w:r>
        <w:rPr>
          <w:rFonts w:ascii="Times New Roman"/>
          <w:b w:val="false"/>
          <w:i w:val="false"/>
          <w:color w:val="000000"/>
          <w:sz w:val="28"/>
        </w:rPr>
        <w:t>
      С 2000 года рост страны в основном был обусловлен добывающими отраслями (углеводородами и металлами), на долю которых приходится до 30% ВВП, две трети экспорта и около трех четвертей от общего объема прямых иностранных инвестиций (около двух третей от общего потока прямых иностранных инвестиций, далее - ПИИ)</w:t>
      </w:r>
      <w:r>
        <w:rPr>
          <w:rFonts w:ascii="Times New Roman"/>
          <w:b w:val="false"/>
          <w:i w:val="false"/>
          <w:color w:val="000000"/>
          <w:vertAlign w:val="superscript"/>
        </w:rPr>
        <w:t>1</w:t>
      </w:r>
      <w:r>
        <w:rPr>
          <w:rFonts w:ascii="Times New Roman"/>
          <w:b w:val="false"/>
          <w:i w:val="false"/>
          <w:color w:val="000000"/>
          <w:sz w:val="28"/>
        </w:rPr>
        <w:t xml:space="preserve"> . Это сделало страну крайне уязвимой к волатильности цен на сырьевые товары. Доходы Правительства (половина из которых поступают из углеводородной промышленности) резко сократились, а рост замедлился из-за падения цен на нефть. Таким образом, чрезмерная зависимость от добывающей отрасли признана источником уязвимости перед внешними потрясениями.</w:t>
      </w:r>
    </w:p>
    <w:bookmarkEnd w:id="53"/>
    <w:bookmarkStart w:name="z61" w:id="54"/>
    <w:p>
      <w:pPr>
        <w:spacing w:after="0"/>
        <w:ind w:left="0"/>
        <w:jc w:val="both"/>
      </w:pPr>
      <w:r>
        <w:rPr>
          <w:rFonts w:ascii="Times New Roman"/>
          <w:b w:val="false"/>
          <w:i w:val="false"/>
          <w:color w:val="000000"/>
          <w:sz w:val="28"/>
        </w:rPr>
        <w:t>
      Это не означает, что ресурсное богатство Казахстана следует рассматривать как проблему. Данные свидетельствуют о том, что доходы в богатых ресурсами регионах, как правило, выше, а показатели роста не должны быть хуже (Всемирный банк, 2014); с соответствующей политикой, экономика, основанная на ресурсах, может быть весьма успешной (Аренд, 2006). Тем не менее, давление, которое ресурсное богатство оказывает на несырьевые товары торговли, может затруднить создание высокопроизводительных рабочих мест за пределами ресурсного сектора. В то время, как некоторые очень маленькие страны действительно могут процветать в качестве моно-отраслевых экономик, только казахстанские секторы ресурсов никогда не смогут обеспечить приемлемый уровень жизни для большой массы населения, даже при агрессивных предположениях о будущих ценах минералов и углеводородов, и способности Казахстана увеличить добычу ресурсов. Учитывая население Казахстана и его значительные запасы человеческого капитала, полагаем, что процветающий некоммерческий городской сектор, вероятно, будет иметь решающее значение для долгосрочного процветания. Поэтому политики хотят видеть развитие высокопроизводительных секторов за пределами добычи ресурсов. В настоящее время большая доля занятости сосредоточена в области низкой производительности труда, а производительность в области добычи ресурсов оценивается примерно в восемь раз выше по сравнению с национальным показателем. Поэтому диверсификация имеет решающее значение, когда речь идет о проблемах занятости и справедливости. Действительно, всеобъемлющий рост требует диверсификации.</w:t>
      </w:r>
    </w:p>
    <w:bookmarkEnd w:id="54"/>
    <w:bookmarkStart w:name="z62" w:id="55"/>
    <w:p>
      <w:pPr>
        <w:spacing w:after="0"/>
        <w:ind w:left="0"/>
        <w:jc w:val="both"/>
      </w:pPr>
      <w:r>
        <w:rPr>
          <w:rFonts w:ascii="Times New Roman"/>
          <w:b w:val="false"/>
          <w:i w:val="false"/>
          <w:color w:val="000000"/>
          <w:sz w:val="28"/>
        </w:rPr>
        <w:t>
      _________________________________</w:t>
      </w:r>
    </w:p>
    <w:bookmarkEnd w:id="55"/>
    <w:bookmarkStart w:name="z63" w:id="56"/>
    <w:p>
      <w:pPr>
        <w:spacing w:after="0"/>
        <w:ind w:left="0"/>
        <w:jc w:val="both"/>
      </w:pPr>
      <w:r>
        <w:rPr>
          <w:rFonts w:ascii="Times New Roman"/>
          <w:b w:val="false"/>
          <w:i w:val="false"/>
          <w:color w:val="000000"/>
          <w:sz w:val="28"/>
        </w:rPr>
        <w:t>
      1 ОЭСР (2016) на основании данных Международной торговой статистики (средний показатель за 2005-2014)</w:t>
      </w:r>
    </w:p>
    <w:bookmarkEnd w:id="56"/>
    <w:bookmarkStart w:name="z64" w:id="57"/>
    <w:p>
      <w:pPr>
        <w:spacing w:after="0"/>
        <w:ind w:left="0"/>
        <w:jc w:val="both"/>
      </w:pPr>
      <w:r>
        <w:rPr>
          <w:rFonts w:ascii="Times New Roman"/>
          <w:b w:val="false"/>
          <w:i w:val="false"/>
          <w:color w:val="000000"/>
          <w:sz w:val="28"/>
        </w:rPr>
        <w:t>
      Другие секторы демонстрируют потенциал для роста. Машиностроение, транспорт и нефтехимия могут извлечь выгоду из роста добывающей деятельности. Другие секторы, которые недавно продемонстрировали динамизм, включают: агробизнес, производство продуктов питания, производство автомобилей и информационные технологии. Сфера услуг может потенциально играть роль драйвера экономического роста в Казахстане, что поможет увеличить позиции страны в производственно-сбытовой цепочке, особенно те, которые являются интенсивными в области знаний и информации.</w:t>
      </w:r>
    </w:p>
    <w:bookmarkEnd w:id="57"/>
    <w:bookmarkStart w:name="z65" w:id="58"/>
    <w:p>
      <w:pPr>
        <w:spacing w:after="0"/>
        <w:ind w:left="0"/>
        <w:jc w:val="both"/>
      </w:pPr>
      <w:r>
        <w:rPr>
          <w:rFonts w:ascii="Times New Roman"/>
          <w:b w:val="false"/>
          <w:i w:val="false"/>
          <w:color w:val="000000"/>
          <w:sz w:val="28"/>
        </w:rPr>
        <w:t xml:space="preserve">
      </w:t>
      </w:r>
      <w:r>
        <w:rPr>
          <w:rFonts w:ascii="Times New Roman"/>
          <w:b/>
          <w:i w:val="false"/>
          <w:color w:val="000000"/>
          <w:sz w:val="28"/>
        </w:rPr>
        <w:t>1.2. Перемещение казахстанской экономики за пределы добывающих отраслей.</w:t>
      </w:r>
    </w:p>
    <w:bookmarkEnd w:id="58"/>
    <w:bookmarkStart w:name="z66" w:id="59"/>
    <w:p>
      <w:pPr>
        <w:spacing w:after="0"/>
        <w:ind w:left="0"/>
        <w:jc w:val="both"/>
      </w:pPr>
      <w:r>
        <w:rPr>
          <w:rFonts w:ascii="Times New Roman"/>
          <w:b w:val="false"/>
          <w:i w:val="false"/>
          <w:color w:val="000000"/>
          <w:sz w:val="28"/>
        </w:rPr>
        <w:t>
      Диверсификация является давним приоритетом для политиков в Казахстане. В нескольких Правительственных документах, в том числе в Стратегии "Казахстан-2050", подчеркивается необходимость увеличения диверсификации и промышленного развития. Эта потребность была постоянной проблемой в Казахстане.</w:t>
      </w:r>
    </w:p>
    <w:bookmarkEnd w:id="59"/>
    <w:bookmarkStart w:name="z67" w:id="60"/>
    <w:p>
      <w:pPr>
        <w:spacing w:after="0"/>
        <w:ind w:left="0"/>
        <w:jc w:val="both"/>
      </w:pPr>
      <w:r>
        <w:rPr>
          <w:rFonts w:ascii="Times New Roman"/>
          <w:b w:val="false"/>
          <w:i w:val="false"/>
          <w:color w:val="000000"/>
          <w:sz w:val="28"/>
        </w:rPr>
        <w:t>
      Задача диверсификации не уникальна для Казахстана и в настоящее время рассматривается различными странами: от Чили до Объединенных Арабских Эмиратов или Монголии. Хотя из опыта необходимо извлечь уроки, следует также учитывать местные особенности для эффективной и устойчивой диверсификации экономики.</w:t>
      </w:r>
    </w:p>
    <w:bookmarkEnd w:id="60"/>
    <w:bookmarkStart w:name="z68" w:id="61"/>
    <w:p>
      <w:pPr>
        <w:spacing w:after="0"/>
        <w:ind w:left="0"/>
        <w:jc w:val="both"/>
      </w:pPr>
      <w:r>
        <w:rPr>
          <w:rFonts w:ascii="Times New Roman"/>
          <w:b w:val="false"/>
          <w:i w:val="false"/>
          <w:color w:val="000000"/>
          <w:sz w:val="28"/>
        </w:rPr>
        <w:t>
      Общая цель предлагаемого проекта состоит в том, чтобы содействовать разработке и поддержке осуществления реформ в политиках, направленных на развитие частного сектора в высокопотенциальной деятельности в сфере экономики, помимо горной промышленности. Повышение гибкости при разработке и осуществлении таких политик позволит проводить текущий пересмотр существующей промышленной политики. В рамках проекта основное внимание будет уделено разработке политик по отдельным видам экономической деятельности, используемым в качестве пилотных проектов, для раскрытия их потенциала для диверсификации ПИИ и малого и среднего бизнеса (далее - МСБ). Одним из основных результатов проекта является разработка конкретных планов действий по реформированию барьеров, существующих в горизонтальной политике, которые препятствуют развитию высокопроизводительной деятельности, а также оказание помощи в укреплении возможностей местных игроков для поддержания развития этих видов деятельности. Помимо аналитических исследований и систематического сопоставления с членами и партнерами ОЭСР с аналогичными экономическими структурами методология проекта включает использование углубленного диалога с местными и иностранными компаниями частного сектора.</w:t>
      </w:r>
    </w:p>
    <w:bookmarkEnd w:id="61"/>
    <w:bookmarkStart w:name="z69" w:id="62"/>
    <w:p>
      <w:pPr>
        <w:spacing w:after="0"/>
        <w:ind w:left="0"/>
        <w:jc w:val="left"/>
      </w:pPr>
      <w:r>
        <w:rPr>
          <w:rFonts w:ascii="Times New Roman"/>
          <w:b/>
          <w:i w:val="false"/>
          <w:color w:val="000000"/>
        </w:rPr>
        <w:t xml:space="preserve"> 2. ДИВЕРСИФИЦИРОВАНИЕ ПИИ и МСБ</w:t>
      </w:r>
    </w:p>
    <w:bookmarkEnd w:id="62"/>
    <w:bookmarkStart w:name="z70" w:id="63"/>
    <w:p>
      <w:pPr>
        <w:spacing w:after="0"/>
        <w:ind w:left="0"/>
        <w:jc w:val="both"/>
      </w:pPr>
      <w:r>
        <w:rPr>
          <w:rFonts w:ascii="Times New Roman"/>
          <w:b w:val="false"/>
          <w:i w:val="false"/>
          <w:color w:val="000000"/>
          <w:sz w:val="28"/>
        </w:rPr>
        <w:t>
      Для достижения своей цели в рамках проекта будет реализован подход, основанный на двух принципах, ряде ключевых вопросов и конкретных анализах и мероприятиях. Это приведет к различным результатам проекта.</w:t>
      </w:r>
    </w:p>
    <w:bookmarkEnd w:id="63"/>
    <w:bookmarkStart w:name="z71" w:id="64"/>
    <w:p>
      <w:pPr>
        <w:spacing w:after="0"/>
        <w:ind w:left="0"/>
        <w:jc w:val="both"/>
      </w:pPr>
      <w:r>
        <w:rPr>
          <w:rFonts w:ascii="Times New Roman"/>
          <w:b w:val="false"/>
          <w:i w:val="false"/>
          <w:color w:val="000000"/>
          <w:sz w:val="28"/>
        </w:rPr>
        <w:t xml:space="preserve">
      </w:t>
      </w:r>
      <w:r>
        <w:rPr>
          <w:rFonts w:ascii="Times New Roman"/>
          <w:b/>
          <w:i w:val="false"/>
          <w:color w:val="000000"/>
          <w:sz w:val="28"/>
        </w:rPr>
        <w:t>2.1. Подход проекта</w:t>
      </w:r>
    </w:p>
    <w:bookmarkEnd w:id="64"/>
    <w:bookmarkStart w:name="z72" w:id="65"/>
    <w:p>
      <w:pPr>
        <w:spacing w:after="0"/>
        <w:ind w:left="0"/>
        <w:jc w:val="both"/>
      </w:pPr>
      <w:r>
        <w:rPr>
          <w:rFonts w:ascii="Times New Roman"/>
          <w:b w:val="false"/>
          <w:i w:val="false"/>
          <w:color w:val="000000"/>
          <w:sz w:val="28"/>
        </w:rPr>
        <w:t>
      Подход к проекту основан на одновременном решении стратегических задач и проблем потенциала. Проект основывается на двух основных принципах:</w:t>
      </w:r>
    </w:p>
    <w:bookmarkEnd w:id="65"/>
    <w:bookmarkStart w:name="z73" w:id="66"/>
    <w:p>
      <w:pPr>
        <w:spacing w:after="0"/>
        <w:ind w:left="0"/>
        <w:jc w:val="both"/>
      </w:pPr>
      <w:r>
        <w:rPr>
          <w:rFonts w:ascii="Times New Roman"/>
          <w:b w:val="false"/>
          <w:i w:val="false"/>
          <w:color w:val="000000"/>
          <w:sz w:val="28"/>
        </w:rPr>
        <w:t>
      Компонент 1:      Разработка и поддержка осуществления целенаправленных реформ для устранения политических барьеров на пути конкурентоспособности и диверсификации ПИИ и МСБ с использованием экспериментальной экономической деятельности для определения приоритетов;</w:t>
      </w:r>
    </w:p>
    <w:bookmarkEnd w:id="66"/>
    <w:bookmarkStart w:name="z74" w:id="67"/>
    <w:p>
      <w:pPr>
        <w:spacing w:after="0"/>
        <w:ind w:left="0"/>
        <w:jc w:val="both"/>
      </w:pPr>
      <w:r>
        <w:rPr>
          <w:rFonts w:ascii="Times New Roman"/>
          <w:b w:val="false"/>
          <w:i w:val="false"/>
          <w:color w:val="000000"/>
          <w:sz w:val="28"/>
        </w:rPr>
        <w:t>
      Компонент 2: Устойчивая диверсификация и конкурентоспособность за счет развития потенциала в отдельных видах деятельности.</w:t>
      </w:r>
    </w:p>
    <w:bookmarkEnd w:id="67"/>
    <w:bookmarkStart w:name="z75" w:id="68"/>
    <w:p>
      <w:pPr>
        <w:spacing w:after="0"/>
        <w:ind w:left="0"/>
        <w:jc w:val="both"/>
      </w:pPr>
      <w:r>
        <w:rPr>
          <w:rFonts w:ascii="Times New Roman"/>
          <w:b w:val="false"/>
          <w:i w:val="false"/>
          <w:color w:val="000000"/>
          <w:sz w:val="28"/>
        </w:rPr>
        <w:t xml:space="preserve">
      </w:t>
      </w:r>
      <w:r>
        <w:rPr>
          <w:rFonts w:ascii="Times New Roman"/>
          <w:b/>
          <w:i w:val="false"/>
          <w:color w:val="000000"/>
          <w:sz w:val="28"/>
        </w:rPr>
        <w:t>2.2. Цели и ключевые вопросы</w:t>
      </w:r>
    </w:p>
    <w:bookmarkEnd w:id="68"/>
    <w:bookmarkStart w:name="z76" w:id="69"/>
    <w:p>
      <w:pPr>
        <w:spacing w:after="0"/>
        <w:ind w:left="0"/>
        <w:jc w:val="both"/>
      </w:pPr>
      <w:r>
        <w:rPr>
          <w:rFonts w:ascii="Times New Roman"/>
          <w:b w:val="false"/>
          <w:i w:val="false"/>
          <w:color w:val="000000"/>
          <w:sz w:val="28"/>
        </w:rPr>
        <w:t>
      Проект направлен на разработку конкретных планов действий по реформированию политик, препятствующих конкурентоспособности и диверсификации ПИИ и МСБ, используя экспериментальную экономическую деятельность (например, передовое производство или агропереработку), чтобы сосредоточить внимание и помочь в укреплении способности местных участников поддерживать развитие этих видов экономической деятельности. В нем будут рассмотрены следующие ключевые вопросы:</w:t>
      </w:r>
    </w:p>
    <w:bookmarkEnd w:id="69"/>
    <w:bookmarkStart w:name="z77" w:id="70"/>
    <w:p>
      <w:pPr>
        <w:spacing w:after="0"/>
        <w:ind w:left="0"/>
        <w:jc w:val="both"/>
      </w:pPr>
      <w:r>
        <w:rPr>
          <w:rFonts w:ascii="Times New Roman"/>
          <w:b w:val="false"/>
          <w:i w:val="false"/>
          <w:color w:val="000000"/>
          <w:sz w:val="28"/>
        </w:rPr>
        <w:t>
      какая экономическая деятельность за пределами добывающих отраслей является наиболее показательной?</w:t>
      </w:r>
    </w:p>
    <w:bookmarkEnd w:id="70"/>
    <w:bookmarkStart w:name="z78" w:id="71"/>
    <w:p>
      <w:pPr>
        <w:spacing w:after="0"/>
        <w:ind w:left="0"/>
        <w:jc w:val="both"/>
      </w:pPr>
      <w:r>
        <w:rPr>
          <w:rFonts w:ascii="Times New Roman"/>
          <w:b w:val="false"/>
          <w:i w:val="false"/>
          <w:color w:val="000000"/>
          <w:sz w:val="28"/>
        </w:rPr>
        <w:t>
      каковы основные горизонтальные политики, поддерживающие конкурентоспособность в этих мероприятиях и каковы основные барьеры, с которыми сталкиваются местные предприятия?</w:t>
      </w:r>
    </w:p>
    <w:bookmarkEnd w:id="71"/>
    <w:bookmarkStart w:name="z79" w:id="72"/>
    <w:p>
      <w:pPr>
        <w:spacing w:after="0"/>
        <w:ind w:left="0"/>
        <w:jc w:val="both"/>
      </w:pPr>
      <w:r>
        <w:rPr>
          <w:rFonts w:ascii="Times New Roman"/>
          <w:b w:val="false"/>
          <w:i w:val="false"/>
          <w:color w:val="000000"/>
          <w:sz w:val="28"/>
        </w:rPr>
        <w:t>
      что можно сделать, чтобы снять эти барьеры и как?</w:t>
      </w:r>
    </w:p>
    <w:bookmarkEnd w:id="72"/>
    <w:bookmarkStart w:name="z80" w:id="73"/>
    <w:p>
      <w:pPr>
        <w:spacing w:after="0"/>
        <w:ind w:left="0"/>
        <w:jc w:val="both"/>
      </w:pPr>
      <w:r>
        <w:rPr>
          <w:rFonts w:ascii="Times New Roman"/>
          <w:b w:val="false"/>
          <w:i w:val="false"/>
          <w:color w:val="000000"/>
          <w:sz w:val="28"/>
        </w:rPr>
        <w:t>
      что может сделать Правительство для повышения своего потенциала и способности частного сектора решать проблемы конкурентоспособности, особенно МСБ, и как?</w:t>
      </w:r>
    </w:p>
    <w:bookmarkEnd w:id="73"/>
    <w:bookmarkStart w:name="z81" w:id="74"/>
    <w:p>
      <w:pPr>
        <w:spacing w:after="0"/>
        <w:ind w:left="0"/>
        <w:jc w:val="both"/>
      </w:pPr>
      <w:r>
        <w:rPr>
          <w:rFonts w:ascii="Times New Roman"/>
          <w:b w:val="false"/>
          <w:i w:val="false"/>
          <w:color w:val="000000"/>
          <w:sz w:val="28"/>
        </w:rPr>
        <w:t xml:space="preserve">
      </w:t>
      </w:r>
      <w:r>
        <w:rPr>
          <w:rFonts w:ascii="Times New Roman"/>
          <w:b/>
          <w:i w:val="false"/>
          <w:color w:val="000000"/>
          <w:sz w:val="28"/>
        </w:rPr>
        <w:t>2.3. Метод и мероприятия</w:t>
      </w:r>
    </w:p>
    <w:bookmarkEnd w:id="74"/>
    <w:bookmarkStart w:name="z82" w:id="75"/>
    <w:p>
      <w:pPr>
        <w:spacing w:after="0"/>
        <w:ind w:left="0"/>
        <w:jc w:val="both"/>
      </w:pPr>
      <w:r>
        <w:rPr>
          <w:rFonts w:ascii="Times New Roman"/>
          <w:b w:val="false"/>
          <w:i w:val="false"/>
          <w:color w:val="000000"/>
          <w:sz w:val="28"/>
        </w:rPr>
        <w:t>
      Каждый из двух компонентов проекта будет развиваться параллельно.</w:t>
      </w:r>
    </w:p>
    <w:bookmarkEnd w:id="75"/>
    <w:bookmarkStart w:name="z83" w:id="76"/>
    <w:p>
      <w:pPr>
        <w:spacing w:after="0"/>
        <w:ind w:left="0"/>
        <w:jc w:val="both"/>
      </w:pPr>
      <w:r>
        <w:rPr>
          <w:rFonts w:ascii="Times New Roman"/>
          <w:b w:val="false"/>
          <w:i w:val="false"/>
          <w:color w:val="000000"/>
          <w:sz w:val="28"/>
        </w:rPr>
        <w:t xml:space="preserve">
      </w:t>
      </w:r>
      <w:r>
        <w:rPr>
          <w:rFonts w:ascii="Times New Roman"/>
          <w:b/>
          <w:i w:val="false"/>
          <w:color w:val="000000"/>
          <w:sz w:val="28"/>
        </w:rPr>
        <w:t>2.3.1. Компонент 1: Разработка и поддержка осуществления целенаправленных реформ для раскрытия конкурентоспособности и диверсификации ПИИ и МСБ с уделением особого внимания потенциальным горизонтальным видам деятельности (например, диалог между государственным и частным секторами для развития навыков, поддержки экспорта для МСБ, который желает выйти на международный уровень, доступ к финансам для новых фирм) и секторов.</w:t>
      </w:r>
    </w:p>
    <w:bookmarkEnd w:id="76"/>
    <w:bookmarkStart w:name="z84" w:id="77"/>
    <w:p>
      <w:pPr>
        <w:spacing w:after="0"/>
        <w:ind w:left="0"/>
        <w:jc w:val="both"/>
      </w:pPr>
      <w:r>
        <w:rPr>
          <w:rFonts w:ascii="Times New Roman"/>
          <w:b w:val="false"/>
          <w:i w:val="false"/>
          <w:color w:val="000000"/>
          <w:sz w:val="28"/>
        </w:rPr>
        <w:t>
      Контекст</w:t>
      </w:r>
    </w:p>
    <w:bookmarkEnd w:id="77"/>
    <w:bookmarkStart w:name="z85" w:id="78"/>
    <w:p>
      <w:pPr>
        <w:spacing w:after="0"/>
        <w:ind w:left="0"/>
        <w:jc w:val="both"/>
      </w:pPr>
      <w:r>
        <w:rPr>
          <w:rFonts w:ascii="Times New Roman"/>
          <w:b w:val="false"/>
          <w:i w:val="false"/>
          <w:color w:val="000000"/>
          <w:sz w:val="28"/>
        </w:rPr>
        <w:t>
      В дополнение к улучшению общего делового и инвестиционного климата - опыт со странами евразийского региона, включая Казахстан, показал, что осуществление целенаправленных реформ в отдельных высокопотенциальных мероприятиях может обеспечить практическое воздействие на местные предприятия и инвесторов.</w:t>
      </w:r>
    </w:p>
    <w:bookmarkEnd w:id="78"/>
    <w:bookmarkStart w:name="z86" w:id="79"/>
    <w:p>
      <w:pPr>
        <w:spacing w:after="0"/>
        <w:ind w:left="0"/>
        <w:jc w:val="both"/>
      </w:pPr>
      <w:r>
        <w:rPr>
          <w:rFonts w:ascii="Times New Roman"/>
          <w:b w:val="false"/>
          <w:i w:val="false"/>
          <w:color w:val="000000"/>
          <w:sz w:val="28"/>
        </w:rPr>
        <w:t>
      Потенциал Казахстана как транспортного и логистического хаба, в сочетании со второй по величине доступностью пахотных земель на одного жителя в мире, подразумевает тщательную приоритизацию нескольких пилотных видов деятельности и секторов с высоким потенциалом.</w:t>
      </w:r>
    </w:p>
    <w:bookmarkEnd w:id="79"/>
    <w:bookmarkStart w:name="z87" w:id="80"/>
    <w:p>
      <w:pPr>
        <w:spacing w:after="0"/>
        <w:ind w:left="0"/>
        <w:jc w:val="both"/>
      </w:pPr>
      <w:r>
        <w:rPr>
          <w:rFonts w:ascii="Times New Roman"/>
          <w:b w:val="false"/>
          <w:i w:val="false"/>
          <w:color w:val="000000"/>
          <w:sz w:val="28"/>
        </w:rPr>
        <w:t>
      Мероприятия</w:t>
      </w:r>
    </w:p>
    <w:bookmarkEnd w:id="80"/>
    <w:bookmarkStart w:name="z88" w:id="81"/>
    <w:p>
      <w:pPr>
        <w:spacing w:after="0"/>
        <w:ind w:left="0"/>
        <w:jc w:val="both"/>
      </w:pPr>
      <w:r>
        <w:rPr>
          <w:rFonts w:ascii="Times New Roman"/>
          <w:b w:val="false"/>
          <w:i w:val="false"/>
          <w:color w:val="000000"/>
          <w:sz w:val="28"/>
        </w:rPr>
        <w:t>
      Мероприятия будут следовать последовательности, которая оказалась успешной при осуществлении сопоставимых усилий по диверсификации в других странах:</w:t>
      </w:r>
    </w:p>
    <w:bookmarkEnd w:id="81"/>
    <w:bookmarkStart w:name="z89" w:id="82"/>
    <w:p>
      <w:pPr>
        <w:spacing w:after="0"/>
        <w:ind w:left="0"/>
        <w:jc w:val="both"/>
      </w:pPr>
      <w:r>
        <w:rPr>
          <w:rFonts w:ascii="Times New Roman"/>
          <w:b w:val="false"/>
          <w:i w:val="false"/>
          <w:color w:val="000000"/>
          <w:sz w:val="28"/>
        </w:rPr>
        <w:t>
      несколько высоко-потенциальных пилотных мероприятий будут приоритетными для ОЭСР в консультации с Казахстаном в следующих направлениях политики поощрения инвестиций в одном не добывающем секторе, навыках в области информационных технологий / "цифровизации" и стандартов качества в агропереработке;</w:t>
      </w:r>
    </w:p>
    <w:bookmarkEnd w:id="82"/>
    <w:bookmarkStart w:name="z90" w:id="83"/>
    <w:p>
      <w:pPr>
        <w:spacing w:after="0"/>
        <w:ind w:left="0"/>
        <w:jc w:val="both"/>
      </w:pPr>
      <w:r>
        <w:rPr>
          <w:rFonts w:ascii="Times New Roman"/>
          <w:b w:val="false"/>
          <w:i w:val="false"/>
          <w:color w:val="000000"/>
          <w:sz w:val="28"/>
        </w:rPr>
        <w:t>
      затем, эти ключевые виды деятельности будут проанализированы и будут выявлены основные препятствия на пути активного участия частного сектора (например, политика поощрения инвестиций в одном не добывающем секторе, навыки в области информационных технологий / "цифровизации" и стандартов качества в агропереработке");</w:t>
      </w:r>
    </w:p>
    <w:bookmarkEnd w:id="83"/>
    <w:bookmarkStart w:name="z91" w:id="84"/>
    <w:p>
      <w:pPr>
        <w:spacing w:after="0"/>
        <w:ind w:left="0"/>
        <w:jc w:val="both"/>
      </w:pPr>
      <w:r>
        <w:rPr>
          <w:rFonts w:ascii="Times New Roman"/>
          <w:b w:val="false"/>
          <w:i w:val="false"/>
          <w:color w:val="000000"/>
          <w:sz w:val="28"/>
        </w:rPr>
        <w:t>
      в заключение, ОЭСР разработает конкретный план действий для политических реформ для каждой из приоритетных мероприятий.</w:t>
      </w:r>
    </w:p>
    <w:bookmarkEnd w:id="84"/>
    <w:bookmarkStart w:name="z92" w:id="85"/>
    <w:p>
      <w:pPr>
        <w:spacing w:after="0"/>
        <w:ind w:left="0"/>
        <w:jc w:val="both"/>
      </w:pPr>
      <w:r>
        <w:rPr>
          <w:rFonts w:ascii="Times New Roman"/>
          <w:b w:val="false"/>
          <w:i w:val="false"/>
          <w:color w:val="000000"/>
          <w:sz w:val="28"/>
        </w:rPr>
        <w:t>
      Результаты описаны в отдельном разделе.</w:t>
      </w:r>
    </w:p>
    <w:bookmarkEnd w:id="85"/>
    <w:bookmarkStart w:name="z93" w:id="86"/>
    <w:p>
      <w:pPr>
        <w:spacing w:after="0"/>
        <w:ind w:left="0"/>
        <w:jc w:val="both"/>
      </w:pPr>
      <w:r>
        <w:rPr>
          <w:rFonts w:ascii="Times New Roman"/>
          <w:b w:val="false"/>
          <w:i w:val="false"/>
          <w:color w:val="000000"/>
          <w:sz w:val="28"/>
        </w:rPr>
        <w:t>
      Шаг 1: приоритезация деятельности (2 месяца)</w:t>
      </w:r>
    </w:p>
    <w:bookmarkEnd w:id="86"/>
    <w:bookmarkStart w:name="z94" w:id="87"/>
    <w:p>
      <w:pPr>
        <w:spacing w:after="0"/>
        <w:ind w:left="0"/>
        <w:jc w:val="both"/>
      </w:pPr>
      <w:r>
        <w:rPr>
          <w:rFonts w:ascii="Times New Roman"/>
          <w:b w:val="false"/>
          <w:i w:val="false"/>
          <w:color w:val="000000"/>
          <w:sz w:val="28"/>
        </w:rPr>
        <w:t>
      На 1 этапе приоритетное значение будет уделяться нескольким высокопотенциальным пилотным мероприятиям, как указано выше. Используемые методы могут включать аналитические инструменты, а также организацию консультаций с местными органами власти и частным сектором, особенно через рабочие группы по конкретным секторам ("рабочие группы"):</w:t>
      </w:r>
    </w:p>
    <w:bookmarkEnd w:id="87"/>
    <w:bookmarkStart w:name="z95" w:id="88"/>
    <w:p>
      <w:pPr>
        <w:spacing w:after="0"/>
        <w:ind w:left="0"/>
        <w:jc w:val="both"/>
      </w:pPr>
      <w:r>
        <w:rPr>
          <w:rFonts w:ascii="Times New Roman"/>
          <w:b w:val="false"/>
          <w:i w:val="false"/>
          <w:color w:val="000000"/>
          <w:sz w:val="28"/>
        </w:rPr>
        <w:t>
      отбор трех видов экономической деятельности в качестве пилотных единиц работы с учетом привлекательности отраслей для потенциальных инвесторов и ожидаемого экономического эффекта для Правительства;</w:t>
      </w:r>
    </w:p>
    <w:bookmarkEnd w:id="88"/>
    <w:bookmarkStart w:name="z96" w:id="89"/>
    <w:p>
      <w:pPr>
        <w:spacing w:after="0"/>
        <w:ind w:left="0"/>
        <w:jc w:val="both"/>
      </w:pPr>
      <w:r>
        <w:rPr>
          <w:rFonts w:ascii="Times New Roman"/>
          <w:b w:val="false"/>
          <w:i w:val="false"/>
          <w:color w:val="000000"/>
          <w:sz w:val="28"/>
        </w:rPr>
        <w:t xml:space="preserve">
      изучение выявленных сравнительных преимуществ и показателей </w:t>
      </w:r>
      <w:r>
        <w:rPr>
          <w:rFonts w:ascii="Times New Roman"/>
          <w:b w:val="false"/>
          <w:i/>
          <w:color w:val="000000"/>
          <w:sz w:val="28"/>
        </w:rPr>
        <w:t>торговли</w:t>
      </w:r>
      <w:r>
        <w:rPr>
          <w:rFonts w:ascii="Times New Roman"/>
          <w:b w:val="false"/>
          <w:i w:val="false"/>
          <w:color w:val="000000"/>
          <w:sz w:val="28"/>
        </w:rPr>
        <w:t>, чтобы помочь выявить области, в которых экономика является конкурентоспособной на мировых рынках;</w:t>
      </w:r>
    </w:p>
    <w:bookmarkEnd w:id="89"/>
    <w:bookmarkStart w:name="z97" w:id="90"/>
    <w:p>
      <w:pPr>
        <w:spacing w:after="0"/>
        <w:ind w:left="0"/>
        <w:jc w:val="both"/>
      </w:pPr>
      <w:r>
        <w:rPr>
          <w:rFonts w:ascii="Times New Roman"/>
          <w:b w:val="false"/>
          <w:i w:val="false"/>
          <w:color w:val="000000"/>
          <w:sz w:val="28"/>
        </w:rPr>
        <w:t>
      критический обзор существующей литературы в сфере экономики и развития по целевой стране, в плане использования предыдущих мер, предпринятых партнерскими организациями, учеными или Правительством;</w:t>
      </w:r>
    </w:p>
    <w:bookmarkEnd w:id="90"/>
    <w:bookmarkStart w:name="z98" w:id="91"/>
    <w:p>
      <w:pPr>
        <w:spacing w:after="0"/>
        <w:ind w:left="0"/>
        <w:jc w:val="both"/>
      </w:pPr>
      <w:r>
        <w:rPr>
          <w:rFonts w:ascii="Times New Roman"/>
          <w:b w:val="false"/>
          <w:i w:val="false"/>
          <w:color w:val="000000"/>
          <w:sz w:val="28"/>
        </w:rPr>
        <w:t>
      консультации с отраслевыми экспертами, которые помогут выявить некоторые дополнительные критерии для рассмотрения, при этом создавая консенсус между заинтересованниыми сторонами;</w:t>
      </w:r>
    </w:p>
    <w:bookmarkEnd w:id="91"/>
    <w:bookmarkStart w:name="z99" w:id="92"/>
    <w:p>
      <w:pPr>
        <w:spacing w:after="0"/>
        <w:ind w:left="0"/>
        <w:jc w:val="both"/>
      </w:pPr>
      <w:r>
        <w:rPr>
          <w:rFonts w:ascii="Times New Roman"/>
          <w:b w:val="false"/>
          <w:i w:val="false"/>
          <w:color w:val="000000"/>
          <w:sz w:val="28"/>
        </w:rPr>
        <w:t>
      консультации с местными органами власти и частным сектором.</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Вставка 1. Эффективность торговли и выявленные сравнительные преимущества</w:t>
            </w:r>
            <w:r>
              <w:br/>
            </w:r>
            <w:r>
              <w:rPr>
                <w:rFonts w:ascii="Times New Roman"/>
                <w:b w:val="false"/>
                <w:i w:val="false"/>
                <w:color w:val="000000"/>
                <w:sz w:val="20"/>
              </w:rPr>
              <w:t>
</w:t>
            </w:r>
            <w:r>
              <w:rPr>
                <w:rFonts w:ascii="Times New Roman"/>
                <w:b w:val="false"/>
                <w:i w:val="false"/>
                <w:color w:val="000000"/>
                <w:sz w:val="20"/>
              </w:rPr>
              <w:t xml:space="preserve">         Хотя определение конкурентноспособности страны и лучшие инструменты для развития диверсификации являются предметом многоих академических и политических дебатов, некоторые инструменты являются более согласованными Среди них анализ выявленных сравнительных преимуществ получил большую наглядность.</w:t>
            </w:r>
            <w:r>
              <w:br/>
            </w:r>
            <w:r>
              <w:rPr>
                <w:rFonts w:ascii="Times New Roman"/>
                <w:b w:val="false"/>
                <w:i w:val="false"/>
                <w:color w:val="000000"/>
                <w:sz w:val="20"/>
              </w:rPr>
              <w:t>
</w:t>
            </w:r>
            <w:r>
              <w:rPr>
                <w:rFonts w:ascii="Times New Roman"/>
                <w:b w:val="false"/>
                <w:i w:val="false"/>
                <w:color w:val="000000"/>
                <w:sz w:val="20"/>
              </w:rPr>
              <w:t xml:space="preserve">         Изучение выявленного сравнительного преимущества страны состоит в анализе чрезмерного или недостаточного представления категорий товаров в экспортной корзине этой страны по сравнению с другими странами. Это прагматичный инструмент, который не основывается на сильной гипотезе о том, что является важными факторами конкурентоспособности или о том, что стимулирует диверсификацию в целом.</w:t>
            </w:r>
            <w:r>
              <w:br/>
            </w:r>
            <w:r>
              <w:rPr>
                <w:rFonts w:ascii="Times New Roman"/>
                <w:b w:val="false"/>
                <w:i w:val="false"/>
                <w:color w:val="000000"/>
                <w:sz w:val="20"/>
              </w:rPr>
              <w:t>
         Тем не менее, существуют несколько подводных камней в использовании этого типа анализа. Во-первых, наличие и надежность торговых данных является предварительным условием. В этой связи страны, экспортирующие через неформальные сети, представляют собой проблему. Во-вторых, поскольку показатели торговли отражают общую стоимость товаров, а не местную добавленную стоимость, страны, импортирующие в целях реэкспорта слегка трансформированных товаров, также представляют конкретные методологические проблемы. В заключение, поскольку этот метод основан на данных о торговле товарами, анализ секторов услуг должен проводиться отдельно</w:t>
            </w:r>
          </w:p>
          <w:bookmarkEnd w:id="93"/>
        </w:tc>
      </w:tr>
    </w:tbl>
    <w:bookmarkStart w:name="z103" w:id="94"/>
    <w:p>
      <w:pPr>
        <w:spacing w:after="0"/>
        <w:ind w:left="0"/>
        <w:jc w:val="both"/>
      </w:pPr>
      <w:r>
        <w:rPr>
          <w:rFonts w:ascii="Times New Roman"/>
          <w:b w:val="false"/>
          <w:i w:val="false"/>
          <w:color w:val="000000"/>
          <w:sz w:val="28"/>
        </w:rPr>
        <w:t>
      Шаг 2: анализ активности и диагностика политических барьеров для конкурентоспособности (4 месяца)</w:t>
      </w:r>
    </w:p>
    <w:bookmarkEnd w:id="94"/>
    <w:bookmarkStart w:name="z104" w:id="95"/>
    <w:p>
      <w:pPr>
        <w:spacing w:after="0"/>
        <w:ind w:left="0"/>
        <w:jc w:val="both"/>
      </w:pPr>
      <w:r>
        <w:rPr>
          <w:rFonts w:ascii="Times New Roman"/>
          <w:b w:val="false"/>
          <w:i w:val="false"/>
          <w:color w:val="000000"/>
          <w:sz w:val="28"/>
        </w:rPr>
        <w:t>
      На этапе 2 учрежденные мероприятия будут проанализированы с использованием количественных и качественных методов. Количественные методы включают:</w:t>
      </w:r>
    </w:p>
    <w:bookmarkEnd w:id="95"/>
    <w:bookmarkStart w:name="z105" w:id="96"/>
    <w:p>
      <w:pPr>
        <w:spacing w:after="0"/>
        <w:ind w:left="0"/>
        <w:jc w:val="both"/>
      </w:pPr>
      <w:r>
        <w:rPr>
          <w:rFonts w:ascii="Times New Roman"/>
          <w:b w:val="false"/>
          <w:i w:val="false"/>
          <w:color w:val="000000"/>
          <w:sz w:val="28"/>
        </w:rPr>
        <w:t>
      анализ спроса и предложения будет охватывать динамику потребления и производства, глобальные и местные тенденции, потенциальную будущую эволюцию, в том числе в контексте "цифровизации" и работы ОЭСР, по следующей производственной революции (см. Вставку 2);</w:t>
      </w:r>
    </w:p>
    <w:bookmarkEnd w:id="96"/>
    <w:bookmarkStart w:name="z106" w:id="97"/>
    <w:p>
      <w:pPr>
        <w:spacing w:after="0"/>
        <w:ind w:left="0"/>
        <w:jc w:val="both"/>
      </w:pPr>
      <w:r>
        <w:rPr>
          <w:rFonts w:ascii="Times New Roman"/>
          <w:b w:val="false"/>
          <w:i w:val="false"/>
          <w:color w:val="000000"/>
          <w:sz w:val="28"/>
        </w:rPr>
        <w:t>
      анализ динамики международной торговли и производственно-сбытовой цепочки поможет прояснить общую экономическую и бизнес - логику, в которой работают отрасли;</w:t>
      </w:r>
    </w:p>
    <w:bookmarkEnd w:id="97"/>
    <w:bookmarkStart w:name="z107" w:id="98"/>
    <w:p>
      <w:pPr>
        <w:spacing w:after="0"/>
        <w:ind w:left="0"/>
        <w:jc w:val="both"/>
      </w:pPr>
      <w:r>
        <w:rPr>
          <w:rFonts w:ascii="Times New Roman"/>
          <w:b w:val="false"/>
          <w:i w:val="false"/>
          <w:color w:val="000000"/>
          <w:sz w:val="28"/>
        </w:rPr>
        <w:t>
      количественные обзоры местных предприятий будут подробно изучать проблемы, с которыми сталкиваются местные предприятия.</w:t>
      </w:r>
    </w:p>
    <w:bookmarkEnd w:id="98"/>
    <w:bookmarkStart w:name="z108" w:id="99"/>
    <w:p>
      <w:pPr>
        <w:spacing w:after="0"/>
        <w:ind w:left="0"/>
        <w:jc w:val="both"/>
      </w:pPr>
      <w:r>
        <w:rPr>
          <w:rFonts w:ascii="Times New Roman"/>
          <w:b w:val="false"/>
          <w:i w:val="false"/>
          <w:color w:val="000000"/>
          <w:sz w:val="28"/>
        </w:rPr>
        <w:t>
      Эти анализы будут основываться на Рамочной программе по инвестициям ОЭСР, в которой подробно изложены основные требования политики для стимулирования инвестиций и роста частного сектора в десяти ключевых аспектах политики.</w:t>
      </w:r>
    </w:p>
    <w:bookmarkEnd w:id="99"/>
    <w:bookmarkStart w:name="z109" w:id="100"/>
    <w:p>
      <w:pPr>
        <w:spacing w:after="0"/>
        <w:ind w:left="0"/>
        <w:jc w:val="both"/>
      </w:pPr>
      <w:r>
        <w:rPr>
          <w:rFonts w:ascii="Times New Roman"/>
          <w:b w:val="false"/>
          <w:i w:val="false"/>
          <w:color w:val="000000"/>
          <w:sz w:val="28"/>
        </w:rPr>
        <w:t>
      Качественные инструменты, которые следует использовать, включают в себя интервью с политиками, бизнесменами, инвесторами и отраслевыми экспертами, координируемыми по необходимости Рабочей группой (см. Ниже раздел "Реализация проекта").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Вставка 2. Экономическая деятельность - цифровизация и следующая революция производства</w:t>
            </w:r>
            <w:r>
              <w:br/>
            </w:r>
            <w:r>
              <w:rPr>
                <w:rFonts w:ascii="Times New Roman"/>
                <w:b w:val="false"/>
                <w:i w:val="false"/>
                <w:color w:val="000000"/>
                <w:sz w:val="20"/>
              </w:rPr>
              <w:t>
</w:t>
            </w:r>
            <w:r>
              <w:rPr>
                <w:rFonts w:ascii="Times New Roman"/>
                <w:b w:val="false"/>
                <w:i w:val="false"/>
                <w:color w:val="000000"/>
                <w:sz w:val="20"/>
              </w:rPr>
              <w:t xml:space="preserve">         Список ряда технологий, которые могут существенно повлиять на производство и распределение огромен. Технологические возможности производства постоянно расширяются, а технологии дополняют и усиливают возможности друг друга комбинаторно. Сегодня, например, новое программное обеспечение и достижения в области науки о данных помогают разрабатывать новые материалы. И новые материалы могут заменить кремниевые полупроводники на более совершенные подложки, позволяя в свою очередь создавать более мощные программные приложения. Этот комбинаторный характер технологии подразумевает, что предвидение всегда незначительно. Действительно, ретроспективный анализ показывает, что прогнозы технологических сроков - когда определенные этапы будут достигнуты - имеют тенденцию быть особенно неточными (Армстронг и др., 2014). Тем не менее, многие потенциально разрушительные технологии производства уже на горизонте. Небольшая выборка, рассмотренная в недавней работе ОЭСР, включает:</w:t>
            </w:r>
            <w:r>
              <w:br/>
            </w:r>
            <w:r>
              <w:rPr>
                <w:rFonts w:ascii="Times New Roman"/>
                <w:b w:val="false"/>
                <w:i w:val="false"/>
                <w:color w:val="000000"/>
                <w:sz w:val="20"/>
              </w:rPr>
              <w:t>
</w:t>
            </w:r>
            <w:r>
              <w:rPr>
                <w:rFonts w:ascii="Times New Roman"/>
                <w:b w:val="false"/>
                <w:i w:val="false"/>
                <w:color w:val="000000"/>
                <w:sz w:val="20"/>
              </w:rPr>
              <w:t xml:space="preserve">         Мощный анализ данных и большие наборы данных, которые все чаще позволяют функционировать машинам, которые конкурируют с человеческими характеристиками в задачах, таких как распознавание образов, в чем люди долгое время считались обладающими постоянным преимуществом перед машинами.</w:t>
            </w:r>
            <w:r>
              <w:br/>
            </w:r>
            <w:r>
              <w:rPr>
                <w:rFonts w:ascii="Times New Roman"/>
                <w:b w:val="false"/>
                <w:i w:val="false"/>
                <w:color w:val="000000"/>
                <w:sz w:val="20"/>
              </w:rPr>
              <w:t>
</w:t>
            </w:r>
            <w:r>
              <w:rPr>
                <w:rFonts w:ascii="Times New Roman"/>
                <w:b w:val="false"/>
                <w:i w:val="false"/>
                <w:color w:val="000000"/>
                <w:sz w:val="20"/>
              </w:rPr>
              <w:t xml:space="preserve">         Роботы, которые должны стать менее дорогостоящими, поменьше в размере, более интеллектуальными, автономными и гибкими.</w:t>
            </w:r>
            <w:r>
              <w:br/>
            </w:r>
            <w:r>
              <w:rPr>
                <w:rFonts w:ascii="Times New Roman"/>
                <w:b w:val="false"/>
                <w:i w:val="false"/>
                <w:color w:val="000000"/>
                <w:sz w:val="20"/>
              </w:rPr>
              <w:t>
</w:t>
            </w:r>
            <w:r>
              <w:rPr>
                <w:rFonts w:ascii="Times New Roman"/>
                <w:b w:val="false"/>
                <w:i w:val="false"/>
                <w:color w:val="000000"/>
                <w:sz w:val="20"/>
              </w:rPr>
              <w:t xml:space="preserve">         Повышенная связность деталей, компонентов и машин в Интернете.</w:t>
            </w:r>
            <w:r>
              <w:br/>
            </w:r>
            <w:r>
              <w:rPr>
                <w:rFonts w:ascii="Times New Roman"/>
                <w:b w:val="false"/>
                <w:i w:val="false"/>
                <w:color w:val="000000"/>
                <w:sz w:val="20"/>
              </w:rPr>
              <w:t>
</w:t>
            </w:r>
            <w:r>
              <w:rPr>
                <w:rFonts w:ascii="Times New Roman"/>
                <w:b w:val="false"/>
                <w:i w:val="false"/>
                <w:color w:val="000000"/>
                <w:sz w:val="20"/>
              </w:rPr>
              <w:t xml:space="preserve">         3 D-печать позволяющая печатать сложные объекты, которые воплощают несколько структур из разных материалов (например, электрических батарей).</w:t>
            </w:r>
            <w:r>
              <w:br/>
            </w:r>
            <w:r>
              <w:rPr>
                <w:rFonts w:ascii="Times New Roman"/>
                <w:b w:val="false"/>
                <w:i w:val="false"/>
                <w:color w:val="000000"/>
                <w:sz w:val="20"/>
              </w:rPr>
              <w:t>
</w:t>
            </w:r>
            <w:r>
              <w:rPr>
                <w:rFonts w:ascii="Times New Roman"/>
                <w:b w:val="false"/>
                <w:i w:val="false"/>
                <w:color w:val="000000"/>
                <w:sz w:val="20"/>
              </w:rPr>
              <w:t xml:space="preserve">         Нанотехнология, благодаря которой новые свойства передаются материалам, делая их сильнее, легче, более электропроводящими, более ситоподобными и т.д.</w:t>
            </w:r>
            <w:r>
              <w:br/>
            </w:r>
            <w:r>
              <w:rPr>
                <w:rFonts w:ascii="Times New Roman"/>
                <w:b w:val="false"/>
                <w:i w:val="false"/>
                <w:color w:val="000000"/>
                <w:sz w:val="20"/>
              </w:rPr>
              <w:t>
</w:t>
            </w:r>
            <w:r>
              <w:rPr>
                <w:rFonts w:ascii="Times New Roman"/>
                <w:b w:val="false"/>
                <w:i w:val="false"/>
                <w:color w:val="000000"/>
                <w:sz w:val="20"/>
              </w:rPr>
              <w:t xml:space="preserve">         В исследованиях ОЭСР содержится призыв к широкому рассмотрению проблем, а также политических вызовов, возникающих в результате производственной революции, которая сейчас ведется.</w:t>
            </w:r>
            <w:r>
              <w:br/>
            </w:r>
            <w:r>
              <w:rPr>
                <w:rFonts w:ascii="Times New Roman"/>
                <w:b w:val="false"/>
                <w:i w:val="false"/>
                <w:color w:val="000000"/>
                <w:sz w:val="20"/>
              </w:rPr>
              <w:t>
</w:t>
            </w:r>
            <w:r>
              <w:rPr>
                <w:rFonts w:ascii="Times New Roman"/>
                <w:b w:val="false"/>
                <w:i w:val="false"/>
                <w:color w:val="000000"/>
                <w:sz w:val="20"/>
              </w:rPr>
              <w:t xml:space="preserve">         Проект ОЭСР по следующей производственной революции (СПР), который ведется в настоящее время, влечет за собой слияние этих технологий. Некоторые из этих технологий уже используются в производстве, в то время как другие будут доступны в ближайшем будущем. Поскольку эти технологии трансформируют производство ("Индустрия 4.0") и распространение товаров и услуг, они будут иметь далеко идущие последствия для производительности, навыков, распределения доходов, благосостояния и окружающей среды. Все эти технологии быстро развиваются. Чем больше правительств понимают, как производство может развиваться, тем лучше они будут готовы к рискам и извлечению из него выгоды.</w:t>
            </w:r>
            <w:r>
              <w:br/>
            </w:r>
            <w:r>
              <w:rPr>
                <w:rFonts w:ascii="Times New Roman"/>
                <w:b w:val="false"/>
                <w:i w:val="false"/>
                <w:color w:val="000000"/>
                <w:sz w:val="20"/>
              </w:rPr>
              <w:t>
         Источник: ОЭСР (предстоящий), "Следующая революция в производстве" -доклад для G20, Издание ОЭСР, Париж; и "Армстронг", С., К. Сотала и С.С. Остигеартай (2014), "Ошибки, идеи и уроки знаменитых предсказаний искусственного интелекта - и что они означают для будущего", журнал "Экспериментальный и теоретический искусственный интеллект", 26: 3, стр. .317-342, Цифровой идентификатор объекта: 10.1080 / 0952813Х.2014.895105.</w:t>
            </w:r>
          </w:p>
          <w:bookmarkEnd w:id="101"/>
        </w:tc>
      </w:tr>
    </w:tbl>
    <w:bookmarkStart w:name="z119" w:id="102"/>
    <w:p>
      <w:pPr>
        <w:spacing w:after="0"/>
        <w:ind w:left="0"/>
        <w:jc w:val="both"/>
      </w:pPr>
      <w:r>
        <w:rPr>
          <w:rFonts w:ascii="Times New Roman"/>
          <w:b w:val="false"/>
          <w:i w:val="false"/>
          <w:color w:val="000000"/>
          <w:sz w:val="28"/>
        </w:rPr>
        <w:t>
      Шаг 3: разработка конкретных планов действий по реформе (18 месяцев)</w:t>
      </w:r>
    </w:p>
    <w:bookmarkEnd w:id="102"/>
    <w:bookmarkStart w:name="z120" w:id="103"/>
    <w:p>
      <w:pPr>
        <w:spacing w:after="0"/>
        <w:ind w:left="0"/>
        <w:jc w:val="both"/>
      </w:pPr>
      <w:r>
        <w:rPr>
          <w:rFonts w:ascii="Times New Roman"/>
          <w:b w:val="false"/>
          <w:i w:val="false"/>
          <w:color w:val="000000"/>
          <w:sz w:val="28"/>
        </w:rPr>
        <w:t>
      На 3 шаге конкретные планы действий для реформ будут разработаны для каждого из приоритетных мероприятий. На этом этапе основное внимание будет переключено с "что делать" на "как это сделать". Соответствующая приоритизация действий, распределение ресурсов и последовательность действий будут подробно описаны в конкретном плане действий для реформ в каждой из приоритетных мероприятий. Эти планы действий можно охарактеризовать как поэтапные руководства для содействия реализации рекомендованных реформ в каждом мероприятии. Пример плана приведен на рисунке 1 с примером рекомнендации по правилам во вставке 3.</w:t>
      </w:r>
    </w:p>
    <w:bookmarkEnd w:id="103"/>
    <w:bookmarkStart w:name="z121" w:id="104"/>
    <w:p>
      <w:pPr>
        <w:spacing w:after="0"/>
        <w:ind w:left="0"/>
        <w:jc w:val="left"/>
      </w:pPr>
      <w:r>
        <w:rPr>
          <w:rFonts w:ascii="Times New Roman"/>
          <w:b/>
          <w:i w:val="false"/>
          <w:color w:val="000000"/>
        </w:rPr>
        <w:t xml:space="preserve"> Рисунок 1. Пример плана действий</w:t>
      </w:r>
    </w:p>
    <w:bookmarkEnd w:id="104"/>
    <w:bookmarkStart w:name="z122"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57150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150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57150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Вставка 3. Пример рекомендации по политике - поддержка развития навыков и компетенций для оцифровки продукции</w:t>
            </w:r>
            <w:r>
              <w:br/>
            </w:r>
            <w:r>
              <w:rPr>
                <w:rFonts w:ascii="Times New Roman"/>
                <w:b w:val="false"/>
                <w:i w:val="false"/>
                <w:color w:val="000000"/>
                <w:sz w:val="20"/>
              </w:rPr>
              <w:t>
</w:t>
            </w:r>
            <w:r>
              <w:rPr>
                <w:rFonts w:ascii="Times New Roman"/>
                <w:b w:val="false"/>
                <w:i w:val="false"/>
                <w:color w:val="000000"/>
                <w:sz w:val="20"/>
              </w:rPr>
              <w:t xml:space="preserve">         Национальные системы образования в сотрудничестве с бизнесом и профсоюзами должны поддерживать развитие навыков, связанных с информационно-коммуникационными технологиями (далее - ИКТ), начиная с базовых навыков в области ИКТ и включая навыки специалиста о данных. Потребности в образовании выходят за рамки ИКТ, включая науку, технологии, инженерные науки и математику (STEM). Это требует принятия мер для: (i) содействия распространению цифровой грамотности в школах; (ii) дальнейшее развитие профессиональной подготовки и обучения без отрыва от производства; и (iii) соединять образовательные области, например, путем создания стратегических альянсов между университетами и бизнесами.</w:t>
            </w:r>
            <w:r>
              <w:br/>
            </w:r>
            <w:r>
              <w:rPr>
                <w:rFonts w:ascii="Times New Roman"/>
                <w:b w:val="false"/>
                <w:i w:val="false"/>
                <w:color w:val="000000"/>
                <w:sz w:val="20"/>
              </w:rPr>
              <w:t>
</w:t>
            </w:r>
            <w:r>
              <w:rPr>
                <w:rFonts w:ascii="Times New Roman"/>
                <w:b w:val="false"/>
                <w:i w:val="false"/>
                <w:color w:val="000000"/>
                <w:sz w:val="20"/>
              </w:rPr>
              <w:t xml:space="preserve">         Технических навыков недостаточно. Технические навыки должны дополняться ноу-хау в конкретных областях (включая знание производственных процессов), а также "элементарными навыками", такие как общение, само направление, креативное мышление и решение проблем. Спрос на такие нетехнические навыки будет продолжать расти, поскольку распространение цифровых технологий и новых бизнес-моделей меняют систему выполнения работ. Особенно для групп с низким уровнем квалификации, приобретение этих навыков особенно важно в борьбе с нарушением в существующих отраслях. Компании и их социальные партнеры также играют важную роль, например, при выравнивании навыков с потребностями реалий.</w:t>
            </w:r>
            <w:r>
              <w:br/>
            </w:r>
            <w:r>
              <w:rPr>
                <w:rFonts w:ascii="Times New Roman"/>
                <w:b w:val="false"/>
                <w:i w:val="false"/>
                <w:color w:val="000000"/>
                <w:sz w:val="20"/>
              </w:rPr>
              <w:t>
Источник: ОЭСР (предстоящий), "Следующая революция в производстве" - доклад для G20, Издание ОЭСР, Париж.</w:t>
            </w:r>
          </w:p>
          <w:bookmarkEnd w:id="107"/>
        </w:tc>
      </w:tr>
    </w:tbl>
    <w:bookmarkStart w:name="z127" w:id="108"/>
    <w:p>
      <w:pPr>
        <w:spacing w:after="0"/>
        <w:ind w:left="0"/>
        <w:jc w:val="both"/>
      </w:pPr>
      <w:r>
        <w:rPr>
          <w:rFonts w:ascii="Times New Roman"/>
          <w:b w:val="false"/>
          <w:i w:val="false"/>
          <w:color w:val="000000"/>
          <w:sz w:val="28"/>
        </w:rPr>
        <w:t xml:space="preserve">
      </w:t>
      </w:r>
      <w:r>
        <w:rPr>
          <w:rFonts w:ascii="Times New Roman"/>
          <w:b/>
          <w:i w:val="false"/>
          <w:color w:val="000000"/>
          <w:sz w:val="28"/>
        </w:rPr>
        <w:t>2.3.2. Компонент 2: Устойчивая диверсификация и</w:t>
      </w:r>
      <w:r>
        <w:rPr>
          <w:rFonts w:ascii="Times New Roman"/>
          <w:b w:val="false"/>
          <w:i w:val="false"/>
          <w:color w:val="000000"/>
          <w:sz w:val="28"/>
        </w:rPr>
        <w:t xml:space="preserve"> </w:t>
      </w:r>
      <w:r>
        <w:rPr>
          <w:rFonts w:ascii="Times New Roman"/>
          <w:b/>
          <w:i w:val="false"/>
          <w:color w:val="000000"/>
          <w:sz w:val="28"/>
        </w:rPr>
        <w:t>конкурентоспособность за счет развития потенциала в отдельных видах деятельности</w:t>
      </w:r>
    </w:p>
    <w:bookmarkEnd w:id="108"/>
    <w:bookmarkStart w:name="z128" w:id="109"/>
    <w:p>
      <w:pPr>
        <w:spacing w:after="0"/>
        <w:ind w:left="0"/>
        <w:jc w:val="both"/>
      </w:pPr>
      <w:r>
        <w:rPr>
          <w:rFonts w:ascii="Times New Roman"/>
          <w:b w:val="false"/>
          <w:i w:val="false"/>
          <w:color w:val="000000"/>
          <w:sz w:val="28"/>
        </w:rPr>
        <w:t>
      Контекст</w:t>
      </w:r>
    </w:p>
    <w:bookmarkEnd w:id="109"/>
    <w:bookmarkStart w:name="z129" w:id="110"/>
    <w:p>
      <w:pPr>
        <w:spacing w:after="0"/>
        <w:ind w:left="0"/>
        <w:jc w:val="both"/>
      </w:pPr>
      <w:r>
        <w:rPr>
          <w:rFonts w:ascii="Times New Roman"/>
          <w:b w:val="false"/>
          <w:i w:val="false"/>
          <w:color w:val="000000"/>
          <w:sz w:val="28"/>
        </w:rPr>
        <w:t>
      Для обеспечения воздействия и устойчивости реформ необходимы надежные возможности и навыки в правительстве и в частном секторе. Для ускорения изменений, выходящих за рамки мандата текущих руководящих лиц, принимающих решения, необходимо поощрять обмен знаниями и выявлять передовые методы, а также повышать наглядность приверженности страны долгосрочным реформам в области конкурентоспособности. Улучшение навыков правительства и частного сектора необходимы для того, чтобы осуществить изменения на местах и внедрить опыт международных партнеров в устойчивые национальные учреждения.</w:t>
      </w:r>
    </w:p>
    <w:bookmarkEnd w:id="110"/>
    <w:bookmarkStart w:name="z130" w:id="111"/>
    <w:p>
      <w:pPr>
        <w:spacing w:after="0"/>
        <w:ind w:left="0"/>
        <w:jc w:val="both"/>
      </w:pPr>
      <w:r>
        <w:rPr>
          <w:rFonts w:ascii="Times New Roman"/>
          <w:b w:val="false"/>
          <w:i w:val="false"/>
          <w:color w:val="000000"/>
          <w:sz w:val="28"/>
        </w:rPr>
        <w:t>
      Мероприятия</w:t>
      </w:r>
    </w:p>
    <w:bookmarkEnd w:id="111"/>
    <w:bookmarkStart w:name="z131" w:id="112"/>
    <w:p>
      <w:pPr>
        <w:spacing w:after="0"/>
        <w:ind w:left="0"/>
        <w:jc w:val="both"/>
      </w:pPr>
      <w:r>
        <w:rPr>
          <w:rFonts w:ascii="Times New Roman"/>
          <w:b w:val="false"/>
          <w:i w:val="false"/>
          <w:color w:val="000000"/>
          <w:sz w:val="28"/>
        </w:rPr>
        <w:t>
      В рамках Компонента 2 будут проводиться семинары и практикумы по наращиванию потенциала, с тем, чтобы укрепить соответствующие институты для расширения диверсификации и повышения конкурентоспособности.</w:t>
      </w:r>
    </w:p>
    <w:bookmarkEnd w:id="112"/>
    <w:bookmarkStart w:name="z132" w:id="113"/>
    <w:p>
      <w:pPr>
        <w:spacing w:after="0"/>
        <w:ind w:left="0"/>
        <w:jc w:val="both"/>
      </w:pPr>
      <w:r>
        <w:rPr>
          <w:rFonts w:ascii="Times New Roman"/>
          <w:b w:val="false"/>
          <w:i w:val="false"/>
          <w:color w:val="000000"/>
          <w:sz w:val="28"/>
        </w:rPr>
        <w:t>
      2.3.2.1. Рекомендации по реформам конкурентоспособности (12 месяцев)</w:t>
      </w:r>
    </w:p>
    <w:bookmarkEnd w:id="113"/>
    <w:bookmarkStart w:name="z133" w:id="114"/>
    <w:p>
      <w:pPr>
        <w:spacing w:after="0"/>
        <w:ind w:left="0"/>
        <w:jc w:val="both"/>
      </w:pPr>
      <w:r>
        <w:rPr>
          <w:rFonts w:ascii="Times New Roman"/>
          <w:b w:val="false"/>
          <w:i w:val="false"/>
          <w:color w:val="000000"/>
          <w:sz w:val="28"/>
        </w:rPr>
        <w:t>
      Команда ОЭСР, при необходимости, с соответствующими внутренними и внешними экспертами проведет анализ и подготовит рекомендации. Мероприятия будут проводиться в три этапа:</w:t>
      </w:r>
    </w:p>
    <w:bookmarkEnd w:id="114"/>
    <w:bookmarkStart w:name="z134" w:id="115"/>
    <w:p>
      <w:pPr>
        <w:spacing w:after="0"/>
        <w:ind w:left="0"/>
        <w:jc w:val="both"/>
      </w:pPr>
      <w:r>
        <w:rPr>
          <w:rFonts w:ascii="Times New Roman"/>
          <w:b w:val="false"/>
          <w:i w:val="false"/>
          <w:color w:val="000000"/>
          <w:sz w:val="28"/>
        </w:rPr>
        <w:t>
      I Внедрение современных возможностей для разработки и реализации политики конкурентоспособности в Казахстане с уделением особого внимания конкретной политике, влияющей на выбранную пилотную экономическую деятельность (9 месяцев).</w:t>
      </w:r>
    </w:p>
    <w:bookmarkEnd w:id="115"/>
    <w:bookmarkStart w:name="z135" w:id="116"/>
    <w:p>
      <w:pPr>
        <w:spacing w:after="0"/>
        <w:ind w:left="0"/>
        <w:jc w:val="both"/>
      </w:pPr>
      <w:r>
        <w:rPr>
          <w:rFonts w:ascii="Times New Roman"/>
          <w:b w:val="false"/>
          <w:i w:val="false"/>
          <w:color w:val="000000"/>
          <w:sz w:val="28"/>
        </w:rPr>
        <w:t>
      II. Разработка рекомендаций по улучшению возможностей (3 месяца).</w:t>
      </w:r>
    </w:p>
    <w:bookmarkEnd w:id="116"/>
    <w:bookmarkStart w:name="z136" w:id="117"/>
    <w:p>
      <w:pPr>
        <w:spacing w:after="0"/>
        <w:ind w:left="0"/>
        <w:jc w:val="both"/>
      </w:pPr>
      <w:r>
        <w:rPr>
          <w:rFonts w:ascii="Times New Roman"/>
          <w:b w:val="false"/>
          <w:i w:val="false"/>
          <w:color w:val="000000"/>
          <w:sz w:val="28"/>
        </w:rPr>
        <w:t>
      Анализ пробелов между глобальной передовой практикой и ситуацией в Казахстане приведет к ряду рекомендаций по улучшению.</w:t>
      </w:r>
    </w:p>
    <w:bookmarkEnd w:id="117"/>
    <w:bookmarkStart w:name="z137" w:id="118"/>
    <w:p>
      <w:pPr>
        <w:spacing w:after="0"/>
        <w:ind w:left="0"/>
        <w:jc w:val="both"/>
      </w:pPr>
      <w:r>
        <w:rPr>
          <w:rFonts w:ascii="Times New Roman"/>
          <w:b w:val="false"/>
          <w:i w:val="false"/>
          <w:color w:val="000000"/>
          <w:sz w:val="28"/>
        </w:rPr>
        <w:t>
      III Разработка конкретного и целевого плана действий для содействия внедрению рекомендуемых улучшений возможностей (12 месяцев). В аналогичном подходе к третьему шагу Компонента 1 основное внимание будет переключено с "что делать" на "как это сделать".</w:t>
      </w:r>
    </w:p>
    <w:bookmarkEnd w:id="118"/>
    <w:bookmarkStart w:name="z138" w:id="119"/>
    <w:p>
      <w:pPr>
        <w:spacing w:after="0"/>
        <w:ind w:left="0"/>
        <w:jc w:val="both"/>
      </w:pPr>
      <w:r>
        <w:rPr>
          <w:rFonts w:ascii="Times New Roman"/>
          <w:b w:val="false"/>
          <w:i w:val="false"/>
          <w:color w:val="000000"/>
          <w:sz w:val="28"/>
        </w:rPr>
        <w:t>
      2.3.2.2. Рабочее совещание и семинары по наращиванию потенциала (24 месяца)</w:t>
      </w:r>
    </w:p>
    <w:bookmarkEnd w:id="119"/>
    <w:bookmarkStart w:name="z139" w:id="120"/>
    <w:p>
      <w:pPr>
        <w:spacing w:after="0"/>
        <w:ind w:left="0"/>
        <w:jc w:val="both"/>
      </w:pPr>
      <w:r>
        <w:rPr>
          <w:rFonts w:ascii="Times New Roman"/>
          <w:b w:val="false"/>
          <w:i w:val="false"/>
          <w:color w:val="000000"/>
          <w:sz w:val="28"/>
        </w:rPr>
        <w:t>
      ОЭСР будет наращивать потенциал, как подробно описано ниже, во всех соответствующих областях политики. Эта поддержка, включает национальные и региональные усилия Правительства по выполнению рекомендаций, осуществляемые в форме семинаров по наращиванию потенциала, организации рабочих групп, регулярных миссиях в регионы для поддержки и мониторинга осуществления политики и миссии(й) внутри страны для стран ОЭСР, для изучения передовой практики улучшения конкурентоспособности в конкретных отраслях. Кроме того, ОЭСР будет обеспечивать целенаправленное наращивание потенциала по принципу "взаимообмена", способствуя установлению связей между международными экспертами с национальными и субнациональными политиками и МСБ.</w:t>
      </w:r>
    </w:p>
    <w:bookmarkEnd w:id="120"/>
    <w:bookmarkStart w:name="z140" w:id="121"/>
    <w:p>
      <w:pPr>
        <w:spacing w:after="0"/>
        <w:ind w:left="0"/>
        <w:jc w:val="both"/>
      </w:pPr>
      <w:r>
        <w:rPr>
          <w:rFonts w:ascii="Times New Roman"/>
          <w:b w:val="false"/>
          <w:i w:val="false"/>
          <w:color w:val="000000"/>
          <w:sz w:val="28"/>
        </w:rPr>
        <w:t>
      Предлагается проводить одно мероприятие в квартал по наращиванию потенциала.</w:t>
      </w:r>
    </w:p>
    <w:bookmarkEnd w:id="121"/>
    <w:bookmarkStart w:name="z141" w:id="122"/>
    <w:p>
      <w:pPr>
        <w:spacing w:after="0"/>
        <w:ind w:left="0"/>
        <w:jc w:val="both"/>
      </w:pPr>
      <w:r>
        <w:rPr>
          <w:rFonts w:ascii="Times New Roman"/>
          <w:b w:val="false"/>
          <w:i w:val="false"/>
          <w:color w:val="000000"/>
          <w:sz w:val="28"/>
        </w:rPr>
        <w:t>
      Два элемента будут использоваться для раскрытия и поддержки основных выбранных мероприятий, поддерживающих диверсификацию в рамках Компонента 1 (Шаг 1):</w:t>
      </w:r>
    </w:p>
    <w:bookmarkEnd w:id="122"/>
    <w:bookmarkStart w:name="z142" w:id="123"/>
    <w:p>
      <w:pPr>
        <w:spacing w:after="0"/>
        <w:ind w:left="0"/>
        <w:jc w:val="both"/>
      </w:pPr>
      <w:r>
        <w:rPr>
          <w:rFonts w:ascii="Times New Roman"/>
          <w:b w:val="false"/>
          <w:i w:val="false"/>
          <w:color w:val="000000"/>
          <w:sz w:val="28"/>
        </w:rPr>
        <w:t>
      1. Процесс, основанный на консенсусе, для выбора основных видов деятельности. ОЭСР будет выбирать основные виды деятельности с учетом соответствующих ответов Правительства для обеспечения устойчивости действий проекта. ОЭСР проведет консультации с Правительством через двусторонние коммуникации и рабочие группы.</w:t>
      </w:r>
    </w:p>
    <w:bookmarkEnd w:id="123"/>
    <w:bookmarkStart w:name="z143" w:id="124"/>
    <w:p>
      <w:pPr>
        <w:spacing w:after="0"/>
        <w:ind w:left="0"/>
        <w:jc w:val="both"/>
      </w:pPr>
      <w:r>
        <w:rPr>
          <w:rFonts w:ascii="Times New Roman"/>
          <w:b w:val="false"/>
          <w:i w:val="false"/>
          <w:color w:val="000000"/>
          <w:sz w:val="28"/>
        </w:rPr>
        <w:t>
      2. Оценочный семинар по результатам определения приоритетности.</w:t>
      </w:r>
    </w:p>
    <w:bookmarkEnd w:id="124"/>
    <w:bookmarkStart w:name="z144" w:id="125"/>
    <w:p>
      <w:pPr>
        <w:spacing w:after="0"/>
        <w:ind w:left="0"/>
        <w:jc w:val="both"/>
      </w:pPr>
      <w:r>
        <w:rPr>
          <w:rFonts w:ascii="Times New Roman"/>
          <w:b w:val="false"/>
          <w:i w:val="false"/>
          <w:color w:val="000000"/>
          <w:sz w:val="28"/>
        </w:rPr>
        <w:t>
      ОЭСР представит свой анализ и предложит свою расстановку приоритетов и обратится в Правительство для получения отзыва, которую, при необходимости, будет учтена, при окончательной приоритезации результатов. Оценочный семинар будет проходить при участии заинтересованных сторон - Правительства Казахстана, экспертов ОЭСР и, возможно, внешних экспертов, представителей частных компаний, международных организаций и гражданского общества, по мере необходимости.</w:t>
      </w:r>
    </w:p>
    <w:bookmarkEnd w:id="125"/>
    <w:bookmarkStart w:name="z145" w:id="126"/>
    <w:p>
      <w:pPr>
        <w:spacing w:after="0"/>
        <w:ind w:left="0"/>
        <w:jc w:val="both"/>
      </w:pPr>
      <w:r>
        <w:rPr>
          <w:rFonts w:ascii="Times New Roman"/>
          <w:b w:val="false"/>
          <w:i w:val="false"/>
          <w:color w:val="000000"/>
          <w:sz w:val="28"/>
        </w:rPr>
        <w:t>
      В трех пунктах будут использованы и поддержаны отраслевой анализ и диагностика барьеров в рамках деятельности по Компоненту 1 (Шаг 2):</w:t>
      </w:r>
    </w:p>
    <w:bookmarkEnd w:id="126"/>
    <w:bookmarkStart w:name="z146" w:id="127"/>
    <w:p>
      <w:pPr>
        <w:spacing w:after="0"/>
        <w:ind w:left="0"/>
        <w:jc w:val="both"/>
      </w:pPr>
      <w:r>
        <w:rPr>
          <w:rFonts w:ascii="Times New Roman"/>
          <w:b w:val="false"/>
          <w:i w:val="false"/>
          <w:color w:val="000000"/>
          <w:sz w:val="28"/>
        </w:rPr>
        <w:t>
      1) Методологический семинар по выявлению политических барьеров по выбранным видам деятельности;</w:t>
      </w:r>
    </w:p>
    <w:bookmarkEnd w:id="127"/>
    <w:bookmarkStart w:name="z147" w:id="128"/>
    <w:p>
      <w:pPr>
        <w:spacing w:after="0"/>
        <w:ind w:left="0"/>
        <w:jc w:val="both"/>
      </w:pPr>
      <w:r>
        <w:rPr>
          <w:rFonts w:ascii="Times New Roman"/>
          <w:b w:val="false"/>
          <w:i w:val="false"/>
          <w:color w:val="000000"/>
          <w:sz w:val="28"/>
        </w:rPr>
        <w:t>
      2) Дискуссионный семинар по промежуточному анализу конкурентоспособности выбранных видов деятельности;</w:t>
      </w:r>
    </w:p>
    <w:bookmarkEnd w:id="128"/>
    <w:bookmarkStart w:name="z148" w:id="129"/>
    <w:p>
      <w:pPr>
        <w:spacing w:after="0"/>
        <w:ind w:left="0"/>
        <w:jc w:val="both"/>
      </w:pPr>
      <w:r>
        <w:rPr>
          <w:rFonts w:ascii="Times New Roman"/>
          <w:b w:val="false"/>
          <w:i w:val="false"/>
          <w:color w:val="000000"/>
          <w:sz w:val="28"/>
        </w:rPr>
        <w:t>
      3) Оценочный семинар по окончательному анализу диверсификации ПИИ и МСБ. ОЭСР представит свой анализ и предложит свою расстановку приоритетов и обратится к Правительству для получения отзыва, который, при необходимости, будет учитываться в окончательном анализе диверсификации ПИИ и МСБ. Оценочный семинар будет проходить при участии заинтересованных сторон - Правительства Казахстана, экспертов ОЭСР и, возможно, внешних экспертов, представителей частных компаний, международных организаций и гражданского общества, если это уместно.</w:t>
      </w:r>
    </w:p>
    <w:bookmarkEnd w:id="129"/>
    <w:bookmarkStart w:name="z149" w:id="130"/>
    <w:p>
      <w:pPr>
        <w:spacing w:after="0"/>
        <w:ind w:left="0"/>
        <w:jc w:val="both"/>
      </w:pPr>
      <w:r>
        <w:rPr>
          <w:rFonts w:ascii="Times New Roman"/>
          <w:b w:val="false"/>
          <w:i w:val="false"/>
          <w:color w:val="000000"/>
          <w:sz w:val="28"/>
        </w:rPr>
        <w:t>
      В трех пунктах будут поддержаны мероприятия по созданию плана действий Компонента 1 (Шаг 3):</w:t>
      </w:r>
    </w:p>
    <w:bookmarkEnd w:id="130"/>
    <w:bookmarkStart w:name="z150" w:id="131"/>
    <w:p>
      <w:pPr>
        <w:spacing w:after="0"/>
        <w:ind w:left="0"/>
        <w:jc w:val="both"/>
      </w:pPr>
      <w:r>
        <w:rPr>
          <w:rFonts w:ascii="Times New Roman"/>
          <w:b w:val="false"/>
          <w:i w:val="false"/>
          <w:color w:val="000000"/>
          <w:sz w:val="28"/>
        </w:rPr>
        <w:t>
      1) Методологический семинар по созданию и осуществлению реформ;</w:t>
      </w:r>
    </w:p>
    <w:bookmarkEnd w:id="131"/>
    <w:bookmarkStart w:name="z151" w:id="132"/>
    <w:p>
      <w:pPr>
        <w:spacing w:after="0"/>
        <w:ind w:left="0"/>
        <w:jc w:val="both"/>
      </w:pPr>
      <w:r>
        <w:rPr>
          <w:rFonts w:ascii="Times New Roman"/>
          <w:b w:val="false"/>
          <w:i w:val="false"/>
          <w:color w:val="000000"/>
          <w:sz w:val="28"/>
        </w:rPr>
        <w:t>
      2) Дискуссионный семинар по плану мероприятий;</w:t>
      </w:r>
    </w:p>
    <w:bookmarkEnd w:id="132"/>
    <w:bookmarkStart w:name="z152" w:id="133"/>
    <w:p>
      <w:pPr>
        <w:spacing w:after="0"/>
        <w:ind w:left="0"/>
        <w:jc w:val="both"/>
      </w:pPr>
      <w:r>
        <w:rPr>
          <w:rFonts w:ascii="Times New Roman"/>
          <w:b w:val="false"/>
          <w:i w:val="false"/>
          <w:color w:val="000000"/>
          <w:sz w:val="28"/>
        </w:rPr>
        <w:t>
      3) Оценочный семинар по планам заключительных мероприятий и/или тематический семинар "управление проектом для реализации реформ". ОЭСР представит план мероприятий и запросит комментарии Правительства, которые примет во внимание, соответственно для составления плана заключительных мероприятий. Оценочный семинар будет проведен с участием заинтересованных Казахстанских государственных организаций, экспертов ОЭСР и возможно внешних экспертов, представителей частных компаний, международный организаций и при необходимости гражданского общества.</w:t>
      </w:r>
    </w:p>
    <w:bookmarkEnd w:id="133"/>
    <w:bookmarkStart w:name="z153" w:id="134"/>
    <w:p>
      <w:pPr>
        <w:spacing w:after="0"/>
        <w:ind w:left="0"/>
        <w:jc w:val="both"/>
      </w:pPr>
      <w:r>
        <w:rPr>
          <w:rFonts w:ascii="Times New Roman"/>
          <w:b w:val="false"/>
          <w:i w:val="false"/>
          <w:color w:val="000000"/>
          <w:sz w:val="28"/>
        </w:rPr>
        <w:t>
      Для развития диалога между государственным и частным секторами предлагается провести большинство семинаров и тренингов в виде открытых и закрытых мероприятий с участием представителей государственного и частного секторов. Список участников будет включать координаторов соответствующих  министерств и государственных учреждений, а также руководителей высшего звена местных и международных компаний, международных организаций и представителей гражданского общества.</w:t>
      </w:r>
    </w:p>
    <w:bookmarkEnd w:id="134"/>
    <w:bookmarkStart w:name="z154" w:id="135"/>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Результаты</w:t>
      </w:r>
    </w:p>
    <w:bookmarkEnd w:id="135"/>
    <w:bookmarkStart w:name="z155" w:id="136"/>
    <w:p>
      <w:pPr>
        <w:spacing w:after="0"/>
        <w:ind w:left="0"/>
        <w:jc w:val="both"/>
      </w:pPr>
      <w:r>
        <w:rPr>
          <w:rFonts w:ascii="Times New Roman"/>
          <w:b w:val="false"/>
          <w:i w:val="false"/>
          <w:color w:val="000000"/>
          <w:sz w:val="28"/>
        </w:rPr>
        <w:t>
      Результаты проекта включают рабочие документы, публикации, которые должны распространяться среди широкой общественности, встречи государственного и частного секторов и мероприятия по выращиванию потенциала. Основные результаты будут включать:</w:t>
      </w:r>
    </w:p>
    <w:bookmarkEnd w:id="136"/>
    <w:bookmarkStart w:name="z156" w:id="137"/>
    <w:p>
      <w:pPr>
        <w:spacing w:after="0"/>
        <w:ind w:left="0"/>
        <w:jc w:val="both"/>
      </w:pPr>
      <w:r>
        <w:rPr>
          <w:rFonts w:ascii="Times New Roman"/>
          <w:b w:val="false"/>
          <w:i w:val="false"/>
          <w:color w:val="000000"/>
          <w:sz w:val="28"/>
        </w:rPr>
        <w:t>
      анализ мероприятий, с обоснованием выбора данных пилотных проектов выбранных в качестве пилотных проектов (рабочий документ);</w:t>
      </w:r>
    </w:p>
    <w:bookmarkEnd w:id="137"/>
    <w:bookmarkStart w:name="z157" w:id="138"/>
    <w:p>
      <w:pPr>
        <w:spacing w:after="0"/>
        <w:ind w:left="0"/>
        <w:jc w:val="both"/>
      </w:pPr>
      <w:r>
        <w:rPr>
          <w:rFonts w:ascii="Times New Roman"/>
          <w:b w:val="false"/>
          <w:i w:val="false"/>
          <w:color w:val="000000"/>
          <w:sz w:val="28"/>
        </w:rPr>
        <w:t>
      конкретный анализ и диагностика барьеров в выбранной экономической деятельности (рабочий документ);</w:t>
      </w:r>
    </w:p>
    <w:bookmarkEnd w:id="138"/>
    <w:bookmarkStart w:name="z158" w:id="139"/>
    <w:p>
      <w:pPr>
        <w:spacing w:after="0"/>
        <w:ind w:left="0"/>
        <w:jc w:val="both"/>
      </w:pPr>
      <w:r>
        <w:rPr>
          <w:rFonts w:ascii="Times New Roman"/>
          <w:b w:val="false"/>
          <w:i w:val="false"/>
          <w:color w:val="000000"/>
          <w:sz w:val="28"/>
        </w:rPr>
        <w:t>
      планы действий по реформе с указанием подцелей и задач в каждом из выбранных пилотных мероприятий (рабочий документ);</w:t>
      </w:r>
    </w:p>
    <w:bookmarkEnd w:id="139"/>
    <w:bookmarkStart w:name="z159" w:id="140"/>
    <w:p>
      <w:pPr>
        <w:spacing w:after="0"/>
        <w:ind w:left="0"/>
        <w:jc w:val="both"/>
      </w:pPr>
      <w:r>
        <w:rPr>
          <w:rFonts w:ascii="Times New Roman"/>
          <w:b w:val="false"/>
          <w:i w:val="false"/>
          <w:color w:val="000000"/>
          <w:sz w:val="28"/>
        </w:rPr>
        <w:t>
      краткая оценка возможностей для разработки и реализации политики конкурентоспособности в Казахстане (рабочий документ);</w:t>
      </w:r>
    </w:p>
    <w:bookmarkEnd w:id="140"/>
    <w:bookmarkStart w:name="z160" w:id="141"/>
    <w:p>
      <w:pPr>
        <w:spacing w:after="0"/>
        <w:ind w:left="0"/>
        <w:jc w:val="both"/>
      </w:pPr>
      <w:r>
        <w:rPr>
          <w:rFonts w:ascii="Times New Roman"/>
          <w:b w:val="false"/>
          <w:i w:val="false"/>
          <w:color w:val="000000"/>
          <w:sz w:val="28"/>
        </w:rPr>
        <w:t>
      рекомендации для плана действий по наращиванию потенциала страны/отрасли (например: информационные технологий, сельское хозяйство, машиностроение) (рабочий документ);</w:t>
      </w:r>
    </w:p>
    <w:bookmarkEnd w:id="141"/>
    <w:bookmarkStart w:name="z161" w:id="142"/>
    <w:p>
      <w:pPr>
        <w:spacing w:after="0"/>
        <w:ind w:left="0"/>
        <w:jc w:val="both"/>
      </w:pPr>
      <w:r>
        <w:rPr>
          <w:rFonts w:ascii="Times New Roman"/>
          <w:b w:val="false"/>
          <w:i w:val="false"/>
          <w:color w:val="000000"/>
          <w:sz w:val="28"/>
        </w:rPr>
        <w:t>
      тематические мероприятия по наращиванию потенциала (поездка экспертов в Казахстан и членов ОЭСР - "ознакомительные поездки"), которые могут заключать, например, наращивание связей между ПИИ и МСБ через улучшение производственных стандартов (например, в машиностроении, обучение группы МСБ) или распространение положительных практик в рыболовстве или потенциальных страновых визитов, например "умных" сельских хозяйств или цифровых фабрик;</w:t>
      </w:r>
    </w:p>
    <w:bookmarkEnd w:id="142"/>
    <w:bookmarkStart w:name="z162" w:id="143"/>
    <w:p>
      <w:pPr>
        <w:spacing w:after="0"/>
        <w:ind w:left="0"/>
        <w:jc w:val="both"/>
      </w:pPr>
      <w:r>
        <w:rPr>
          <w:rFonts w:ascii="Times New Roman"/>
          <w:b w:val="false"/>
          <w:i w:val="false"/>
          <w:color w:val="000000"/>
          <w:sz w:val="28"/>
        </w:rPr>
        <w:t>
      отчет о проделанной работе и итоговый доклад.</w:t>
      </w:r>
    </w:p>
    <w:bookmarkEnd w:id="143"/>
    <w:bookmarkStart w:name="z163" w:id="144"/>
    <w:p>
      <w:pPr>
        <w:spacing w:after="0"/>
        <w:ind w:left="0"/>
        <w:jc w:val="both"/>
      </w:pPr>
      <w:r>
        <w:rPr>
          <w:rFonts w:ascii="Times New Roman"/>
          <w:b w:val="false"/>
          <w:i w:val="false"/>
          <w:color w:val="000000"/>
          <w:sz w:val="28"/>
        </w:rPr>
        <w:t xml:space="preserve">
      </w:t>
      </w:r>
      <w:r>
        <w:rPr>
          <w:rFonts w:ascii="Times New Roman"/>
          <w:b/>
          <w:i w:val="false"/>
          <w:color w:val="000000"/>
          <w:sz w:val="28"/>
        </w:rPr>
        <w:t>2.5 План действий</w:t>
      </w:r>
    </w:p>
    <w:bookmarkEnd w:id="144"/>
    <w:bookmarkStart w:name="z164" w:id="145"/>
    <w:p>
      <w:pPr>
        <w:spacing w:after="0"/>
        <w:ind w:left="0"/>
        <w:jc w:val="both"/>
      </w:pPr>
      <w:r>
        <w:rPr>
          <w:rFonts w:ascii="Times New Roman"/>
          <w:b w:val="false"/>
          <w:i w:val="false"/>
          <w:color w:val="000000"/>
          <w:sz w:val="28"/>
        </w:rPr>
        <w:t>
      Предполагаемая продолжительность проекта 24 месяца. Ниже приводится ориентировочный план предварительных действий.</w:t>
      </w:r>
    </w:p>
    <w:bookmarkEnd w:id="145"/>
    <w:bookmarkStart w:name="z165"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58039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039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57658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658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48"/>
    <w:p>
      <w:pPr>
        <w:spacing w:after="0"/>
        <w:ind w:left="0"/>
        <w:jc w:val="left"/>
      </w:pPr>
      <w:r>
        <w:rPr>
          <w:rFonts w:ascii="Times New Roman"/>
          <w:b/>
          <w:i w:val="false"/>
          <w:color w:val="000000"/>
        </w:rPr>
        <w:t xml:space="preserve"> 3. РЕАЛИЗАЦИЯ ПРОЕКТА</w:t>
      </w:r>
    </w:p>
    <w:bookmarkEnd w:id="148"/>
    <w:bookmarkStart w:name="z168" w:id="149"/>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Целевые группы и основные заинтересованные стороны Целевые группы</w:t>
      </w:r>
    </w:p>
    <w:bookmarkEnd w:id="149"/>
    <w:bookmarkStart w:name="z169" w:id="150"/>
    <w:p>
      <w:pPr>
        <w:spacing w:after="0"/>
        <w:ind w:left="0"/>
        <w:jc w:val="both"/>
      </w:pPr>
      <w:r>
        <w:rPr>
          <w:rFonts w:ascii="Times New Roman"/>
          <w:b w:val="false"/>
          <w:i w:val="false"/>
          <w:color w:val="000000"/>
          <w:sz w:val="28"/>
        </w:rPr>
        <w:t>
      Для каждой из деятельностей результаты проекта помогут органам Правительства Казахстана, отвечающим за диверсификацию ПИИ и МСБ, привлечению инвестиций и проведению реформ бизнес-среды, отечественным компаниям частного сектора и бизнес-ассоциациям, а также иностранным инвесторам. Основные целевые группы, определенные Казахстаном, включают:</w:t>
      </w:r>
    </w:p>
    <w:bookmarkEnd w:id="150"/>
    <w:bookmarkStart w:name="z170" w:id="151"/>
    <w:p>
      <w:pPr>
        <w:spacing w:after="0"/>
        <w:ind w:left="0"/>
        <w:jc w:val="both"/>
      </w:pPr>
      <w:r>
        <w:rPr>
          <w:rFonts w:ascii="Times New Roman"/>
          <w:b w:val="false"/>
          <w:i w:val="false"/>
          <w:color w:val="000000"/>
          <w:sz w:val="28"/>
        </w:rPr>
        <w:t>
      государственных служащих среднего и старшего звена министерств, ответственных за инвестиционную политику, политику МСБ.</w:t>
      </w:r>
    </w:p>
    <w:bookmarkEnd w:id="151"/>
    <w:bookmarkStart w:name="z171" w:id="152"/>
    <w:p>
      <w:pPr>
        <w:spacing w:after="0"/>
        <w:ind w:left="0"/>
        <w:jc w:val="both"/>
      </w:pPr>
      <w:r>
        <w:rPr>
          <w:rFonts w:ascii="Times New Roman"/>
          <w:b w:val="false"/>
          <w:i w:val="false"/>
          <w:color w:val="000000"/>
          <w:sz w:val="28"/>
        </w:rPr>
        <w:t>
      должностных лиц государственных органов, ответственных за поощрение инвестиций, политику и исследования МСБ.</w:t>
      </w:r>
    </w:p>
    <w:bookmarkEnd w:id="152"/>
    <w:bookmarkStart w:name="z172" w:id="153"/>
    <w:p>
      <w:pPr>
        <w:spacing w:after="0"/>
        <w:ind w:left="0"/>
        <w:jc w:val="both"/>
      </w:pPr>
      <w:r>
        <w:rPr>
          <w:rFonts w:ascii="Times New Roman"/>
          <w:b w:val="false"/>
          <w:i w:val="false"/>
          <w:color w:val="000000"/>
          <w:sz w:val="28"/>
        </w:rPr>
        <w:t>
      персонал/должностных лиц университетов и исследовательских учреждений, при необходимости.</w:t>
      </w:r>
    </w:p>
    <w:bookmarkEnd w:id="153"/>
    <w:bookmarkStart w:name="z173" w:id="154"/>
    <w:p>
      <w:pPr>
        <w:spacing w:after="0"/>
        <w:ind w:left="0"/>
        <w:jc w:val="both"/>
      </w:pPr>
      <w:r>
        <w:rPr>
          <w:rFonts w:ascii="Times New Roman"/>
          <w:b w:val="false"/>
          <w:i w:val="false"/>
          <w:color w:val="000000"/>
          <w:sz w:val="28"/>
        </w:rPr>
        <w:t>
      представителей деловых организаций и отдельных компаний.</w:t>
      </w:r>
    </w:p>
    <w:bookmarkEnd w:id="154"/>
    <w:bookmarkStart w:name="z174" w:id="155"/>
    <w:p>
      <w:pPr>
        <w:spacing w:after="0"/>
        <w:ind w:left="0"/>
        <w:jc w:val="both"/>
      </w:pPr>
      <w:r>
        <w:rPr>
          <w:rFonts w:ascii="Times New Roman"/>
          <w:b w:val="false"/>
          <w:i w:val="false"/>
          <w:color w:val="000000"/>
          <w:sz w:val="28"/>
        </w:rPr>
        <w:t>
      Реализация проекта будет направлена на благо государственных должностных лиц, компаний и граждан Казахстана.</w:t>
      </w:r>
    </w:p>
    <w:bookmarkEnd w:id="155"/>
    <w:bookmarkStart w:name="z175" w:id="156"/>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 заинтересованные стороны</w:t>
      </w:r>
    </w:p>
    <w:bookmarkEnd w:id="156"/>
    <w:bookmarkStart w:name="z176" w:id="157"/>
    <w:p>
      <w:pPr>
        <w:spacing w:after="0"/>
        <w:ind w:left="0"/>
        <w:jc w:val="both"/>
      </w:pPr>
      <w:r>
        <w:rPr>
          <w:rFonts w:ascii="Times New Roman"/>
          <w:b w:val="false"/>
          <w:i w:val="false"/>
          <w:color w:val="000000"/>
          <w:sz w:val="28"/>
        </w:rPr>
        <w:t>
      На местном уровне основные участники проекта будут определены на консультациях с Правительством Казахстана и могут включать представителей Канцелярии Премьер-Министра и Министерств по инвестициям и развития, сельского хозяйства, информации и коммуникаций. ОЭСР намерена в максимально возможной степени задействовать на всех рабочих совещаниях и семинарах по наращиванию потенциала другие международные организации, такие как Германское общество по международному сотрудничеству (далее - ГОМС), Европейский банк реконструкции и развития (далее - ЕБРР), Агентство США по международному развитию, Всемирный банк и неправительственные организации, работающие над инициативами в дополнение к этому.</w:t>
      </w:r>
    </w:p>
    <w:bookmarkEnd w:id="157"/>
    <w:bookmarkStart w:name="z177" w:id="158"/>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Координация и организация проекта</w:t>
      </w:r>
    </w:p>
    <w:bookmarkEnd w:id="158"/>
    <w:bookmarkStart w:name="z178" w:id="159"/>
    <w:p>
      <w:pPr>
        <w:spacing w:after="0"/>
        <w:ind w:left="0"/>
        <w:jc w:val="both"/>
      </w:pPr>
      <w:r>
        <w:rPr>
          <w:rFonts w:ascii="Times New Roman"/>
          <w:b w:val="false"/>
          <w:i w:val="false"/>
          <w:color w:val="000000"/>
          <w:sz w:val="28"/>
        </w:rPr>
        <w:t>
      Проект будет возглавлять и руководить Проектная группа ОЭСР.</w:t>
      </w:r>
    </w:p>
    <w:bookmarkEnd w:id="159"/>
    <w:bookmarkStart w:name="z179" w:id="160"/>
    <w:p>
      <w:pPr>
        <w:spacing w:after="0"/>
        <w:ind w:left="0"/>
        <w:jc w:val="both"/>
      </w:pPr>
      <w:r>
        <w:rPr>
          <w:rFonts w:ascii="Times New Roman"/>
          <w:b w:val="false"/>
          <w:i w:val="false"/>
          <w:color w:val="000000"/>
          <w:sz w:val="28"/>
        </w:rPr>
        <w:t>
      Местная консультативная группа (как определено ниже) будет содействовать на местном уровне для осуществления рекомендаций политики ОЭСР.</w:t>
      </w:r>
    </w:p>
    <w:bookmarkEnd w:id="160"/>
    <w:bookmarkStart w:name="z180" w:id="161"/>
    <w:p>
      <w:pPr>
        <w:spacing w:after="0"/>
        <w:ind w:left="0"/>
        <w:jc w:val="both"/>
      </w:pPr>
      <w:r>
        <w:rPr>
          <w:rFonts w:ascii="Times New Roman"/>
          <w:b w:val="false"/>
          <w:i w:val="false"/>
          <w:color w:val="000000"/>
          <w:sz w:val="28"/>
        </w:rPr>
        <w:t xml:space="preserve">
      </w:t>
      </w:r>
      <w:r>
        <w:rPr>
          <w:rFonts w:ascii="Times New Roman"/>
          <w:b/>
          <w:i w:val="false"/>
          <w:color w:val="000000"/>
          <w:sz w:val="28"/>
        </w:rPr>
        <w:t>Проектная группа ОЭСР</w:t>
      </w:r>
    </w:p>
    <w:bookmarkEnd w:id="161"/>
    <w:bookmarkStart w:name="z181" w:id="162"/>
    <w:p>
      <w:pPr>
        <w:spacing w:after="0"/>
        <w:ind w:left="0"/>
        <w:jc w:val="both"/>
      </w:pPr>
      <w:r>
        <w:rPr>
          <w:rFonts w:ascii="Times New Roman"/>
          <w:b w:val="false"/>
          <w:i w:val="false"/>
          <w:color w:val="000000"/>
          <w:sz w:val="28"/>
        </w:rPr>
        <w:t>
      Проект будет возглавляться и управляться Проектной группой ОЭСР с участием технических экспертов и консультантов ОЭСР, назначенных для проекта ОЭСР, которые специализируются в каждой из тематических областей.</w:t>
      </w:r>
    </w:p>
    <w:bookmarkEnd w:id="162"/>
    <w:bookmarkStart w:name="z182" w:id="163"/>
    <w:p>
      <w:pPr>
        <w:spacing w:after="0"/>
        <w:ind w:left="0"/>
        <w:jc w:val="both"/>
      </w:pPr>
      <w:r>
        <w:rPr>
          <w:rFonts w:ascii="Times New Roman"/>
          <w:b w:val="false"/>
          <w:i w:val="false"/>
          <w:color w:val="000000"/>
          <w:sz w:val="28"/>
        </w:rPr>
        <w:t>
      ОЭСР будет консультироваться с государственными органами власти и, при необходимости, должным образом учитывать их потребности и вопросы по основным и организационным вопросам. ОЭСР может принять решение о привлечении других организаций-партнеров (например, ГОМС, ЕБРР и т.д.) в Проектную группу ОЭСР.</w:t>
      </w:r>
    </w:p>
    <w:bookmarkEnd w:id="163"/>
    <w:bookmarkStart w:name="z183" w:id="164"/>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Международная известность</w:t>
      </w:r>
    </w:p>
    <w:bookmarkEnd w:id="164"/>
    <w:bookmarkStart w:name="z184" w:id="165"/>
    <w:p>
      <w:pPr>
        <w:spacing w:after="0"/>
        <w:ind w:left="0"/>
        <w:jc w:val="both"/>
      </w:pPr>
      <w:r>
        <w:rPr>
          <w:rFonts w:ascii="Times New Roman"/>
          <w:b w:val="false"/>
          <w:i w:val="false"/>
          <w:color w:val="000000"/>
          <w:sz w:val="28"/>
        </w:rPr>
        <w:t>
      Проект обеспечит международную известность с помощью трех дополнительных механизмов. Во-первых, Проектная группа ОЭСР будет мобилизировать экспертов по международным темам, включая экспертов ОЭСР, ученых, специалистов или старших государственных служащих из стран ОЭСР. Во-вторых, достижения проекта могут получить дополнительную известность в рамках ОЭСР путем представления в Руководящей группе Инициативы ОЭСР по Центральной Азии и на круглом столе "Конкурентоспособность Евразии". В-третьих, казахстанские официальные лица получат возможность активно участвовать в экспертной оценке аналогичных проектов, осуществляемых другими странами Евразии в будущем.</w:t>
      </w:r>
    </w:p>
    <w:bookmarkEnd w:id="165"/>
    <w:bookmarkStart w:name="z185" w:id="166"/>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.3. Местная консультативная группа и рабочие группы</w:t>
      </w:r>
    </w:p>
    <w:bookmarkEnd w:id="166"/>
    <w:bookmarkStart w:name="z186" w:id="167"/>
    <w:p>
      <w:pPr>
        <w:spacing w:after="0"/>
        <w:ind w:left="0"/>
        <w:jc w:val="both"/>
      </w:pPr>
      <w:r>
        <w:rPr>
          <w:rFonts w:ascii="Times New Roman"/>
          <w:b w:val="false"/>
          <w:i w:val="false"/>
          <w:color w:val="000000"/>
          <w:sz w:val="28"/>
        </w:rPr>
        <w:t>
      Для лучшей поддержки деятельности проекта предлагается создать двухуровневые локальные группы в два последовательных шага.</w:t>
      </w:r>
    </w:p>
    <w:bookmarkEnd w:id="167"/>
    <w:bookmarkStart w:name="z187" w:id="168"/>
    <w:p>
      <w:pPr>
        <w:spacing w:after="0"/>
        <w:ind w:left="0"/>
        <w:jc w:val="both"/>
      </w:pPr>
      <w:r>
        <w:rPr>
          <w:rFonts w:ascii="Times New Roman"/>
          <w:b w:val="false"/>
          <w:i w:val="false"/>
          <w:color w:val="000000"/>
          <w:sz w:val="28"/>
        </w:rPr>
        <w:t>
      При создании проекта предлагается создать местную консультативную группу, которая будет способствовать локальному осуществлению политических рекомендаций ОЭСР. Работу Консультативной группы можно устроить под руководством Министра по инвестициям и развитию и привлечь соответствующие министерства и государственные органы.</w:t>
      </w:r>
    </w:p>
    <w:bookmarkEnd w:id="168"/>
    <w:bookmarkStart w:name="z188" w:id="169"/>
    <w:p>
      <w:pPr>
        <w:spacing w:after="0"/>
        <w:ind w:left="0"/>
        <w:jc w:val="both"/>
      </w:pPr>
      <w:r>
        <w:rPr>
          <w:rFonts w:ascii="Times New Roman"/>
          <w:b w:val="false"/>
          <w:i w:val="false"/>
          <w:color w:val="000000"/>
          <w:sz w:val="28"/>
        </w:rPr>
        <w:t>
      Местная консультативная группа будет предоставлять ОЭСР обратную связь по стратегическим и организационным вопросам проекта, а также регулярно анализировать ход выполнения проекта.</w:t>
      </w:r>
    </w:p>
    <w:bookmarkEnd w:id="169"/>
    <w:bookmarkStart w:name="z189" w:id="170"/>
    <w:p>
      <w:pPr>
        <w:spacing w:after="0"/>
        <w:ind w:left="0"/>
        <w:jc w:val="both"/>
      </w:pPr>
      <w:r>
        <w:rPr>
          <w:rFonts w:ascii="Times New Roman"/>
          <w:b w:val="false"/>
          <w:i w:val="false"/>
          <w:color w:val="000000"/>
          <w:sz w:val="28"/>
        </w:rPr>
        <w:t>
      Местным консультативным группам будут оказывать содействие тематические рабочие группы под председательством соответствующего вице-министра. Эти рабочие группы станут оперативными органами, отвечающими за реализацию местных аспектов деятельности, описанных в компоненте 1 и компоненте 2, а также будут служить посредником или органом для деятельности по наращиванию потенциала. Они будут встречаться примерно раз в квартал, и следовать государственно-частному формату с участием технического персонала правительства и соответствующих представителей частного сектора и гражданского общества, экспертов и спонсоров. Рабочие группы оказывают содействие ОЭСР в сборе данных, сотрудничестве в разработке анализа, предоставлении контактов экспертов, рассмотрении материалов и предоставлении обратной связи.</w:t>
      </w:r>
    </w:p>
    <w:bookmarkEnd w:id="170"/>
    <w:bookmarkStart w:name="z190" w:id="171"/>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Бюджет</w:t>
      </w:r>
    </w:p>
    <w:bookmarkEnd w:id="171"/>
    <w:bookmarkStart w:name="z191" w:id="172"/>
    <w:p>
      <w:pPr>
        <w:spacing w:after="0"/>
        <w:ind w:left="0"/>
        <w:jc w:val="both"/>
      </w:pPr>
      <w:r>
        <w:rPr>
          <w:rFonts w:ascii="Times New Roman"/>
          <w:b w:val="false"/>
          <w:i w:val="false"/>
          <w:color w:val="000000"/>
          <w:sz w:val="28"/>
        </w:rPr>
        <w:t xml:space="preserve">
      Общие затраты на вклад ОЭСР в этот проект оцениваются следующим образом. </w:t>
      </w:r>
    </w:p>
    <w:bookmarkEnd w:id="172"/>
    <w:bookmarkStart w:name="z192"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58801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801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