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c694" w14:textId="4f7c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2018 года № 597.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 (САПП Республики Казахстан, 2012 г., № 77-78, ст. 1149)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Место нахождения Фонда (его Правления): Республика Казахстан, 010000, г. Астана, Есильский район, улица Е 10, 17/10.";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в случае намерения лица, обладающего правом недропользования (долей в праве недропользования) и (или) объектом, связанным с правом недропользования, произвести отчуждение права недропользования (доли в праве недропользования) и (или) объекта, связанного с правом недропользования, государство через Фонд, национальную компанию или уполномоченный государственный орган имеет приоритетное право на приобретение отчуждаемого права недропользования (доли в праве недропользования) и (или) объекта, связанного с правом недропользования.";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7-1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Совет по управлению Фондом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41-1. Совет по управлению Фондом является консультативно-совещательным органом, возглавляемым Первым Президентом Республики Казахстан - Елбасы.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Функциями Совета по управлению Фондом являются: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повышению конкурентоспособности и эффективности деятельности Фонда;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одобрение стратегии развития Фонда и рассмотрение ежегодного отчета Фонда о ходе ее реализации, а также выработка предложений по приоритетным секторам экономики, в которых Фонд осуществляет свою деятельность;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предложений Правительства Республики Казахстан по участию Фонда в государственных программах диверсификации и модернизации казахстанской экономики, включая реализацию социально значимых и индустриально-инновационных проектов, в том числе с выделением средств из республиканского бюджета и Национального фонда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кандидатур для избрания независимыми директорами Фонда, а также размера и условий выплаты вознаграждений независимым директорам Фонда;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дача рекомендации для избрания члена Правительства Республики Казахстан или иного государственного служащего в состав совета директоров или наблюдательного совета организации, входящей в группу Фонда.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41-3. Решение о создании Совета по управлению Фондом, его состав и положение о нем утверждаются Президентом Республики Казахстан.";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49: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определение размера и условий выплаты вознаграждений независимым директорам Фонда;";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отчуждение акций (долей участия) компаний по перечню, определенному Единственным акционером Фонда, а также передача указанных акций (долей участия) в доверительное управление;";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 и 15-2)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рассмотрение отчета о деятельности Совета директоров Фонда;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принятие решений о финансировании Фондом проектов по поручению Президента Республики Казахстан с отражением суммы финансирования в финансовой отчетности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49-1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"49-1. Решения по подпунктам 6) (в отношении избрания независимых директоров) и 6-1) пункта 49 настоящего Устава принимаются Единственным акционером Фонда по согласованию с Советом по управлению Фондом.";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57: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принятие решения о вынесении вопросов на рассмотрение Единственного акционера, за исключением вопроса, предусмотренного подпунктом 15-2) пункта 49 настоящего Устава;";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приобретение (отчуждение) Фондом десяти и более процентов акций (долей участия в уставном капитале) других юридических лиц;";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проведение ежегодной оценки деятельности Совета директоров Фонда с направлением информации Совету по управлению Фондом;";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назначение корпоративного секретаря и досрочное прекращение его полномочий, определение срока полномочий корпоративного секретаря, требований к корпоративному секретарю, его функций, порядка деятельности, размера должностного оклада и условий вознаграждения корпоративному секретарю;";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57-1 следующего содержания: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"57-1. На основании решения Совета директоров Фонда политики,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настоящего Устава, могут быть распространены на компании либо организации, входящие в группу Фонда, всеми голосующими акциями (долями участия) которых прямо или косвенно владеет Фонд.";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Совет директоров Фонда состоит из председателя и членов, избираемых в порядке, установленном Законом.";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Для рассмотрения наиболее важных вопросов и подготовки рекомендаций Совету директоров Фонда могут создаваться постоянно действующие комитеты при Совете директоров Фонда.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вопросов стратегического планирования создается комитет по стратегии, руководителем которого является первый руководитель центрального уполномоченного органа по государственному планированию.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вопрос, выносимый на рассмотрение Совета директоров Фонда, входит в полномочия какого-либо комитета, им в обязательном порядке предварительно рассматривается соответствующий вопрос и готовится по нему заключение.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комитет, предусмотренный статьей 14 Закона, создается в обязательном порядке.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работы комитетов Совета директоров Фонда, их полномочия, количественный состав устанавливаются внутренними документами, утверждаемыми Советом директоров Фонда.";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73: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принятие решений по вопросам, относящимся в соответствии с законодательством Республики Казахстан и (или) уставом к компетенции общего собрания акционеров (участников), иного органа компании или иного юридического лица, по отношению к которому Фонд является акционером, участником или имеет право на долю в имуществе, за исключением решений по вопросам, принимаемым Единственным акционером или Советом директоров Фонда согласно Закону;";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принятие решений по вопросам, относящимся в соответствии с законодательством Республики Казахстан и уставами юридических лиц, акции (доли участия) которых принадлежит Фонду на праве доверительного управления, к компетенции общих собраний акционеров (участников) таких юридических лиц, за исключением решений по вопросам, принимаемым Единственным акционером или Советом директоров Фонда согласно Закону;";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согласование вопросов назначения и досрочного прекращения полномочий руководителей исполнительных органов национальных компаний, а также юридических лиц, все голосующие акции (доли участия) которых принадлежат Фонду на праве собственности и (или) доверительного управления;";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утверждение кодекса корпоративного управления организаций, входящих в группу Фонда, а также изменений и дополнений в него;";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утверждение отдельных видов нормативов и лимитов административных расходов Фонда по предложениям, вносимым Правительством Республики Казахстан, а также компаний, все голосующие акции (доли участия) которых принадлежат Фонду;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штатной численности, штатного расписания и организационной структуры Фонда;";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73-1 следующего содержания: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"73-1. Правление Фонда вправе определить перечень вопросов, из числа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>, 3-1) пункта 73 настоящего Устава, решения по которым могут быть приняты председателем Правления Фонда, а также порядок принятия таких решений.";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Решения,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>, 3-1), 10) пункта 73 и пункте 73-1 настоящего Устава, по вопросам деятельности Компаний, в которых Фонд не является Единственным акционером (участником), принимаются Правлением или Председателем Правления в целях определения позиции Фонда, как акционера (участника) для последующего голосования уполномоченными представителями Фонда на общих собраниях акционеров (участников) компаний.";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82: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принимает решения о назначении проверок (ревизий) в компаниях и иных юридических лицах, пятьюдесятью и более процентами голосующих акций (долей участия) которых прямо или косвенно владеют компании;";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привлекает к дисциплинарной ответственности руководителей исполнительных органов юридических лиц, по отношению к которым Фонд является Единственным акционером или лицом, владеющим всеми голосующими акциями, единственным участником либо единственным лицом, имеющим право на имущество юридического лица;";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Должностные лица Фонда (члены Совета директоров, члены Правления):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возложенные на них обязанности добросовестно и используют способы, которые в наибольшей степени отражают интересы Фонда и единственного акционера;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должны использовать имущество Фонда или допускать его использование в противоречии с настоящим Уставом, решениями Единственного акционера и Совета директоров, а также в личных целях и злоупотреблять при совершении сделок аффилиированными лицами;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обязаны обеспечивать целостность систем бухгалтерского учета и финансовой отчетности, включая проведение независимого аудита;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контролируют раскрытие и предоставление информации о деятельности Фонда в соответствии с требованиями законодательства Республики Казахстан;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обязаны соблюдать конфиденциальность информации о деятельности Фонда, в том числе в течение трех лет с момента прекращения работы в Фонде, если иное не установлено внутренними документами Фонда.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на основании решения Единственного акционера или Единственный акционер от своего имени в интересах Фонда вправе обратиться в суд с иском о привлечении к ответственности должностного лица за вред, возникший у Фонда в результате совершения Фондом сделки, в совершении которой имеется заинтересованность и в результате которой Фондом приобретено или отчуждено имущество, стоимость которого составляет десять и более процентов от общего размера балансовой стоимости его активов при одновременном наличии следующих условий: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будет доказано, что на момент принятия решения о заключении сделки стоимость такого имущества была явно несоразмерна его рыночной стоимости, определенной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судом факта умышленного введения в заблуждение Единственного акционера Фонда его должностным (должностными) лицом (лицами) с целью получения им (ими) либо его аффилиированными лицами прибыли (дохода).";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Фонд публикует информацию о своей деятельности на WEB-сайте Фонда (www.sk.kz) в сети Интернет и (или) в периодическом печатном издании, определенном в установленном порядке.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обязан доводить до сведения Единственного акционера и инвесторов информацию о следующих корпоративных событиях Фонда: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решения, принятые Единственным акционером;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решения, принятые Советом директоров по перечню вопросов, информация о которых в соответствии с внутренними документами Фонда должна быть доведена до сведения Единственного акционера и инвесторов;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Фондом акций и других ценных бумаг и утверждение уполномоченным органом отчетов об итогах размещения ценных бумаг Фонда, отчетов об итогах погашения ценных бумаг Фонда, аннулирование уполномоченным органом ценных бумаг Фонда;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совершение Фондом крупных сделок и сделок, которые отвечают одновременно следующим условиям: являются сделками, в совершении которых Фондом имеется заинтересованность, и связаны с приобретением или отчуждением имущества, стоимость которого составляет десять и более процентов от размера общей балансовой стоимости активов Фонда на дату принятия соответствующим органом Фонда решения о заключении таких сделок.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сделке, в результате которой приобретается либо отчуждается имущество на сумму десять и более процентов от размера активов Фонда, должна включать сведения о сторонах сделки, приобретенных или отчуждаемых активах, сроках и условиях сделки, характере и объеме долей участия вовлеченных лиц, а также при наличии иных сведений о сделке;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в залог (перезалог) имущества Фонда на сумму, составляющую пять и более процентов от активов Фонда;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Фондом займа в размере, составляющем двадцать пять и более процентов от размера собственного капитала Фонда;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Фондом разрешений на осуществление каких-либо видов деятельности, приостановление или прекращение действия ранее полученных Фондом разрешений на осуществление каких-либо видов деятельности;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Фонда в учреждении юридического лица;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арест имущества Фонда;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наступление обстоятельств, носящих чрезвычайный характер, в результате которых было уничтожено имущество Фонда, балансовая стоимость которого составляла десять и более процентов от общего размера активов Фонда;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привлечение Фонда и его должностных лиц к административной ответственности;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возбуждение в суде дела по корпоративному спору;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решения о принудительной реорганизации Фонда;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события, затрагивающие интересы Единственного акционера Фонда и инвесторов, в соответствии с настоящим Уставом, а также проспектом выпуска ценных бумаг Фонда.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обеспечивает размещение на интернет-ресурсе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отчетности, информации о корпоративных событиях, годовой финансовой отчетности Фонда и аудиторских отчетов, списков аффилиированных лиц, а также информации о суммарном размере вознаграждения членов Правления по итогам года в порядке и сроки, установленные нормативным правовым актом уполномоченного органа, осуществляющего государственное регулирование, контроль и надзор финансового рынка и финансовых организаций.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ценных бумаг Фонда в список фондовой биржи, в дополнение к информации, указанной в части третьей настоящего пункта, Фонд обеспечивает размещение на интернет-ресурсе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отчетности, ежеквартальной финансовой отчетности и предоставляет фондовой бирже в порядке, установленном ее внутренними документами, для публикации на интернет-ресурсе фондовой биржи информацию обо всех корпоративных событиях и ежеквартальную финансовую отчетность.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обязан разместить на корпоративном веб-сайте информацию о Единственном акционере, а также сведения о членах органа управления Фонда, совмещающих руководящую должность или иную основную деятельность в другом юридическом лице, с указанием информации об их полномочиях и обязанностях в другом юридическом лице в порядке, определяемом внутренними документами фондовой биржи.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Предоставление информации о корпоративных событиях осуществляется в соответствии с законодательством Республики Казахстан, настоящим Уставом и внутренними документами Фонда.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возбуждении в суде дела по корпоративному спору должна быть предоставлена Единственному акционеру в течение семи рабочих дней с даты получения Фондом соответствующего судебного извещения (вызова) по гражданскому делу по корпоративному спору.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обеспечивает обязательное ведение списка работников Фонда, обладающих информацией, составляющей служебную или коммерческую тайну.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Документы Фонда, касающиеся его деятельности, подлежат хранению Фондом в течение всего срока его деятельности по месту нахождения Правления или в ином месте по решению Правления.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Хранению подлежат следующие документы: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Устав Фонда, изменения и дополнения, внесенные в него;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единственного учредителя, изменения и дополнения, внесенные в решения единственного учредителя;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разрешения на занятие Фондом определенными видами деятельности и (или) совершение определенных действий (операций);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права Фонда на имущество, которое находится (находилось) на его балансе;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проспекты выпуска ценных бумаг Фонда;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государственную регистрацию выпуска ценных бумаг Фонда, аннулирование ценных бумаг, а также утверждение отчетов об итогах размещения и погашения ценных бумаг Фонда, представленные в уполномоченный орган, осуществляющий государственное регулирование, контроль и надзор финансового рынка и финансовых организаций;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о филиалах и представительствах Фонда;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решения Единственного акционера и соответствующие материалы к ним;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протоколы заседаний (решений заочных заседаний) Совета директоров и бюллетени (в том числе бюллетени, признанные недействительными), материалы по вопросам повестки дня Совета директоров;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протоколы заседаний (решений) Правления;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Кодекс корпоративного управления.";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"104. По требованию Единственного акционера Фонд обязан предоставить ему копии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не позднее десяти календарных дней со дня поступления такого требования в Фонд, при этом допускается введение ограничений на предоставление информации, составляющей служебную, коммерческую или иную охраняемую законом тайну.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предоставление копий документов устанавливается Фондом и не может превышать стоимость расходов на изготовление копий документов и оплату расходов, связанных с доставкой документов Единственному акционеру.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регламентирующие отдельные вопросы выпуска, размещения, обращения и конвертирования ценных бумаг Фонда, содержащие информацию, составляющую служебную, коммерческую или иную охраняемую законом тайну, должны быть представлены для ознакомления Единственному акционеру по его требованию.".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