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7c45" w14:textId="1c87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социально-экономического развития Северо-Казахстанской области на 2021 – 2025 годы</w:t>
      </w:r>
    </w:p>
    <w:p>
      <w:pPr>
        <w:spacing w:after="0"/>
        <w:ind w:left="0"/>
        <w:jc w:val="both"/>
      </w:pPr>
      <w:r>
        <w:rPr>
          <w:rFonts w:ascii="Times New Roman"/>
          <w:b w:val="false"/>
          <w:i w:val="false"/>
          <w:color w:val="000000"/>
          <w:sz w:val="28"/>
        </w:rPr>
        <w:t>Постановление Правительства Республики Казахстан от 12 сентября 2018 года № 562.</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05.05.2021 </w:t>
      </w:r>
      <w:r>
        <w:rPr>
          <w:rFonts w:ascii="Times New Roman"/>
          <w:b w:val="false"/>
          <w:i w:val="false"/>
          <w:color w:val="ff0000"/>
          <w:sz w:val="28"/>
        </w:rPr>
        <w:t>№ 294</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В целях социально-экономического развития Северо-Казахстанской области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Утвердить прилагаемый Комплексный </w:t>
      </w:r>
      <w:r>
        <w:rPr>
          <w:rFonts w:ascii="Times New Roman"/>
          <w:b w:val="false"/>
          <w:i w:val="false"/>
          <w:color w:val="000000"/>
          <w:sz w:val="28"/>
        </w:rPr>
        <w:t>план</w:t>
      </w:r>
      <w:r>
        <w:rPr>
          <w:rFonts w:ascii="Times New Roman"/>
          <w:b w:val="false"/>
          <w:i w:val="false"/>
          <w:color w:val="000000"/>
          <w:sz w:val="28"/>
        </w:rPr>
        <w:t xml:space="preserve"> социально-экономического развития Северо-Казахстанской области на 2021 – 2025 годы (далее – План).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05.05.2021 </w:t>
      </w:r>
      <w:r>
        <w:rPr>
          <w:rFonts w:ascii="Times New Roman"/>
          <w:b w:val="false"/>
          <w:i w:val="false"/>
          <w:color w:val="000000"/>
          <w:sz w:val="28"/>
        </w:rPr>
        <w:t>№ 294</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Центральным исполнительным органам, акимату Северо-Казахстанской области и заинтересованным организациям (по согласованию) обеспечить своевременное выполнение мероприятий, предусмотренных Планом, и ежегодно, не позднее 15 января, представлять информацию о ходе их реализации в Министерство национальной экономики Республики Казахстан.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05.05.2021 </w:t>
      </w:r>
      <w:r>
        <w:rPr>
          <w:rFonts w:ascii="Times New Roman"/>
          <w:b w:val="false"/>
          <w:i w:val="false"/>
          <w:color w:val="000000"/>
          <w:sz w:val="28"/>
        </w:rPr>
        <w:t>№ 294</w:t>
      </w:r>
      <w:r>
        <w:rPr>
          <w:rFonts w:ascii="Times New Roman"/>
          <w:b w:val="false"/>
          <w:i w:val="false"/>
          <w:color w:val="ff0000"/>
          <w:sz w:val="28"/>
        </w:rPr>
        <w:t>.</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Министерству национальной экономики Республики Казахстан по итогам года, не позднее 1 февраля, представлять в Правительство Республики Казахстан сводную информацию о ходе реализации Плана.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05.05.2021 </w:t>
      </w:r>
      <w:r>
        <w:rPr>
          <w:rFonts w:ascii="Times New Roman"/>
          <w:b w:val="false"/>
          <w:i w:val="false"/>
          <w:color w:val="000000"/>
          <w:sz w:val="28"/>
        </w:rPr>
        <w:t>№ 294</w:t>
      </w:r>
      <w:r>
        <w:rPr>
          <w:rFonts w:ascii="Times New Roman"/>
          <w:b w:val="false"/>
          <w:i w:val="false"/>
          <w:color w:val="ff0000"/>
          <w:sz w:val="28"/>
        </w:rPr>
        <w:t>.</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национальной экономики Республики Казахстан.</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2018 года № 562</w:t>
            </w:r>
          </w:p>
        </w:tc>
      </w:tr>
    </w:tbl>
    <w:bookmarkStart w:name="z11" w:id="6"/>
    <w:p>
      <w:pPr>
        <w:spacing w:after="0"/>
        <w:ind w:left="0"/>
        <w:jc w:val="left"/>
      </w:pPr>
      <w:r>
        <w:rPr>
          <w:rFonts w:ascii="Times New Roman"/>
          <w:b/>
          <w:i w:val="false"/>
          <w:color w:val="000000"/>
        </w:rPr>
        <w:t xml:space="preserve"> Комплексный план социально-экономического развития Северо-Казахстанской области на 2021 – 2025 годы</w:t>
      </w:r>
    </w:p>
    <w:bookmarkEnd w:id="6"/>
    <w:p>
      <w:pPr>
        <w:spacing w:after="0"/>
        <w:ind w:left="0"/>
        <w:jc w:val="both"/>
      </w:pPr>
      <w:r>
        <w:rPr>
          <w:rFonts w:ascii="Times New Roman"/>
          <w:b w:val="false"/>
          <w:i w:val="false"/>
          <w:color w:val="ff0000"/>
          <w:sz w:val="28"/>
        </w:rPr>
        <w:t xml:space="preserve">
      Сноска. Комплексный план в редакции постановления Правительства РК от 05.05.2021 </w:t>
      </w:r>
      <w:r>
        <w:rPr>
          <w:rFonts w:ascii="Times New Roman"/>
          <w:b w:val="false"/>
          <w:i w:val="false"/>
          <w:color w:val="ff0000"/>
          <w:sz w:val="28"/>
        </w:rPr>
        <w:t>№ 294</w:t>
      </w:r>
      <w:r>
        <w:rPr>
          <w:rFonts w:ascii="Times New Roman"/>
          <w:b w:val="false"/>
          <w:i w:val="false"/>
          <w:color w:val="ff0000"/>
          <w:sz w:val="28"/>
        </w:rPr>
        <w:t>.</w:t>
      </w:r>
    </w:p>
    <w:bookmarkStart w:name="z12" w:id="7"/>
    <w:p>
      <w:pPr>
        <w:spacing w:after="0"/>
        <w:ind w:left="0"/>
        <w:jc w:val="both"/>
      </w:pPr>
      <w:r>
        <w:rPr>
          <w:rFonts w:ascii="Times New Roman"/>
          <w:b w:val="false"/>
          <w:i w:val="false"/>
          <w:color w:val="000000"/>
          <w:sz w:val="28"/>
        </w:rPr>
        <w:t>
      Северо-Казахстанская область является стратегическим аграрно-промышленным регионом. Область производит 12,4 % сельскохозяйственной продукции, 23,1 % выращиваемой в Казахстане пшеницы.</w:t>
      </w:r>
    </w:p>
    <w:bookmarkEnd w:id="7"/>
    <w:bookmarkStart w:name="z13" w:id="8"/>
    <w:p>
      <w:pPr>
        <w:spacing w:after="0"/>
        <w:ind w:left="0"/>
        <w:jc w:val="both"/>
      </w:pPr>
      <w:r>
        <w:rPr>
          <w:rFonts w:ascii="Times New Roman"/>
          <w:b w:val="false"/>
          <w:i w:val="false"/>
          <w:color w:val="000000"/>
          <w:sz w:val="28"/>
        </w:rPr>
        <w:t>
      При этом удельный вес валового регионального продукта области за 2019 год по республике составил 1,99 % (одна из самых малых экономик).</w:t>
      </w:r>
    </w:p>
    <w:bookmarkEnd w:id="8"/>
    <w:bookmarkStart w:name="z14" w:id="9"/>
    <w:p>
      <w:pPr>
        <w:spacing w:after="0"/>
        <w:ind w:left="0"/>
        <w:jc w:val="both"/>
      </w:pPr>
      <w:r>
        <w:rPr>
          <w:rFonts w:ascii="Times New Roman"/>
          <w:b w:val="false"/>
          <w:i w:val="false"/>
          <w:color w:val="000000"/>
          <w:sz w:val="28"/>
        </w:rPr>
        <w:t>
      За последние пять лет (2015 – 2019 гг.) численность экономически активного населения сократилась на 6,5 % или на 21,3 тыс. человек и в 2019 году составила 308,3 тыс. человек. Отрицательное сальдо демографии за 2015 – 2019 годы составило 23,1 тыс. человек. Сельская местность испытывает нехватку учителей, врачей, специалистов среднего медицинского персонала и других специальностей.</w:t>
      </w:r>
    </w:p>
    <w:bookmarkEnd w:id="9"/>
    <w:bookmarkStart w:name="z15" w:id="10"/>
    <w:p>
      <w:pPr>
        <w:spacing w:after="0"/>
        <w:ind w:left="0"/>
        <w:jc w:val="both"/>
      </w:pPr>
      <w:r>
        <w:rPr>
          <w:rFonts w:ascii="Times New Roman"/>
          <w:b w:val="false"/>
          <w:i w:val="false"/>
          <w:color w:val="000000"/>
          <w:sz w:val="28"/>
        </w:rPr>
        <w:t>
      В то же время область обладает большим потенциалом развития сельского хозяйства (расположена в пределах черноземной полосы), сильные позиции в сфере развития животноводства. Перспективное развитие региона будет базироваться на дальнейшем укреплении высокого потенциала сельского хозяйства на основе его аграрно-индустриальной диверсификации.</w:t>
      </w:r>
    </w:p>
    <w:bookmarkEnd w:id="10"/>
    <w:bookmarkStart w:name="z16" w:id="11"/>
    <w:p>
      <w:pPr>
        <w:spacing w:after="0"/>
        <w:ind w:left="0"/>
        <w:jc w:val="both"/>
      </w:pPr>
      <w:r>
        <w:rPr>
          <w:rFonts w:ascii="Times New Roman"/>
          <w:b w:val="false"/>
          <w:i w:val="false"/>
          <w:color w:val="000000"/>
          <w:sz w:val="28"/>
        </w:rPr>
        <w:t>
      Область является важным транспортным узлом, имеющим возможность стать крупным торгово-логистическим центром.</w:t>
      </w:r>
    </w:p>
    <w:bookmarkEnd w:id="11"/>
    <w:bookmarkStart w:name="z17" w:id="12"/>
    <w:p>
      <w:pPr>
        <w:spacing w:after="0"/>
        <w:ind w:left="0"/>
        <w:jc w:val="both"/>
      </w:pPr>
      <w:r>
        <w:rPr>
          <w:rFonts w:ascii="Times New Roman"/>
          <w:b w:val="false"/>
          <w:i w:val="false"/>
          <w:color w:val="000000"/>
          <w:sz w:val="28"/>
        </w:rPr>
        <w:t>
      В целях форсированной модернизации, повышения привлекательности для потенциальных инвесторов, снижения отрицательного сальдо миграции разработан Комплексный план социально-экономического развития Северо-Казахстанской области на 2021 – 2025 годы (далее – План).</w:t>
      </w:r>
    </w:p>
    <w:bookmarkEnd w:id="12"/>
    <w:bookmarkStart w:name="z18" w:id="13"/>
    <w:p>
      <w:pPr>
        <w:spacing w:after="0"/>
        <w:ind w:left="0"/>
        <w:jc w:val="both"/>
      </w:pPr>
      <w:r>
        <w:rPr>
          <w:rFonts w:ascii="Times New Roman"/>
          <w:b w:val="false"/>
          <w:i w:val="false"/>
          <w:color w:val="000000"/>
          <w:sz w:val="28"/>
        </w:rPr>
        <w:t>
      План состоит из 87 нормативных, организационных и реализационных мероприятий, из которых:</w:t>
      </w:r>
    </w:p>
    <w:bookmarkEnd w:id="13"/>
    <w:bookmarkStart w:name="z19" w:id="14"/>
    <w:p>
      <w:pPr>
        <w:spacing w:after="0"/>
        <w:ind w:left="0"/>
        <w:jc w:val="both"/>
      </w:pPr>
      <w:r>
        <w:rPr>
          <w:rFonts w:ascii="Times New Roman"/>
          <w:b w:val="false"/>
          <w:i w:val="false"/>
          <w:color w:val="000000"/>
          <w:sz w:val="28"/>
        </w:rPr>
        <w:t>
      по 9 мероприятиям финансирование не требуется;</w:t>
      </w:r>
    </w:p>
    <w:bookmarkEnd w:id="14"/>
    <w:bookmarkStart w:name="z20" w:id="15"/>
    <w:p>
      <w:pPr>
        <w:spacing w:after="0"/>
        <w:ind w:left="0"/>
        <w:jc w:val="both"/>
      </w:pPr>
      <w:r>
        <w:rPr>
          <w:rFonts w:ascii="Times New Roman"/>
          <w:b w:val="false"/>
          <w:i w:val="false"/>
          <w:color w:val="000000"/>
          <w:sz w:val="28"/>
        </w:rPr>
        <w:t>
      по 47 мероприятиям реализация планируется за счет частных инвестиций (1 272 740 млн тенге или 69,4 % от общей суммы финансирования);</w:t>
      </w:r>
    </w:p>
    <w:bookmarkEnd w:id="15"/>
    <w:bookmarkStart w:name="z21" w:id="16"/>
    <w:p>
      <w:pPr>
        <w:spacing w:after="0"/>
        <w:ind w:left="0"/>
        <w:jc w:val="both"/>
      </w:pPr>
      <w:r>
        <w:rPr>
          <w:rFonts w:ascii="Times New Roman"/>
          <w:b w:val="false"/>
          <w:i w:val="false"/>
          <w:color w:val="000000"/>
          <w:sz w:val="28"/>
        </w:rPr>
        <w:t>
      по 31 мероприятию реализация планируется за счет республиканского и местного бюджетов (РБ – 517 948,2 млн тенге или 28,2 %, МБ – 43 950,8 млн тенге или 2,4 % от общей суммы финансирования).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300"/>
        <w:gridCol w:w="4461"/>
        <w:gridCol w:w="586"/>
        <w:gridCol w:w="4134"/>
        <w:gridCol w:w="931"/>
        <w:gridCol w:w="1042"/>
        <w:gridCol w:w="414"/>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Сроки исполнения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Предполагаемые расходы* (млн тенге)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финансирования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Инвестиционные проекты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АПК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в рамках Государственной программы развития продуктивной занятости и массового предпринимательства на 2017 – 2021 годы "Еңбек"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трехсторонних кредитных договоров</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r>
              <w:br/>
            </w:r>
            <w:r>
              <w:rPr>
                <w:rFonts w:ascii="Times New Roman"/>
                <w:b w:val="false"/>
                <w:i w:val="false"/>
                <w:color w:val="000000"/>
                <w:sz w:val="20"/>
              </w:rPr>
              <w:t>
акимат Северо-Казахстанской области</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правил, обеспечивающие равные условия финансирования, а также включающие прозрачный порядок предоставления заявлений и критерии отбора компаний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директоров АО "СПК "Солтүстік"</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Пополнение уставного капитала АО "СПК "Солтүстік" для финансирования проектов по производству и переработке сельскохозяйственной продукции (растениеводство и животноводство) с применением следующих механизмов: </w:t>
            </w:r>
            <w:r>
              <w:br/>
            </w:r>
            <w:r>
              <w:rPr>
                <w:rFonts w:ascii="Times New Roman"/>
                <w:b w:val="false"/>
                <w:i w:val="false"/>
                <w:color w:val="000000"/>
                <w:sz w:val="20"/>
              </w:rPr>
              <w:t>
1) создание совместных предприятий с долей участия АО "СПК "Солтүстік" не более 49 %;</w:t>
            </w:r>
            <w:r>
              <w:br/>
            </w:r>
            <w:r>
              <w:rPr>
                <w:rFonts w:ascii="Times New Roman"/>
                <w:b w:val="false"/>
                <w:i w:val="false"/>
                <w:color w:val="000000"/>
                <w:sz w:val="20"/>
              </w:rPr>
              <w:t>
2) последующее предоставление займов субъектам АПК со сроком погашения не более 8 лет под залог приобретаемых основных средств</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r>
              <w:br/>
            </w:r>
            <w:r>
              <w:rPr>
                <w:rFonts w:ascii="Times New Roman"/>
                <w:b w:val="false"/>
                <w:i w:val="false"/>
                <w:color w:val="000000"/>
                <w:sz w:val="20"/>
              </w:rPr>
              <w:t>
 </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r>
              <w:br/>
            </w:r>
            <w:r>
              <w:rPr>
                <w:rFonts w:ascii="Times New Roman"/>
                <w:b w:val="false"/>
                <w:i w:val="false"/>
                <w:color w:val="000000"/>
                <w:sz w:val="20"/>
              </w:rPr>
              <w:t>
МСХ,</w:t>
            </w:r>
            <w:r>
              <w:br/>
            </w:r>
            <w:r>
              <w:rPr>
                <w:rFonts w:ascii="Times New Roman"/>
                <w:b w:val="false"/>
                <w:i w:val="false"/>
                <w:color w:val="000000"/>
                <w:sz w:val="20"/>
              </w:rPr>
              <w:t>
МФ</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52 молочно-товарных ферм на 29,8 тысяч голов</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модернизация 3 откормочных площадок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2 птицефабрик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тепличного комплекса площадью 3,7 гектара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комбикормового завода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свинокомплекса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молочного завода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маслопрессового завода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парка сельскохозяйственной техники и оборудования:</w:t>
            </w:r>
            <w:r>
              <w:br/>
            </w:r>
            <w:r>
              <w:rPr>
                <w:rFonts w:ascii="Times New Roman"/>
                <w:b w:val="false"/>
                <w:i w:val="false"/>
                <w:color w:val="000000"/>
                <w:sz w:val="20"/>
              </w:rPr>
              <w:t>
в 2021 году – 2108 ед., процент обновления – 4,6 %</w:t>
            </w:r>
            <w:r>
              <w:br/>
            </w:r>
            <w:r>
              <w:rPr>
                <w:rFonts w:ascii="Times New Roman"/>
                <w:b w:val="false"/>
                <w:i w:val="false"/>
                <w:color w:val="000000"/>
                <w:sz w:val="20"/>
              </w:rPr>
              <w:t>
в 2022 году – 2248 ед., процент обновления – 4,9 %</w:t>
            </w:r>
            <w:r>
              <w:br/>
            </w:r>
            <w:r>
              <w:rPr>
                <w:rFonts w:ascii="Times New Roman"/>
                <w:b w:val="false"/>
                <w:i w:val="false"/>
                <w:color w:val="000000"/>
                <w:sz w:val="20"/>
              </w:rPr>
              <w:t>
в 2023 году – 2260 ед., процент обновления – 5,3 %</w:t>
            </w:r>
            <w:r>
              <w:br/>
            </w:r>
            <w:r>
              <w:rPr>
                <w:rFonts w:ascii="Times New Roman"/>
                <w:b w:val="false"/>
                <w:i w:val="false"/>
                <w:color w:val="000000"/>
                <w:sz w:val="20"/>
              </w:rPr>
              <w:t>
в 2024 году – 2275 ед., процент обновления – 5,7 %</w:t>
            </w:r>
            <w:r>
              <w:br/>
            </w:r>
            <w:r>
              <w:rPr>
                <w:rFonts w:ascii="Times New Roman"/>
                <w:b w:val="false"/>
                <w:i w:val="false"/>
                <w:color w:val="000000"/>
                <w:sz w:val="20"/>
              </w:rPr>
              <w:t>
в 2025 году – 2290 ед., процент обновления – 6 %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субъектом агропромышленного комплекса, при инвестиционных вложениях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переработки масличных культур до 30 % к 2024 году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 2025 году посевных площадей масличных культур до 1 млн га путем диверсификации посевных площадей сельскохозяйственных культур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r>
              <w:br/>
            </w:r>
            <w:r>
              <w:rPr>
                <w:rFonts w:ascii="Times New Roman"/>
                <w:b w:val="false"/>
                <w:i w:val="false"/>
                <w:color w:val="000000"/>
                <w:sz w:val="20"/>
              </w:rPr>
              <w:t>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 2025 году загрузки мощностей молокоперерабатывающих до 92 % и мясоперерабатывающих предприятий до 50 %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Промышленность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загрузки промышленных предприятий Северо-Казахстанской области в части выпуска продукции гражданского назначения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Северо-Казахстанской области, МИИР, МЭ, АО "НК "КТЖ" </w:t>
            </w:r>
            <w:r>
              <w:br/>
            </w:r>
            <w:r>
              <w:rPr>
                <w:rFonts w:ascii="Times New Roman"/>
                <w:b w:val="false"/>
                <w:i w:val="false"/>
                <w:color w:val="000000"/>
                <w:sz w:val="20"/>
              </w:rPr>
              <w:t xml:space="preserve">
(по согласованию), </w:t>
            </w:r>
            <w:r>
              <w:br/>
            </w:r>
            <w:r>
              <w:rPr>
                <w:rFonts w:ascii="Times New Roman"/>
                <w:b w:val="false"/>
                <w:i w:val="false"/>
                <w:color w:val="000000"/>
                <w:sz w:val="20"/>
              </w:rPr>
              <w:t xml:space="preserve">
АО "НК "КМГ" </w:t>
            </w:r>
            <w:r>
              <w:br/>
            </w:r>
            <w:r>
              <w:rPr>
                <w:rFonts w:ascii="Times New Roman"/>
                <w:b w:val="false"/>
                <w:i w:val="false"/>
                <w:color w:val="000000"/>
                <w:sz w:val="20"/>
              </w:rPr>
              <w:t>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цеха по производству компьютерной техники на базе действующего предприятия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Северо-Казахстанской области, </w:t>
            </w:r>
            <w:r>
              <w:br/>
            </w:r>
            <w:r>
              <w:rPr>
                <w:rFonts w:ascii="Times New Roman"/>
                <w:b w:val="false"/>
                <w:i w:val="false"/>
                <w:color w:val="000000"/>
                <w:sz w:val="20"/>
              </w:rPr>
              <w:t>
МИИР, АО "НК "Казахстан Инжиниринг"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СЭЗ "Qyzyljar"</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акимат Северо-Казахстанской области, МФ, МНЭ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земель особо охраняемых природных территорий в земли запаса по разработке месторождений вольфрама "АКСОРАН", "БАЯН" при условии прохождения государственной экологической экспертизы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МИИР,</w:t>
            </w:r>
            <w:r>
              <w:br/>
            </w:r>
            <w:r>
              <w:rPr>
                <w:rFonts w:ascii="Times New Roman"/>
                <w:b w:val="false"/>
                <w:i w:val="false"/>
                <w:color w:val="000000"/>
                <w:sz w:val="20"/>
              </w:rPr>
              <w:t>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производственных площадок на базе простаивающих объектов (зданий и сооружений) для дальнейшей реализации инвестиционных проектов, выделение финансовых средств на выкуп, проектирование, ремонт комплекса, обеспечение необходимой инфраструктуры с возможностью кредитования</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МИД, МНЭ, МФ, акимат Северо-Казахстанской области, АО "НК "Kazakh Invest" (по согласованию), </w:t>
            </w:r>
            <w:r>
              <w:br/>
            </w:r>
            <w:r>
              <w:rPr>
                <w:rFonts w:ascii="Times New Roman"/>
                <w:b w:val="false"/>
                <w:i w:val="false"/>
                <w:color w:val="000000"/>
                <w:sz w:val="20"/>
              </w:rPr>
              <w:t>
НПП "Атамекен"</w:t>
            </w:r>
            <w:r>
              <w:br/>
            </w:r>
            <w:r>
              <w:rPr>
                <w:rFonts w:ascii="Times New Roman"/>
                <w:b w:val="false"/>
                <w:i w:val="false"/>
                <w:color w:val="000000"/>
                <w:sz w:val="20"/>
              </w:rPr>
              <w:t>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Подписание соглашения о промышленной сборке и специального инвестиционного контракта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 производства сельскохозяйственной техники на территории СЭЗ "Qyzyljar"</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 МИД, ТОО "УК СЭЗ "Qyzyljar" (по согласованию), АО "НК "Kazakh Invest"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кирпичного завода в Северо-Казахстанской области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древесно-стружечных мебельных плит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производства полуфабрикатов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вагонов-термосов изотермических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 АО "НК "КТЖ"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автоклавных газоблоков и плит</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 МИД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мультибрендового автосалона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бумажной продукции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 АО "ФРП "ДАМУ"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дата-центра мощностью более 100 МВт/ч на базе бывшего завода им. Калинина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МЦРИАП</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горно-металлургического комбината производительностью 2 млн тонн руды в год</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шпона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крафтовой бумаги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сервис центра по обслуживанию сельскохозяйственной техники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сервис центра по обслуживанию сельскохозяйственной техники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сборке сельскохозяйственной техники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нового маслоэкстракционного завода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месторождения вольфрам-молибденовых руд "Аксоран"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 МЭГПР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месторождения вольфрам-молибденовых руд "Баян"</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 МЭГПР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ветряной электростанции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МЭ, МЭГПР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электротехнического завода на территории СЭЗ "Qyzyljar"</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 ТОО "УК СЭЗ "Qyzyljar"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жидких и многокомпонентных минеральных удобрений, сухих пенобетонных смесей на территории СЭЗ "Qyzyljar"</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 МСХ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по производству бумажных изделий из соломы на территории СЭЗ "Qyzyljar"</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выпуску готовых лекарственных средств на территории СЭЗ "Qyzyljar"</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Развитие предпринимательства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ставки вознаграждения и гарантирование по кредитам предпринимателей в рамках Государственной программы поддержки и развития бизнеса "Дорожная карта бизнеса – 2025" (далее – Программа "Дорожная карта бизнеса – 2025")</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r>
              <w:br/>
            </w:r>
            <w:r>
              <w:rPr>
                <w:rFonts w:ascii="Times New Roman"/>
                <w:b w:val="false"/>
                <w:i w:val="false"/>
                <w:color w:val="000000"/>
                <w:sz w:val="20"/>
              </w:rPr>
              <w:t>
 </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государственных грантов для реализации новых бизнес-идей в рамках Программы "Дорожная карта бизнеса – 2025"</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r>
              <w:br/>
            </w:r>
            <w:r>
              <w:rPr>
                <w:rFonts w:ascii="Times New Roman"/>
                <w:b w:val="false"/>
                <w:i w:val="false"/>
                <w:color w:val="000000"/>
                <w:sz w:val="20"/>
              </w:rPr>
              <w:t>
 </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Подведение недостающей инфраструктуры к субъектам бизнеса в рамках Программы "Дорожная карта бизнеса – 2025"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r>
              <w:br/>
            </w:r>
            <w:r>
              <w:rPr>
                <w:rFonts w:ascii="Times New Roman"/>
                <w:b w:val="false"/>
                <w:i w:val="false"/>
                <w:color w:val="000000"/>
                <w:sz w:val="20"/>
              </w:rPr>
              <w:t>
 </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инкубационной программы в рамках программы "Развитие инкубации стартап проектов в регионах"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акимат Северо-Казахстанской области, Международный технопарк IT-стартапов</w:t>
            </w:r>
            <w:r>
              <w:br/>
            </w:r>
            <w:r>
              <w:rPr>
                <w:rFonts w:ascii="Times New Roman"/>
                <w:b w:val="false"/>
                <w:i w:val="false"/>
                <w:color w:val="000000"/>
                <w:sz w:val="20"/>
              </w:rPr>
              <w:t>"Astana Hub"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Транспорт и логистика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реконструкция автомобильных дорог местного значения с целью увеличения сети автодорог в хорошем и удовлетворительном состоянии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18 506,4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количества субсидируемых авиарейсов по направлениям: в город Нур-Султан ежедневно, в город Алматы до 5 раз, в город Шымкент 3 раза в неделю и в город Туркестан 2 раза в неделю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с авиакомпаниями</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механизма субсидирования деятельности международного аэропорта города Петропавловска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МИИР, МФ</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автомобильной дороги областного значения КТ-32 "Пресновка – Благовещенка – Кайранколь" (98 км)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Северо-Казахстанской области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торгово-логистического хаба "Кызылжар"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МТИ, МИИР, МФ</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рамках предусмотренных средств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Туризм и спорт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туристского комплекса в Имантауско-Шалкарской курортной зоне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МКС, АО "НК "Kazakh Invest" (по согласованию), АО "НК "Kazakh Tourism" (по согласованию), АО "СПК "Солтүстік"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современных гостиничных комплексов и торгово-развлекательных центров в городе Петропавловске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МКС</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и благоустройство Имантауско-Шалкарской курортной зоны (набережная, визит-центр, КПП, благоустройство кемпинговых зон, смотровой площадки, велосипедных, пеших и конных маршрутов, оснащение береговой линии), разработка ПСД и строительство дороги на территории ГНПП "Кокшетау" (17,5 км)</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акимат Северо-Казахстанской области, ГНПП "Кокшетау"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инженерной инфраструктуры на территории ГНПП "Кокшетау" (Имантауско-Шалкарской курортной зоны)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r>
              <w:br/>
            </w:r>
            <w:r>
              <w:rPr>
                <w:rFonts w:ascii="Times New Roman"/>
                <w:b w:val="false"/>
                <w:i w:val="false"/>
                <w:color w:val="000000"/>
                <w:sz w:val="20"/>
              </w:rPr>
              <w:t>
акимат Северо-Казахстанской области, ГНПП "Кокшетау"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ремонт автомобильных дорог и подъездных путей к Имантауско-Шалкарской курортной зоне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акимат Северо-Казахстанской области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санатория "Шалкар Су"</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МКС, МИИР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спортивного центра с гостиницей</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МКС</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ресторанно-гостиничного оздоровительного комплекса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МКС</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и строительство многофункционального Дворца спорта (на 3 тыс. мест) в городе Петропавловске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МКС</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РГКП "Государственный историко-культурный музей-заповедник "Ботай"</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xml:space="preserve">
акимат Северо-Казахстанской области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республиканского государственного историко-культурного музейного комплекса "Абылай Хан" на базе областного музейного комплекса "Резиденция Абылай хана"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передачи на баланс </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Жилье и инфраструктура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кредитного жилья путем увеличения выпуска облигаций</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 Северо-Казахстанской области,</w:t>
            </w:r>
            <w:r>
              <w:br/>
            </w:r>
            <w:r>
              <w:rPr>
                <w:rFonts w:ascii="Times New Roman"/>
                <w:b w:val="false"/>
                <w:i w:val="false"/>
                <w:color w:val="000000"/>
                <w:sz w:val="20"/>
              </w:rPr>
              <w:t>
АО "НУХ "Байтерек"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 </w:t>
            </w:r>
            <w:r>
              <w:br/>
            </w:r>
            <w:r>
              <w:rPr>
                <w:rFonts w:ascii="Times New Roman"/>
                <w:b w:val="false"/>
                <w:i w:val="false"/>
                <w:color w:val="000000"/>
                <w:sz w:val="20"/>
              </w:rPr>
              <w:t>
(АО "НУХ "Байтерек")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жилья для очередников (арендное жилье без права выкупа)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1 261,5</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мобильным широкополосным доступом к сети интернет в 23 СНП с численностью населения менее 250 человек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23 СНП к мобильному широкополосному доступу в интернет</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операторы связи (по согласованию)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(ремонт школ, дорог, водоснабжение и т.д.) не менее 300 сел, имеющих потенциал развития, в том числе:</w:t>
            </w:r>
            <w:r>
              <w:br/>
            </w:r>
            <w:r>
              <w:rPr>
                <w:rFonts w:ascii="Times New Roman"/>
                <w:b w:val="false"/>
                <w:i w:val="false"/>
                <w:color w:val="000000"/>
                <w:sz w:val="20"/>
              </w:rPr>
              <w:t>
2021 год – 50 СНП;</w:t>
            </w:r>
            <w:r>
              <w:br/>
            </w:r>
            <w:r>
              <w:rPr>
                <w:rFonts w:ascii="Times New Roman"/>
                <w:b w:val="false"/>
                <w:i w:val="false"/>
                <w:color w:val="000000"/>
                <w:sz w:val="20"/>
              </w:rPr>
              <w:t>
2022 год – 50 СНП;</w:t>
            </w:r>
            <w:r>
              <w:br/>
            </w:r>
            <w:r>
              <w:rPr>
                <w:rFonts w:ascii="Times New Roman"/>
                <w:b w:val="false"/>
                <w:i w:val="false"/>
                <w:color w:val="000000"/>
                <w:sz w:val="20"/>
              </w:rPr>
              <w:t>
2023 год – 60 СНП;</w:t>
            </w:r>
            <w:r>
              <w:br/>
            </w:r>
            <w:r>
              <w:rPr>
                <w:rFonts w:ascii="Times New Roman"/>
                <w:b w:val="false"/>
                <w:i w:val="false"/>
                <w:color w:val="000000"/>
                <w:sz w:val="20"/>
              </w:rPr>
              <w:t>
2024 год – 65 СНП;</w:t>
            </w:r>
            <w:r>
              <w:br/>
            </w:r>
            <w:r>
              <w:rPr>
                <w:rFonts w:ascii="Times New Roman"/>
                <w:b w:val="false"/>
                <w:i w:val="false"/>
                <w:color w:val="000000"/>
                <w:sz w:val="20"/>
              </w:rPr>
              <w:t>
2025 год – 75 СНП</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r>
              <w:br/>
            </w:r>
            <w:r>
              <w:rPr>
                <w:rFonts w:ascii="Times New Roman"/>
                <w:b w:val="false"/>
                <w:i w:val="false"/>
                <w:color w:val="000000"/>
                <w:sz w:val="20"/>
              </w:rPr>
              <w:t>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и водоотведения в СНП и городах</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Социальная сфера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Занятость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специалистов в рамках проекта "С дипломом в село!"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Здравоохранение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областной многопрофильной больницы в городе Петропавловске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организаций здравоохранения, районных и городских больниц медицинской техникой</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акимат Северо-Казахстанской области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поликлиники при районной больнице в селе Кишкенеколь Уалихановского района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МЗ,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4 врачебных амбулаторий в Кызылжарском районе (села Якорь, Прибрежное), районе им М. Жумабаева (села Возвышенское, Карагугинское)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МЗ, акимат Северо-Казахстанской области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19 фельдшерско-акушерских пунктов в Кызылжарском районе (села Большая малышка, Пресновка, Архангельское, Асаново, Белое, Налобино, Новокаменка, Пеньково), районе им. М. Жумабаева (села Чистовское, Советское), Есильском районе (села Петровка, Чирикова), Айыртауском районе (село Лобаново), Уалихановском районе (село Актуесай), Тайыншинском районе (село Петровка), Мамлютском районе (село Ново-Михайловка), районе им. Г. Мусрепова (села Тахтабродское, Привольное, Бирлик)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МЗ,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23 медицинских пунктов в районе им. М. Жумабаева (села Надежка, Бастомар, Байтерек), Акжарском районе (села Восход, Акжаркын), районе им. Шал Акына (села Акан-Барак, Мерген, Городецкое), Темирязевском районе (села Степное, Акжан, Докучаево), Жамбылском районе (села Кладбинка, Железное, Айымжан), Мамлютском районе (села Бостандык, Бексеит), районе им. Г. Мусрепова (села Ялты, Сивковка), Аккаинском районе (села Трудовое, Коктерек, Каратомар, Рублевка, Тюменка)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МЗ,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коррекционной школы – интерната для детей с особыми образовательными потребностями на 400 мест со спальным корпусом на 200 мест</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1 200 мест в городе Петропавловске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2 студенческих общежитий по 600 мест СКУ им. М. Козыбаева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3366,9</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и проведение капитального ремонта студенческих общежитий (№ 1, 2, 4) СКУ им. М. Козыбаева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r>
              <w:br/>
            </w:r>
            <w:r>
              <w:rPr>
                <w:rFonts w:ascii="Times New Roman"/>
                <w:b w:val="false"/>
                <w:i w:val="false"/>
                <w:color w:val="000000"/>
                <w:sz w:val="20"/>
              </w:rPr>
              <w:t>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и проведение капитального ремонта учебных корпусов № 2, 3, 4, 6, 7 СКУ им. М. Козыбаева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r>
              <w:br/>
            </w:r>
            <w:r>
              <w:rPr>
                <w:rFonts w:ascii="Times New Roman"/>
                <w:b w:val="false"/>
                <w:i w:val="false"/>
                <w:color w:val="000000"/>
                <w:sz w:val="20"/>
              </w:rPr>
              <w:t>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Центра академического превосходства СКУ им. М. Козыбаева (программа МОН, в рамках которой будут выделены бюджетные средства региональным университетам, в том числе СКУ им. М. Козыбаева, на создание технопарка, научных центров)</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МОН</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МНЭ</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снижения сроков отработки выпускников вузов по программе "Серпiн" с 3 до 2 лет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предложение в Правительство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выделения дополнительных грантов для студентов, переводящихся из зарубежных вузов в казахстанские вузы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Зарубежная академическая мобильность студентов, зарубежная стажировка магистрантов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r>
              <w:br/>
            </w:r>
            <w:r>
              <w:rPr>
                <w:rFonts w:ascii="Times New Roman"/>
                <w:b w:val="false"/>
                <w:i w:val="false"/>
                <w:color w:val="000000"/>
                <w:sz w:val="20"/>
              </w:rPr>
              <w:t>
МОН</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Культура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Комплексное изучение и музеефикация археологических памятников и объектов историко-культурного значения СКО (Ак-Ирий, Долматово, Байкара, Кызыл Оба) </w:t>
            </w:r>
            <w:r>
              <w:br/>
            </w:r>
            <w:r>
              <w:rPr>
                <w:rFonts w:ascii="Times New Roman"/>
                <w:b w:val="false"/>
                <w:i w:val="false"/>
                <w:color w:val="000000"/>
                <w:sz w:val="20"/>
              </w:rPr>
              <w:t>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проделанной работе,</w:t>
            </w:r>
            <w:r>
              <w:br/>
            </w:r>
            <w:r>
              <w:rPr>
                <w:rFonts w:ascii="Times New Roman"/>
                <w:b w:val="false"/>
                <w:i w:val="false"/>
                <w:color w:val="000000"/>
                <w:sz w:val="20"/>
              </w:rPr>
              <w:t>
акт выполненных работ</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МКС, </w:t>
            </w:r>
            <w:r>
              <w:br/>
            </w:r>
            <w:r>
              <w:rPr>
                <w:rFonts w:ascii="Times New Roman"/>
                <w:b w:val="false"/>
                <w:i w:val="false"/>
                <w:color w:val="000000"/>
                <w:sz w:val="20"/>
              </w:rPr>
              <w:t>
акимат Северо-Казахстанской области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Обеспечение общественного правопорядка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Военного института Национальной гвардии РК (казарма, учебный корпус с актовым залом, спортивный комплекс с тиром, инженерные сети, благоустройство)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c>
          <w:tcPr>
            <w:tcW w:w="0" w:type="auto"/>
            <w:vMerge/>
            <w:tcBorders>
              <w:top w:val="nil"/>
              <w:left w:val="single" w:color="cfcfcf" w:sz="5"/>
              <w:bottom w:val="single" w:color="cfcfcf" w:sz="5"/>
              <w:right w:val="single" w:color="cfcfcf" w:sz="5"/>
            </w:tcBorders>
          </w:tcPr>
          <w:p/>
        </w:tc>
      </w:tr>
    </w:tbl>
    <w:bookmarkStart w:name="z22" w:id="17"/>
    <w:p>
      <w:pPr>
        <w:spacing w:after="0"/>
        <w:ind w:left="0"/>
        <w:jc w:val="both"/>
      </w:pPr>
      <w:r>
        <w:rPr>
          <w:rFonts w:ascii="Times New Roman"/>
          <w:b w:val="false"/>
          <w:i w:val="false"/>
          <w:color w:val="000000"/>
          <w:sz w:val="28"/>
        </w:rPr>
        <w:t>
      * объемы расходов по мероприятиям, финансируемым за счет средств республиканского и местного бюджетов, будут уточняться при формировании и уточнении республиканского и местного бюджетов на соответствующий плановый период при представлении акиматом необходимой документации в соответствии с бюджетным законодательством.</w:t>
      </w:r>
    </w:p>
    <w:bookmarkEnd w:id="17"/>
    <w:bookmarkStart w:name="z23" w:id="18"/>
    <w:p>
      <w:pPr>
        <w:spacing w:after="0"/>
        <w:ind w:left="0"/>
        <w:jc w:val="both"/>
      </w:pPr>
      <w:r>
        <w:rPr>
          <w:rFonts w:ascii="Times New Roman"/>
          <w:b w:val="false"/>
          <w:i w:val="false"/>
          <w:color w:val="000000"/>
          <w:sz w:val="28"/>
        </w:rPr>
        <w:t>
      Объем финансирования по поддержанным мероприятиям</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117"/>
        <w:gridCol w:w="2117"/>
        <w:gridCol w:w="2117"/>
        <w:gridCol w:w="1757"/>
        <w:gridCol w:w="1758"/>
        <w:gridCol w:w="2121"/>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114 588,1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517 948,2</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43 950,8</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1 272 740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429 640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1 834 639</w:t>
            </w:r>
          </w:p>
        </w:tc>
      </w:tr>
    </w:tbl>
    <w:bookmarkStart w:name="z64" w:id="19"/>
    <w:p>
      <w:pPr>
        <w:spacing w:after="0"/>
        <w:ind w:left="0"/>
        <w:jc w:val="both"/>
      </w:pPr>
      <w:r>
        <w:rPr>
          <w:rFonts w:ascii="Times New Roman"/>
          <w:b w:val="false"/>
          <w:i w:val="false"/>
          <w:color w:val="000000"/>
          <w:sz w:val="28"/>
        </w:rPr>
        <w:t>
      Ожидаемые результаты от реализации Плана по итогам 2025 года:</w:t>
      </w:r>
    </w:p>
    <w:bookmarkEnd w:id="19"/>
    <w:bookmarkStart w:name="z65" w:id="20"/>
    <w:p>
      <w:pPr>
        <w:spacing w:after="0"/>
        <w:ind w:left="0"/>
        <w:jc w:val="both"/>
      </w:pPr>
      <w:r>
        <w:rPr>
          <w:rFonts w:ascii="Times New Roman"/>
          <w:b w:val="false"/>
          <w:i w:val="false"/>
          <w:color w:val="000000"/>
          <w:sz w:val="28"/>
        </w:rPr>
        <w:t>
      рост продукции сельского хозяйства в 1,5 раза (с 779 млрд тенге в 2020 году до 1,2 трлн тенге);</w:t>
      </w:r>
    </w:p>
    <w:bookmarkEnd w:id="20"/>
    <w:bookmarkStart w:name="z66" w:id="21"/>
    <w:p>
      <w:pPr>
        <w:spacing w:after="0"/>
        <w:ind w:left="0"/>
        <w:jc w:val="both"/>
      </w:pPr>
      <w:r>
        <w:rPr>
          <w:rFonts w:ascii="Times New Roman"/>
          <w:b w:val="false"/>
          <w:i w:val="false"/>
          <w:color w:val="000000"/>
          <w:sz w:val="28"/>
        </w:rPr>
        <w:t>
      увеличение объема обрабатывающей промышленности в 1,7 раза (с 235,8 млрд тенге в 2020 году до 400 млрд тенге);</w:t>
      </w:r>
    </w:p>
    <w:bookmarkEnd w:id="21"/>
    <w:bookmarkStart w:name="z67" w:id="22"/>
    <w:p>
      <w:pPr>
        <w:spacing w:after="0"/>
        <w:ind w:left="0"/>
        <w:jc w:val="both"/>
      </w:pPr>
      <w:r>
        <w:rPr>
          <w:rFonts w:ascii="Times New Roman"/>
          <w:b w:val="false"/>
          <w:i w:val="false"/>
          <w:color w:val="000000"/>
          <w:sz w:val="28"/>
        </w:rPr>
        <w:t>
      рост доли МСБ в валовом региональном продукте на 35,3 % и налоговых поступлений на 30 % (с 43 млрд тенге в 2020 году до 55 млрд тенге);</w:t>
      </w:r>
    </w:p>
    <w:bookmarkEnd w:id="22"/>
    <w:bookmarkStart w:name="z68" w:id="23"/>
    <w:p>
      <w:pPr>
        <w:spacing w:after="0"/>
        <w:ind w:left="0"/>
        <w:jc w:val="both"/>
      </w:pPr>
      <w:r>
        <w:rPr>
          <w:rFonts w:ascii="Times New Roman"/>
          <w:b w:val="false"/>
          <w:i w:val="false"/>
          <w:color w:val="000000"/>
          <w:sz w:val="28"/>
        </w:rPr>
        <w:t>
      улучшение качества дорожного полотна до хорошего и удовлетворительного состояния – с 69 % (2020 год) до 98 %;</w:t>
      </w:r>
    </w:p>
    <w:bookmarkEnd w:id="23"/>
    <w:bookmarkStart w:name="z69" w:id="24"/>
    <w:p>
      <w:pPr>
        <w:spacing w:after="0"/>
        <w:ind w:left="0"/>
        <w:jc w:val="both"/>
      </w:pPr>
      <w:r>
        <w:rPr>
          <w:rFonts w:ascii="Times New Roman"/>
          <w:b w:val="false"/>
          <w:i w:val="false"/>
          <w:color w:val="000000"/>
          <w:sz w:val="28"/>
        </w:rPr>
        <w:t>
      обеспечение доступа сельского населения к качественной питьевой воде с 82,1 % (2020 год) до 100 %;</w:t>
      </w:r>
    </w:p>
    <w:bookmarkEnd w:id="24"/>
    <w:bookmarkStart w:name="z70" w:id="25"/>
    <w:p>
      <w:pPr>
        <w:spacing w:after="0"/>
        <w:ind w:left="0"/>
        <w:jc w:val="both"/>
      </w:pPr>
      <w:r>
        <w:rPr>
          <w:rFonts w:ascii="Times New Roman"/>
          <w:b w:val="false"/>
          <w:i w:val="false"/>
          <w:color w:val="000000"/>
          <w:sz w:val="28"/>
        </w:rPr>
        <w:t>
      ввод в эксплуатацию 2,3 млн кв. м жилья или 21,7 тысяч квартир;</w:t>
      </w:r>
    </w:p>
    <w:bookmarkEnd w:id="25"/>
    <w:bookmarkStart w:name="z71" w:id="26"/>
    <w:p>
      <w:pPr>
        <w:spacing w:after="0"/>
        <w:ind w:left="0"/>
        <w:jc w:val="both"/>
      </w:pPr>
      <w:r>
        <w:rPr>
          <w:rFonts w:ascii="Times New Roman"/>
          <w:b w:val="false"/>
          <w:i w:val="false"/>
          <w:color w:val="000000"/>
          <w:sz w:val="28"/>
        </w:rPr>
        <w:t xml:space="preserve">
      увеличение контингента СКУ им. М. Козыбаева до 10 тыс. студентов; </w:t>
      </w:r>
    </w:p>
    <w:bookmarkEnd w:id="26"/>
    <w:bookmarkStart w:name="z72" w:id="27"/>
    <w:p>
      <w:pPr>
        <w:spacing w:after="0"/>
        <w:ind w:left="0"/>
        <w:jc w:val="both"/>
      </w:pPr>
      <w:r>
        <w:rPr>
          <w:rFonts w:ascii="Times New Roman"/>
          <w:b w:val="false"/>
          <w:i w:val="false"/>
          <w:color w:val="000000"/>
          <w:sz w:val="28"/>
        </w:rPr>
        <w:t>
      снижение оттока выпускников школ на 4 % (с 12,7 % в 2020 году до 8,7 %);</w:t>
      </w:r>
    </w:p>
    <w:bookmarkEnd w:id="27"/>
    <w:bookmarkStart w:name="z73" w:id="28"/>
    <w:p>
      <w:pPr>
        <w:spacing w:after="0"/>
        <w:ind w:left="0"/>
        <w:jc w:val="both"/>
      </w:pPr>
      <w:r>
        <w:rPr>
          <w:rFonts w:ascii="Times New Roman"/>
          <w:b w:val="false"/>
          <w:i w:val="false"/>
          <w:color w:val="000000"/>
          <w:sz w:val="28"/>
        </w:rPr>
        <w:t>
      привлечение порядка 1,3 трлн тенге частных инвестиций;</w:t>
      </w:r>
    </w:p>
    <w:bookmarkEnd w:id="28"/>
    <w:bookmarkStart w:name="z74" w:id="29"/>
    <w:p>
      <w:pPr>
        <w:spacing w:after="0"/>
        <w:ind w:left="0"/>
        <w:jc w:val="both"/>
      </w:pPr>
      <w:r>
        <w:rPr>
          <w:rFonts w:ascii="Times New Roman"/>
          <w:b w:val="false"/>
          <w:i w:val="false"/>
          <w:color w:val="000000"/>
          <w:sz w:val="28"/>
        </w:rPr>
        <w:t>
      создание 26 тыс. новых рабочих мест;</w:t>
      </w:r>
    </w:p>
    <w:bookmarkEnd w:id="29"/>
    <w:bookmarkStart w:name="z75" w:id="30"/>
    <w:p>
      <w:pPr>
        <w:spacing w:after="0"/>
        <w:ind w:left="0"/>
        <w:jc w:val="both"/>
      </w:pPr>
      <w:r>
        <w:rPr>
          <w:rFonts w:ascii="Times New Roman"/>
          <w:b w:val="false"/>
          <w:i w:val="false"/>
          <w:color w:val="000000"/>
          <w:sz w:val="28"/>
        </w:rPr>
        <w:t>
      рост валового регионального продукта с 102,1 % в 2019 году до 105,2 %.</w:t>
      </w:r>
    </w:p>
    <w:bookmarkEnd w:id="30"/>
    <w:bookmarkStart w:name="z76" w:id="31"/>
    <w:p>
      <w:pPr>
        <w:spacing w:after="0"/>
        <w:ind w:left="0"/>
        <w:jc w:val="both"/>
      </w:pPr>
      <w:r>
        <w:rPr>
          <w:rFonts w:ascii="Times New Roman"/>
          <w:b w:val="false"/>
          <w:i w:val="false"/>
          <w:color w:val="000000"/>
          <w:sz w:val="28"/>
        </w:rPr>
        <w:t xml:space="preserve">
      Примечание: расшифровка аббревиатур: </w:t>
      </w:r>
    </w:p>
    <w:bookmarkEnd w:id="31"/>
    <w:tbl>
      <w:tblPr>
        <w:tblW w:w="0" w:type="auto"/>
        <w:tblCellSpacing w:w="0" w:type="auto"/>
        <w:tblBorders>
          <w:top w:val="none"/>
          <w:left w:val="none"/>
          <w:bottom w:val="none"/>
          <w:right w:val="none"/>
          <w:insideH w:val="none"/>
          <w:insideV w:val="none"/>
        </w:tblBorders>
      </w:tblPr>
      <w:tblGrid>
        <w:gridCol w:w="4250"/>
        <w:gridCol w:w="1746"/>
        <w:gridCol w:w="6304"/>
      </w:tblGrid>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"КМГ"</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"Национальная компания "КазМунайГаз" </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"Национальная компания "Қазақстан темір жолы" </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"НУХ "Байтерек" </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развития предпринимательства "Даму"</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ГНПП "Кокшетау"</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"Кокшетау"</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r>
              <w:br/>
            </w:r>
            <w:r>
              <w:rPr>
                <w:rFonts w:ascii="Times New Roman"/>
                <w:b w:val="false"/>
                <w:i w:val="false"/>
                <w:color w:val="000000"/>
                <w:sz w:val="20"/>
              </w:rPr>
              <w:t>
МТИ</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r>
              <w:br/>
            </w: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r>
              <w:br/>
            </w:r>
            <w:r>
              <w:rPr>
                <w:rFonts w:ascii="Times New Roman"/>
                <w:b w:val="false"/>
                <w:i w:val="false"/>
                <w:color w:val="000000"/>
                <w:sz w:val="20"/>
              </w:rPr>
              <w:t>
МИД</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r>
              <w:br/>
            </w:r>
            <w:r>
              <w:rPr>
                <w:rFonts w:ascii="Times New Roman"/>
                <w:b w:val="false"/>
                <w:i w:val="false"/>
                <w:color w:val="000000"/>
                <w:sz w:val="20"/>
              </w:rPr>
              <w:t>
Министерство иностранных дел Республики Казахстан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и средний бизнес</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r>
              <w:br/>
            </w:r>
            <w:r>
              <w:rPr>
                <w:rFonts w:ascii="Times New Roman"/>
                <w:b w:val="false"/>
                <w:i w:val="false"/>
                <w:color w:val="000000"/>
                <w:sz w:val="20"/>
              </w:rPr>
              <w:t>
МЭГПР</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r>
              <w:br/>
            </w: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"Атамекен"</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ПСД </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 им. М. Козыбаева</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Северо-Казахстанский университет имени М. Козыбаева</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населенные пункты</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социально-предпринимательская корпорация</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экономическая зона</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w:t>
            </w:r>
          </w:p>
        </w:tc>
      </w:tr>
      <w:tr>
        <w:trPr>
          <w:trHeight w:val="30" w:hRule="atLeast"/>
        </w:trPr>
        <w:tc>
          <w:tcPr>
            <w:tcW w:w="4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