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970a" w14:textId="d499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2018 год № 386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программно-целевое финансирование вне конкурсных процедур на 2018 год из республиканского бюджета осуществляется по научно-технической программе "НУ-Беркли: стратегическая программа исследований критического состояния вещества, перспективных материалов и источников энергии на 2014 - 2018 годы" Министерства образования и науки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