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436810" w14:textId="243681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подписании Соглашения о сотрудничестве государств-участников Содружества Независимых Государств в области обращения с отходами электронного и электротехнического оборудования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31 мая 2018 года № 305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Одобрить прилагаемый проект Соглашения о сотрудничестве государств-участников Содружества Независимых Государств в области обращения с отходами электронного и электротехнического оборудования.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со дня его подписания.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Сагинтаев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Одобрен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31 мая 2018 года № 305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</w:t>
            </w:r>
          </w:p>
        </w:tc>
      </w:tr>
    </w:tbl>
    <w:bookmarkStart w:name="z7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СОГЛАШЕНИЕ</w:t>
      </w:r>
    </w:p>
    <w:bookmarkEnd w:id="3"/>
    <w:bookmarkStart w:name="z8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 сотрудничестве государств-участников Содружества Независимых Государств в области обращения с отходами электронного и электротехнического оборудования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Правительства государств-участников настоящего Соглашения, далее именуемые Сторонами,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основываясь на положениях </w:t>
      </w:r>
      <w:r>
        <w:rPr>
          <w:rFonts w:ascii="Times New Roman"/>
          <w:b w:val="false"/>
          <w:i w:val="false"/>
          <w:color w:val="000000"/>
          <w:sz w:val="28"/>
        </w:rPr>
        <w:t>Договора</w:t>
      </w:r>
      <w:r>
        <w:rPr>
          <w:rFonts w:ascii="Times New Roman"/>
          <w:b w:val="false"/>
          <w:i w:val="false"/>
          <w:color w:val="000000"/>
          <w:sz w:val="28"/>
        </w:rPr>
        <w:t xml:space="preserve"> о зоне свободной торговли от 18 октября 2011 года,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развивая положения </w:t>
      </w:r>
      <w:r>
        <w:rPr>
          <w:rFonts w:ascii="Times New Roman"/>
          <w:b w:val="false"/>
          <w:i w:val="false"/>
          <w:color w:val="000000"/>
          <w:sz w:val="28"/>
        </w:rPr>
        <w:t>Соглашения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о сотрудничестве в области промышленности и создании Совета по промышленной политике государств-участников Содружества Независимых Государств (далее - СНГ) от 30 мая 2012 года и </w:t>
      </w:r>
      <w:r>
        <w:rPr>
          <w:rFonts w:ascii="Times New Roman"/>
          <w:b w:val="false"/>
          <w:i w:val="false"/>
          <w:color w:val="000000"/>
          <w:sz w:val="28"/>
        </w:rPr>
        <w:t>Соглашения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о сотрудничестве в области охраны окружающей среды государств-участников Содружества Независимых Государств от 31 мая 2013 года,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стремясь обеспечить благоприятные условия для взаимовыгодного сотрудничества предприятий государств-участников СНГ по максимальному вовлечению в хозяйственный оборот отходов электронного и электротехнического оборудования (далее - ОЭЭО) в качестве источника вторичных материальных и энергетических ресурсов в целях сохранения и экономии первичных природных ресурсов,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принимая во внимание технические руководящие принципы трансграничной перевозки электротехнических и электронных отходов и использованного электротехнического и электронного оборудования, в частности, касающиеся, проведения различия между отходами и неотходами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Базельской конвенцией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о контроле за трансграничной перевозкой опасных отходов и их удалением от 22 марта 1989 года (4-15 мая 2015 года, Женева, Швейцария),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руководствуясь международными договорами и законодательством государств-участников настоящего Соглашения,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согласились о нижеследующем:</w:t>
      </w:r>
    </w:p>
    <w:bookmarkEnd w:id="11"/>
    <w:bookmarkStart w:name="z16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1</w:t>
      </w:r>
    </w:p>
    <w:bookmarkEnd w:id="12"/>
    <w:bookmarkStart w:name="z17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Определения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Понятия, используемые в настоящем Соглашении, означают следующее:</w:t>
      </w:r>
    </w:p>
    <w:bookmarkEnd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вторичные материальные ресурсы в региональной системе обращения с ОЭЭО - ОЭЭО, которые после дополнительной обработки потенциально пригодны для использования в производстве для получения сырья, продуктов и (или) энергии;</w:t>
      </w:r>
    </w:p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использование ОЭЭО - применение вторичных материальных ресурсов для производства продукции и выполнения работ (услуг) и (или) получения энергии;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классификация ОЭЭО - распределение отходов на группы по совокупности приоритетных признаков: по классу опасности для окружающей среды и здоровья людей, происхождению, агрегатному состоянию, химическому составу и другим характеристикам, необходимым для осуществления безопасной и ресурсосберегающей деятельности по обращению с отходами;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класс опасности ОЭЭО - характеристика отходов, определяющая степень их возможного вредного, непосредственного или опосредованного воздействия на окружающую среду, в соответствии с международно признанными критериями отнесения опасных отходов к определенному классу опасности (к опасным отходам относятся отходы, признаваемые опасными и подлежащие контролю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Базельской конвенцией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о контроле за трансграничной перевозкой опасных отходов и их удалением от 22 марта 1989 года, а также которые определены опасными в соответствии с законодательством государств-участников настоящего Соглашения);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наилучшие доступные технологии - технологии сбора, хранения, транспортировки, переработки, утилизации, обезвреживания, размещения, удаления ОЭЭО, основанные на последних достижениях науки и техники, направленные на снижение негативного воздействия отходов на окружающую среду, жизнь и здоровье граждан и доступные для практического применения с учетом современного уровня технологического и экономического развития;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обращение с ОЭЭО - деятельность, связанная с документированными организационно-технологическими операциями регулирования работ с отходами (в соответствии с законодательством государств-участников настоящего Соглашения), включая предупреждение и минимизацию образования отходов, использование отходов в качестве вторичных ресурсов, учет и контроль образования, накопления и размещения отходов, а также их сбор, хранение, транспортировку, переработку, утилизацию, обезвреживание, размещение, удаление и трансграничное перемещение;</w:t>
      </w:r>
    </w:p>
    <w:bookmarkEnd w:id="19"/>
    <w:bookmarkStart w:name="z2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ОЭЭО - оборудование, которое утратило свои потребительские свойства, включая компоненты, узлы, которые являются частью оборудования на момент снятия его с эксплуатации;</w:t>
      </w:r>
    </w:p>
    <w:bookmarkEnd w:id="20"/>
    <w:bookmarkStart w:name="z25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переработка ОЭЭО - технологические операции, связанные с изменением физических, химических или биотехнологических свойств ОЭЭО для его повторного использования;</w:t>
      </w:r>
    </w:p>
    <w:bookmarkEnd w:id="21"/>
    <w:bookmarkStart w:name="z26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региональная система обращения с ОЭЭО - согласованный уполномоченными органами Сторон комплекс мер и мероприятий нормативно-правового, экономического, организационно-управленческого и технико-технологического характера, в результате реализации которого в государствах - участниках настоящего Соглашения должны быть созданы условия для экологически безопасной переработки, обезвреживания, размещения, захоронения, транспортировки ОЭЭО, в том числе за счет гармонизации стандартов обращения с ОЭЭО; оптимизации безопасного трансграничного перемещения ОЭЭО; создания условий для модернизации действующих и создания новых мощностей по переработке ОЭЭО; снижения экологической нагрузки, уменьшения объемов опасных веществ из состава ОЭЭО, попадающих в окружающую среду; увеличения доли вторичных материальных ресурсов, извлекаемых из ОЭЭО при их переработке; обмена практиками и развития компетенций в области обращения с ОЭЭО;</w:t>
      </w:r>
    </w:p>
    <w:bookmarkEnd w:id="22"/>
    <w:bookmarkStart w:name="z27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уполномоченный государственный орган в области обращения с ОЭЭО (компетентный орган) - исполнительный орган государственной власти, который в соответствии с законодательством своего государства наделен полномочиями в области обращения с отходами и несет ответственность за осуществление государственной политики в области обращения с отходами, включая координацию деятельности других государственных органов в этой области;</w:t>
      </w:r>
    </w:p>
    <w:bookmarkEnd w:id="23"/>
    <w:bookmarkStart w:name="z28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электронное и электротехническое оборудование - продукция производственного и (или) бытового назначения, в которой используются электрический ток или электромагнитные поля, а также оборудование для генерации, передачи и измерения таких токов и полей, представляющие собой комплекс взаимодействующих и дополняющих друг друга механизмов, машин, приборов и устройств, задействованных в единой технологической схеме, включая схемы на электронных устройствах и компонентах.</w:t>
      </w:r>
    </w:p>
    <w:bookmarkEnd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2</w:t>
      </w:r>
    </w:p>
    <w:bookmarkStart w:name="z29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Целью настоящего Соглашения является содействие созданию региональной системы обращения с ОЭЭО государств-участников настоящего Соглашения для максимального вовлечения таких отходов в хозяйственный оборот в качестве источника вторичных материальных ресурсов за счет освоения наилучших доступных технологий.</w:t>
      </w:r>
    </w:p>
    <w:bookmarkEnd w:id="25"/>
    <w:bookmarkStart w:name="z30" w:id="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3</w:t>
      </w:r>
    </w:p>
    <w:bookmarkEnd w:id="26"/>
    <w:bookmarkStart w:name="z31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Основными задачами настоящего Соглашения являются:</w:t>
      </w:r>
    </w:p>
    <w:bookmarkEnd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содействие разработке государствами - участниками настоящего Соглашения национальных систем законодательных и иных нормативных актов, базирующихся на согласованных принципах и имеющих своей целью снижение экологической нагрузки, уменьшение объемов опасных веществ из состава ОЭЭО, попадающих в окружающую среду, и увеличение доли вторичных материальных ресурсов, извлекаемых из ОЭЭО при их переработке;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содействие разработке и согласованию стандартов обращения с ОЭЭО;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создание условий и содействие оптимизации использования действующих и созданию новых мощностей по переработке ОЭЭО;</w:t>
      </w:r>
    </w:p>
    <w:bookmarkStart w:name="z32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содействие разработке государствами - участниками настоящего Соглашения национальных комплексов мер экономического, методического и организационного характера, согласованных государствами - участниками настоящего Соглашения и направленных на обеспечение обмена знаниями, опытом в области обращения с ОЭЭО, повышение уровня подготовки и квалификации экспертов и специалистов в этой области.</w:t>
      </w:r>
    </w:p>
    <w:bookmarkEnd w:id="28"/>
    <w:bookmarkStart w:name="z33" w:id="2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4</w:t>
      </w:r>
    </w:p>
    <w:bookmarkEnd w:id="29"/>
    <w:bookmarkStart w:name="z34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Стороны осуществляют сотрудничество в области обращения с ОЭЭО по следующим основным направлениям:</w:t>
      </w:r>
    </w:p>
    <w:bookmarkEnd w:id="30"/>
    <w:bookmarkStart w:name="z35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определение и согласование приоритетных направлений сотрудничества;</w:t>
      </w:r>
    </w:p>
    <w:bookmarkEnd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согласование направлений развития и актуализация нормативно-правового обеспечения с учетом наиболее успешной международной практики, а также на основе единых подходов к классификации ОЭЭО и при условии гармонизации стандартов при обращении с ними;</w:t>
      </w:r>
    </w:p>
    <w:bookmarkStart w:name="z36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развитие института государственно-частного партнерства в целях ускоренной модернизации имеющейся в государствах - участниках настоящего Соглашения производственной базы и повышения ее технического уровня;</w:t>
      </w:r>
    </w:p>
    <w:bookmarkEnd w:id="32"/>
    <w:bookmarkStart w:name="z37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содействие построению региональной системы, направленной на оптимизацию обращения с ОЭЭО, включая экономическую, экологическую, технологическую и транспортную составляющие;</w:t>
      </w:r>
    </w:p>
    <w:bookmarkEnd w:id="33"/>
    <w:bookmarkStart w:name="z38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выработка и содействие реализации совместных мер, направленных на устойчивое развитие указанной региональной системы, включая совместные программы и проекты, в том числе на развитие и стимулирование использования вторичных материальных ресурсов, получаемых в результате переработки ОЭЭО;</w:t>
      </w:r>
    </w:p>
    <w:bookmarkEnd w:id="34"/>
    <w:bookmarkStart w:name="z39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содействие созданию совместных производств, встраиванию их в региональные и глобальные цепочки добавленной стоимости, оптимизации использования действующих и строительству новых предприятий по переработке ОЭЭО с учетом установленных требований при проектировании, строительстве и реконструкции действующих предприятий, сооружений и иных объектов;</w:t>
      </w:r>
    </w:p>
    <w:bookmarkEnd w:id="35"/>
    <w:bookmarkStart w:name="z40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содействие в разработке мероприятий государственной поддержки и стимулирования в области обращения с ОЭЭО;</w:t>
      </w:r>
    </w:p>
    <w:bookmarkEnd w:id="36"/>
    <w:bookmarkStart w:name="z41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поддержка и реализация в сроки и формах, приемлемых для заинтересованных государств-участников Соглашения, принципа расширенной ответственности производителя (поставщика), на которого возлагается ответственность по сбору, переработке, повторному использованию и утилизации ОЭЭО, выпущенного в обращение на территории государства - участника настоящего Соглашения;</w:t>
      </w:r>
    </w:p>
    <w:bookmarkEnd w:id="37"/>
    <w:bookmarkStart w:name="z42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сотрудничество в области подготовки, профессиональной переподготовки, повышения квалификации и закрепления кадров в области обращения с отходами;</w:t>
      </w:r>
    </w:p>
    <w:bookmarkEnd w:id="38"/>
    <w:bookmarkStart w:name="z43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обмен опытом в области сбора ОЭЭО у населения.</w:t>
      </w:r>
    </w:p>
    <w:bookmarkEnd w:id="3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5</w:t>
      </w:r>
    </w:p>
    <w:bookmarkStart w:name="z44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Стороны осуществляют взаимовыгодное сотрудничество через свои уполномоченные (компетентные) органы в соответствии с настоящим Соглашением при соблюдении международных договоров и законодательства государств-участников настоящего Соглашения.</w:t>
      </w:r>
    </w:p>
    <w:bookmarkEnd w:id="4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6</w:t>
      </w:r>
    </w:p>
    <w:bookmarkStart w:name="z45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Стороны определяют перечень своих уполномоченных (компетентных) органов, который передается депозитарию при сдаче уведомления о выполнении внутригосударственных процедур, необходимых для вступления в силу настоящего Соглашения. Об изменении перечня уполномоченных (компетентных) органов каждая из Сторон в течение 30 дней с даты принятия такого решения информирует депозитарий, который уведомляет об этом остальные Стороны.</w:t>
      </w:r>
    </w:p>
    <w:bookmarkEnd w:id="4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7</w:t>
      </w:r>
    </w:p>
    <w:bookmarkStart w:name="z46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Уполномоченные (компетентные) органы Сторон осуществляют сотрудничество путем проведения консультаций, обмена информацией, мнениями по вопросам обращения с ОЭЭО государств-участников настоящего Соглашения для выработки взаимосогласованных решений и мероприятий.</w:t>
      </w:r>
    </w:p>
    <w:bookmarkEnd w:id="42"/>
    <w:bookmarkStart w:name="z47" w:id="4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8</w:t>
      </w:r>
    </w:p>
    <w:bookmarkEnd w:id="43"/>
    <w:bookmarkStart w:name="z48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Координатором взаимодействия по вопросам сотрудничества государств-участников настоящего Соглашения в области обращения с ОЭЭО является Совет по промышленной политике государств-участников СНГ.</w:t>
      </w:r>
    </w:p>
    <w:bookmarkEnd w:id="44"/>
    <w:bookmarkStart w:name="z49" w:id="4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9</w:t>
      </w:r>
    </w:p>
    <w:bookmarkEnd w:id="45"/>
    <w:bookmarkStart w:name="z50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качестве консультантов в процессе формирования региональной системы обращения с ОЭЭО государств-участников настоящего Соглашения могут выступать организации, обладающие необходимым опытом и компетенцией, определенные в соответствии с законодательством государств-участников настоящего Соглашения.</w:t>
      </w:r>
    </w:p>
    <w:bookmarkEnd w:id="46"/>
    <w:bookmarkStart w:name="z51" w:id="4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10</w:t>
      </w:r>
    </w:p>
    <w:bookmarkEnd w:id="47"/>
    <w:bookmarkStart w:name="z52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Настоящее Соглашение не затрагивает прав и обязательств каждой из Сторон, вытекающих для нее из других международных договоров, участником которых является ее государство.</w:t>
      </w:r>
    </w:p>
    <w:bookmarkEnd w:id="48"/>
    <w:bookmarkStart w:name="z53" w:id="4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11</w:t>
      </w:r>
    </w:p>
    <w:bookmarkEnd w:id="49"/>
    <w:bookmarkStart w:name="z54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настоящее Соглашение по взаимному согласию Сторон могут быть внесены изменения и дополнения, являющиеся его неотъемлемыми частями, которые оформляются соответствующим протоколом.</w:t>
      </w:r>
    </w:p>
    <w:bookmarkEnd w:id="50"/>
    <w:bookmarkStart w:name="z55" w:id="5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12</w:t>
      </w:r>
    </w:p>
    <w:bookmarkEnd w:id="51"/>
    <w:bookmarkStart w:name="z56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Спорные вопросы между Сторонами, возникающие при применении и толковании настоящего Соглашения, решаются путем консультаций и переговоров заинтересованных Сторон или посредством другой согласованной Сторонами процедуры.</w:t>
      </w:r>
    </w:p>
    <w:bookmarkEnd w:id="52"/>
    <w:bookmarkStart w:name="z57" w:id="5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13</w:t>
      </w:r>
    </w:p>
    <w:bookmarkEnd w:id="53"/>
    <w:bookmarkStart w:name="z58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Настоящее Соглашение вступает в силу по истечении 30 дней с даты получения депозитарием третьего уведомления о выполнении подписавшими его Сторонами внутригосударственных процедур, необходимых для его вступления в силу.</w:t>
      </w:r>
    </w:p>
    <w:bookmarkEnd w:id="54"/>
    <w:bookmarkStart w:name="z59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Сторон, выполнивших внутригосударственные процедуры позднее, настоящее Соглашение вступает в силу по истечении 30 дней с даты получения документов.</w:t>
      </w:r>
    </w:p>
    <w:bookmarkEnd w:id="55"/>
    <w:bookmarkStart w:name="z60" w:id="5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14</w:t>
      </w:r>
    </w:p>
    <w:bookmarkEnd w:id="56"/>
    <w:bookmarkStart w:name="z61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Настоящее Соглашение после его вступления в силу открыто для присоединения любого государства - участника СНГ путем передачи депозитарию документа о присоединении.</w:t>
      </w:r>
    </w:p>
    <w:bookmarkEnd w:id="57"/>
    <w:bookmarkStart w:name="z62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присоединяющегося государства Соглашение вступает в силу по истечении 30 дней с даты получения депозитарием документа о присоединении.</w:t>
      </w:r>
    </w:p>
    <w:bookmarkEnd w:id="58"/>
    <w:bookmarkStart w:name="z63" w:id="5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15</w:t>
      </w:r>
    </w:p>
    <w:bookmarkEnd w:id="59"/>
    <w:bookmarkStart w:name="z64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Настоящее Соглашение заключается на неопределенный срок. Каждая из Сторон вправе выйти из настоящего Соглашения, направив депозитарию письменное уведомление о таком своем намерении не позднее чем за шесть месяцев до выхода и урегулировав обязательства, возникшие за время действия настоящего Соглашения.</w:t>
      </w:r>
    </w:p>
    <w:bookmarkEnd w:id="60"/>
    <w:bookmarkStart w:name="z65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Совершено в городе ____ года в одном подлинном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экземпляре на русском языке. Подлинный экземпляр хранится в Исполнительном комитете Содружества Независимых Государств, который направит каждому государству, подписавшему настоящее Соглашение, его заверенную копию.</w:t>
      </w:r>
    </w:p>
    <w:bookmarkEnd w:id="6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107"/>
        <w:gridCol w:w="12107"/>
      </w:tblGrid>
      <w:tr>
        <w:trPr>
          <w:trHeight w:val="30" w:hRule="atLeast"/>
        </w:trPr>
        <w:tc>
          <w:tcPr>
            <w:tcW w:w="1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Borders>
                <w:top w:val="none"/>
                <w:left w:val="none"/>
                <w:bottom w:val="none"/>
                <w:right w:val="none"/>
                <w:insideH w:val="none"/>
                <w:insideV w:val="none"/>
              </w:tblBorders>
            </w:tblPr>
            <w:tblGrid>
              <w:gridCol w:w="12000"/>
            </w:tblGrid>
            <w:tr>
              <w:trPr>
                <w:trHeight w:val="30" w:hRule="atLeast"/>
              </w:trPr>
              <w:tc>
                <w:tcPr>
                  <w:tcW w:w="120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left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/>
                      <w:i w:val="false"/>
                      <w:color w:val="000000"/>
                      <w:sz w:val="20"/>
                    </w:rPr>
                    <w:t>За Правительство</w:t>
                  </w:r>
                  <w:r>
                    <w:br/>
                  </w:r>
                  <w:r>
                    <w:rPr>
                      <w:rFonts w:ascii="Times New Roman"/>
                      <w:b/>
                      <w:i w:val="false"/>
                      <w:color w:val="000000"/>
                      <w:sz w:val="20"/>
                    </w:rPr>
                    <w:t>Азербайджанской Республики</w:t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</w:tbl>
          <w:p/>
        </w:tc>
        <w:tc>
          <w:tcPr>
            <w:tcW w:w="1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Borders>
                <w:top w:val="none"/>
                <w:left w:val="none"/>
                <w:bottom w:val="none"/>
                <w:right w:val="none"/>
                <w:insideH w:val="none"/>
                <w:insideV w:val="none"/>
              </w:tblBorders>
            </w:tblPr>
            <w:tblGrid>
              <w:gridCol w:w="12000"/>
            </w:tblGrid>
            <w:tr>
              <w:trPr>
                <w:trHeight w:val="30" w:hRule="atLeast"/>
              </w:trPr>
              <w:tc>
                <w:tcPr>
                  <w:tcW w:w="120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left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/>
                      <w:i w:val="false"/>
                      <w:color w:val="000000"/>
                      <w:sz w:val="20"/>
                    </w:rPr>
                    <w:t>За Правительство</w:t>
                  </w:r>
                  <w:r>
                    <w:br/>
                  </w:r>
                  <w:r>
                    <w:rPr>
                      <w:rFonts w:ascii="Times New Roman"/>
                      <w:b/>
                      <w:i w:val="false"/>
                      <w:color w:val="000000"/>
                      <w:sz w:val="20"/>
                    </w:rPr>
                    <w:t>Российской Федерации</w:t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</w:tbl>
          <w:p/>
        </w:tc>
      </w:tr>
      <w:tr>
        <w:trPr>
          <w:trHeight w:val="30" w:hRule="atLeast"/>
        </w:trPr>
        <w:tc>
          <w:tcPr>
            <w:tcW w:w="1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Borders>
                <w:top w:val="none"/>
                <w:left w:val="none"/>
                <w:bottom w:val="none"/>
                <w:right w:val="none"/>
                <w:insideH w:val="none"/>
                <w:insideV w:val="none"/>
              </w:tblBorders>
            </w:tblPr>
            <w:tblGrid>
              <w:gridCol w:w="12000"/>
            </w:tblGrid>
            <w:tr>
              <w:trPr>
                <w:trHeight w:val="30" w:hRule="atLeast"/>
              </w:trPr>
              <w:tc>
                <w:tcPr>
                  <w:tcW w:w="120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left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 w:val="false"/>
                      <w:i/>
                      <w:color w:val="000000"/>
                      <w:sz w:val="20"/>
                    </w:rPr>
                    <w:t>За Правительство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/>
                      <w:color w:val="000000"/>
                      <w:sz w:val="20"/>
                    </w:rPr>
                    <w:t>Республики Армения</w:t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</w:tbl>
          <w:p/>
        </w:tc>
        <w:tc>
          <w:tcPr>
            <w:tcW w:w="1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Borders>
                <w:top w:val="none"/>
                <w:left w:val="none"/>
                <w:bottom w:val="none"/>
                <w:right w:val="none"/>
                <w:insideH w:val="none"/>
                <w:insideV w:val="none"/>
              </w:tblBorders>
            </w:tblPr>
            <w:tblGrid>
              <w:gridCol w:w="12000"/>
            </w:tblGrid>
            <w:tr>
              <w:trPr>
                <w:trHeight w:val="30" w:hRule="atLeast"/>
              </w:trPr>
              <w:tc>
                <w:tcPr>
                  <w:tcW w:w="120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left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 w:val="false"/>
                      <w:i/>
                      <w:color w:val="000000"/>
                      <w:sz w:val="20"/>
                    </w:rPr>
                    <w:t>За Правительство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/>
                      <w:color w:val="000000"/>
                      <w:sz w:val="20"/>
                    </w:rPr>
                    <w:t>Республики Таджикистан</w:t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</w:tbl>
          <w:p/>
        </w:tc>
      </w:tr>
      <w:tr>
        <w:trPr>
          <w:trHeight w:val="30" w:hRule="atLeast"/>
        </w:trPr>
        <w:tc>
          <w:tcPr>
            <w:tcW w:w="1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Borders>
                <w:top w:val="none"/>
                <w:left w:val="none"/>
                <w:bottom w:val="none"/>
                <w:right w:val="none"/>
                <w:insideH w:val="none"/>
                <w:insideV w:val="none"/>
              </w:tblBorders>
            </w:tblPr>
            <w:tblGrid>
              <w:gridCol w:w="12000"/>
            </w:tblGrid>
            <w:tr>
              <w:trPr>
                <w:trHeight w:val="30" w:hRule="atLeast"/>
              </w:trPr>
              <w:tc>
                <w:tcPr>
                  <w:tcW w:w="120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left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 w:val="false"/>
                      <w:i/>
                      <w:color w:val="000000"/>
                      <w:sz w:val="20"/>
                    </w:rPr>
                    <w:t>За Правительство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/>
                      <w:color w:val="000000"/>
                      <w:sz w:val="20"/>
                    </w:rPr>
                    <w:t>Республики Беларусь</w:t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</w:tbl>
          <w:p/>
        </w:tc>
        <w:tc>
          <w:tcPr>
            <w:tcW w:w="1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Borders>
                <w:top w:val="none"/>
                <w:left w:val="none"/>
                <w:bottom w:val="none"/>
                <w:right w:val="none"/>
                <w:insideH w:val="none"/>
                <w:insideV w:val="none"/>
              </w:tblBorders>
            </w:tblPr>
            <w:tblGrid>
              <w:gridCol w:w="12000"/>
            </w:tblGrid>
            <w:tr>
              <w:trPr>
                <w:trHeight w:val="30" w:hRule="atLeast"/>
              </w:trPr>
              <w:tc>
                <w:tcPr>
                  <w:tcW w:w="120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left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 w:val="false"/>
                      <w:i/>
                      <w:color w:val="000000"/>
                      <w:sz w:val="20"/>
                    </w:rPr>
                    <w:t>За Правительство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/>
                      <w:color w:val="000000"/>
                      <w:sz w:val="20"/>
                    </w:rPr>
                    <w:t>Туркменистана</w:t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</w:tbl>
          <w:p/>
        </w:tc>
      </w:tr>
      <w:tr>
        <w:trPr>
          <w:trHeight w:val="30" w:hRule="atLeast"/>
        </w:trPr>
        <w:tc>
          <w:tcPr>
            <w:tcW w:w="1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Borders>
                <w:top w:val="none"/>
                <w:left w:val="none"/>
                <w:bottom w:val="none"/>
                <w:right w:val="none"/>
                <w:insideH w:val="none"/>
                <w:insideV w:val="none"/>
              </w:tblBorders>
            </w:tblPr>
            <w:tblGrid>
              <w:gridCol w:w="12000"/>
            </w:tblGrid>
            <w:tr>
              <w:trPr>
                <w:trHeight w:val="30" w:hRule="atLeast"/>
              </w:trPr>
              <w:tc>
                <w:tcPr>
                  <w:tcW w:w="120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left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 w:val="false"/>
                      <w:i/>
                      <w:color w:val="000000"/>
                      <w:sz w:val="20"/>
                    </w:rPr>
                    <w:t>За Правительство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/>
                      <w:color w:val="000000"/>
                      <w:sz w:val="20"/>
                    </w:rPr>
                    <w:t>Республики Казахстан</w:t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</w:tbl>
          <w:p/>
        </w:tc>
        <w:tc>
          <w:tcPr>
            <w:tcW w:w="1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Borders>
                <w:top w:val="none"/>
                <w:left w:val="none"/>
                <w:bottom w:val="none"/>
                <w:right w:val="none"/>
                <w:insideH w:val="none"/>
                <w:insideV w:val="none"/>
              </w:tblBorders>
            </w:tblPr>
            <w:tblGrid>
              <w:gridCol w:w="12000"/>
            </w:tblGrid>
            <w:tr>
              <w:trPr>
                <w:trHeight w:val="30" w:hRule="atLeast"/>
              </w:trPr>
              <w:tc>
                <w:tcPr>
                  <w:tcW w:w="120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left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 w:val="false"/>
                      <w:i/>
                      <w:color w:val="000000"/>
                      <w:sz w:val="20"/>
                    </w:rPr>
                    <w:t>За Правительство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/>
                      <w:color w:val="000000"/>
                      <w:sz w:val="20"/>
                    </w:rPr>
                    <w:t>Республики Узбекистан</w:t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</w:tbl>
          <w:p/>
        </w:tc>
      </w:tr>
      <w:tr>
        <w:trPr>
          <w:trHeight w:val="30" w:hRule="atLeast"/>
        </w:trPr>
        <w:tc>
          <w:tcPr>
            <w:tcW w:w="1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Borders>
                <w:top w:val="none"/>
                <w:left w:val="none"/>
                <w:bottom w:val="none"/>
                <w:right w:val="none"/>
                <w:insideH w:val="none"/>
                <w:insideV w:val="none"/>
              </w:tblBorders>
            </w:tblPr>
            <w:tblGrid>
              <w:gridCol w:w="12000"/>
            </w:tblGrid>
            <w:tr>
              <w:trPr>
                <w:trHeight w:val="30" w:hRule="atLeast"/>
              </w:trPr>
              <w:tc>
                <w:tcPr>
                  <w:tcW w:w="120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left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 w:val="false"/>
                      <w:i/>
                      <w:color w:val="000000"/>
                      <w:sz w:val="20"/>
                    </w:rPr>
                    <w:t>За Правительство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/>
                      <w:color w:val="000000"/>
                      <w:sz w:val="20"/>
                    </w:rPr>
                    <w:t>Кыргызской Республики</w:t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</w:tbl>
          <w:p/>
        </w:tc>
        <w:tc>
          <w:tcPr>
            <w:tcW w:w="1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Borders>
                <w:top w:val="none"/>
                <w:left w:val="none"/>
                <w:bottom w:val="none"/>
                <w:right w:val="none"/>
                <w:insideH w:val="none"/>
                <w:insideV w:val="none"/>
              </w:tblBorders>
            </w:tblPr>
            <w:tblGrid>
              <w:gridCol w:w="12000"/>
            </w:tblGrid>
            <w:tr>
              <w:trPr>
                <w:trHeight w:val="30" w:hRule="atLeast"/>
              </w:trPr>
              <w:tc>
                <w:tcPr>
                  <w:tcW w:w="120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left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 w:val="false"/>
                      <w:i/>
                      <w:color w:val="000000"/>
                      <w:sz w:val="20"/>
                    </w:rPr>
                    <w:t>За Правительство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/>
                      <w:color w:val="000000"/>
                      <w:sz w:val="20"/>
                    </w:rPr>
                    <w:t>Украины</w:t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</w:tbl>
          <w:p/>
        </w:tc>
      </w:tr>
      <w:tr>
        <w:trPr>
          <w:trHeight w:val="30" w:hRule="atLeast"/>
        </w:trPr>
        <w:tc>
          <w:tcPr>
            <w:tcW w:w="1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Borders>
                <w:top w:val="none"/>
                <w:left w:val="none"/>
                <w:bottom w:val="none"/>
                <w:right w:val="none"/>
                <w:insideH w:val="none"/>
                <w:insideV w:val="none"/>
              </w:tblBorders>
            </w:tblPr>
            <w:tblGrid>
              <w:gridCol w:w="12000"/>
            </w:tblGrid>
            <w:tr>
              <w:trPr>
                <w:trHeight w:val="30" w:hRule="atLeast"/>
              </w:trPr>
              <w:tc>
                <w:tcPr>
                  <w:tcW w:w="120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left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 w:val="false"/>
                      <w:i/>
                      <w:color w:val="000000"/>
                      <w:sz w:val="20"/>
                    </w:rPr>
                    <w:t>За Правительство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/>
                      <w:color w:val="000000"/>
                      <w:sz w:val="20"/>
                    </w:rPr>
                    <w:t>Республики Молдова</w:t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</w:tbl>
          <w:p/>
        </w:tc>
        <w:tc>
          <w:tcPr>
            <w:tcW w:w="1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Borders>
                <w:top w:val="none"/>
                <w:left w:val="none"/>
                <w:bottom w:val="none"/>
                <w:right w:val="none"/>
                <w:insideH w:val="none"/>
                <w:insideV w:val="none"/>
              </w:tblBorders>
            </w:tblPr>
            <w:tblGrid>
              <w:gridCol w:w="12000"/>
            </w:tblGrid>
            <w:tr>
              <w:trPr>
                <w:trHeight w:val="30" w:hRule="atLeast"/>
              </w:trPr>
              <w:tc>
                <w:tcPr>
                  <w:tcW w:w="120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left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</w:tbl>
          <w:p/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