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82e0" w14:textId="8d48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Межрегиональной схемы территориального развития Актюбинской агломерации</w:t>
      </w:r>
    </w:p>
    <w:p>
      <w:pPr>
        <w:spacing w:after="0"/>
        <w:ind w:left="0"/>
        <w:jc w:val="both"/>
      </w:pPr>
      <w:r>
        <w:rPr>
          <w:rFonts w:ascii="Times New Roman"/>
          <w:b w:val="false"/>
          <w:i w:val="false"/>
          <w:color w:val="000000"/>
          <w:sz w:val="28"/>
        </w:rPr>
        <w:t>Постановление Правительства Республики Казахстан от 3 марта 2018 года № 109.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Республики Казахстан от 16 июля 2001 года "Об архитектурной, градостроительной и строительной деятельности в Республике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3"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Межрегиональную схему</w:t>
      </w:r>
      <w:r>
        <w:rPr>
          <w:rFonts w:ascii="Times New Roman"/>
          <w:b w:val="false"/>
          <w:i w:val="false"/>
          <w:color w:val="000000"/>
          <w:sz w:val="28"/>
        </w:rPr>
        <w:t xml:space="preserve"> территориального развития Актюбинской агломерации.</w:t>
      </w:r>
    </w:p>
    <w:bookmarkEnd w:id="0"/>
    <w:bookmarkStart w:name="z14" w:id="1"/>
    <w:p>
      <w:pPr>
        <w:spacing w:after="0"/>
        <w:ind w:left="0"/>
        <w:jc w:val="both"/>
      </w:pPr>
      <w:r>
        <w:rPr>
          <w:rFonts w:ascii="Times New Roman"/>
          <w:b w:val="false"/>
          <w:i w:val="false"/>
          <w:color w:val="000000"/>
          <w:sz w:val="28"/>
        </w:rPr>
        <w:t>
      2. Центральным и местным исполнительным органам принять меры, вытекающие из настоящего постановления.</w:t>
      </w:r>
    </w:p>
    <w:bookmarkEnd w:id="1"/>
    <w:bookmarkStart w:name="z15"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 марта 2018 года № 109</w:t>
            </w:r>
          </w:p>
        </w:tc>
      </w:tr>
    </w:tbl>
    <w:bookmarkStart w:name="z17" w:id="3"/>
    <w:p>
      <w:pPr>
        <w:spacing w:after="0"/>
        <w:ind w:left="0"/>
        <w:jc w:val="left"/>
      </w:pPr>
      <w:r>
        <w:rPr>
          <w:rFonts w:ascii="Times New Roman"/>
          <w:b/>
          <w:i w:val="false"/>
          <w:color w:val="000000"/>
        </w:rPr>
        <w:t xml:space="preserve"> Межрегиональная схема территориального развития Актюбинской агломерации</w:t>
      </w:r>
    </w:p>
    <w:bookmarkEnd w:id="3"/>
    <w:p>
      <w:pPr>
        <w:spacing w:after="0"/>
        <w:ind w:left="0"/>
        <w:jc w:val="both"/>
      </w:pPr>
      <w:r>
        <w:rPr>
          <w:rFonts w:ascii="Times New Roman"/>
          <w:b w:val="false"/>
          <w:i w:val="false"/>
          <w:color w:val="000000"/>
          <w:sz w:val="28"/>
        </w:rPr>
        <w:t xml:space="preserve">
      Настоящая Межрегиональная схема территориального развития Актюбинской агломерации (далее – Межрегиональная схема Актюбинской агломерации) разработана в рамках реализации </w:t>
      </w:r>
      <w:r>
        <w:rPr>
          <w:rFonts w:ascii="Times New Roman"/>
          <w:b w:val="false"/>
          <w:i w:val="false"/>
          <w:color w:val="000000"/>
          <w:sz w:val="28"/>
        </w:rPr>
        <w:t>Послания</w:t>
      </w:r>
      <w:r>
        <w:rPr>
          <w:rFonts w:ascii="Times New Roman"/>
          <w:b w:val="false"/>
          <w:i w:val="false"/>
          <w:color w:val="000000"/>
          <w:sz w:val="28"/>
        </w:rPr>
        <w:t xml:space="preserve"> Президента Республики Казахстан народу Казахстана от 14 декабря 2012 года "Стратегия "Казахстан – 2050": новый политический курс состоявшегося государства", постановлений Правительства Республики Казахстан от 30 декабря 2013 года </w:t>
      </w:r>
      <w:r>
        <w:rPr>
          <w:rFonts w:ascii="Times New Roman"/>
          <w:b w:val="false"/>
          <w:i w:val="false"/>
          <w:color w:val="000000"/>
          <w:sz w:val="28"/>
        </w:rPr>
        <w:t>№ 1434</w:t>
      </w:r>
      <w:r>
        <w:rPr>
          <w:rFonts w:ascii="Times New Roman"/>
          <w:b w:val="false"/>
          <w:i w:val="false"/>
          <w:color w:val="000000"/>
          <w:sz w:val="28"/>
        </w:rPr>
        <w:t xml:space="preserve"> "Об утверждении Основных положений Генеральной схемы организации территории Республики Казахстан" (далее – Основные положения Генеральной схемы) и от 28 июня 2014 года </w:t>
      </w:r>
      <w:r>
        <w:rPr>
          <w:rFonts w:ascii="Times New Roman"/>
          <w:b w:val="false"/>
          <w:i w:val="false"/>
          <w:color w:val="000000"/>
          <w:sz w:val="28"/>
        </w:rPr>
        <w:t>№ 728</w:t>
      </w:r>
      <w:r>
        <w:rPr>
          <w:rFonts w:ascii="Times New Roman"/>
          <w:b w:val="false"/>
          <w:i w:val="false"/>
          <w:color w:val="000000"/>
          <w:sz w:val="28"/>
        </w:rPr>
        <w:t xml:space="preserve"> "Об утверждении Программы развития регионов до 2020 года" (далее – Программа развития регионов).</w:t>
      </w:r>
    </w:p>
    <w:p>
      <w:pPr>
        <w:spacing w:after="0"/>
        <w:ind w:left="0"/>
        <w:jc w:val="both"/>
      </w:pPr>
      <w:r>
        <w:rPr>
          <w:rFonts w:ascii="Times New Roman"/>
          <w:b w:val="false"/>
          <w:i w:val="false"/>
          <w:color w:val="000000"/>
          <w:sz w:val="28"/>
        </w:rPr>
        <w:t>
      Межрегиональная схема Актюбинской агломерации разработана в соответствии с законодательством Республики Казахстан в сфере архитектурной, градостроительной и строительной деятельности, нормативными правовыми и нормативно-техническими документами, регулирующими экологические, социально-экономические вопросы организации территории.</w:t>
      </w:r>
    </w:p>
    <w:p>
      <w:pPr>
        <w:spacing w:after="0"/>
        <w:ind w:left="0"/>
        <w:jc w:val="both"/>
      </w:pPr>
      <w:r>
        <w:rPr>
          <w:rFonts w:ascii="Times New Roman"/>
          <w:b w:val="false"/>
          <w:i w:val="false"/>
          <w:color w:val="000000"/>
          <w:sz w:val="28"/>
        </w:rPr>
        <w:t>
      Межрегиональная схема Актюбинской агломерации является градостроительной стратегией, определяющей перспективы развития территории и ее долгосрочную потребность в инфраструктуре. Очередность реализации, источники и объемы финансирования положений Межрегиональной схемы Актюбинской агломерации определяются на уровне государственных программ и программ развития территорий с учетом бюджетных возможностей.</w:t>
      </w:r>
    </w:p>
    <w:p>
      <w:pPr>
        <w:spacing w:after="0"/>
        <w:ind w:left="0"/>
        <w:jc w:val="both"/>
      </w:pPr>
      <w:r>
        <w:rPr>
          <w:rFonts w:ascii="Times New Roman"/>
          <w:b w:val="false"/>
          <w:i w:val="false"/>
          <w:color w:val="000000"/>
          <w:sz w:val="28"/>
        </w:rPr>
        <w:t>
      Основные элементы планировочной структуры Актюбинской агломерации включают:</w:t>
      </w:r>
    </w:p>
    <w:p>
      <w:pPr>
        <w:spacing w:after="0"/>
        <w:ind w:left="0"/>
        <w:jc w:val="both"/>
      </w:pPr>
      <w:r>
        <w:rPr>
          <w:rFonts w:ascii="Times New Roman"/>
          <w:b w:val="false"/>
          <w:i w:val="false"/>
          <w:color w:val="000000"/>
          <w:sz w:val="28"/>
        </w:rPr>
        <w:t xml:space="preserve">
      центр агломерации, зоны активных агломерационных процессов, зоны развития агломерационных связей, зоны экономического влияния и потенциального развития агломерации. </w:t>
      </w:r>
    </w:p>
    <w:p>
      <w:pPr>
        <w:spacing w:after="0"/>
        <w:ind w:left="0"/>
        <w:jc w:val="both"/>
      </w:pPr>
      <w:r>
        <w:rPr>
          <w:rFonts w:ascii="Times New Roman"/>
          <w:b w:val="false"/>
          <w:i w:val="false"/>
          <w:color w:val="000000"/>
          <w:sz w:val="28"/>
        </w:rPr>
        <w:t>
      К центру агломерации отнесен город, выполняющий центральную функцию катализатора формирования и развития агломерации, концентрирующий в себе потенциал экономического и территориального роста.</w:t>
      </w:r>
    </w:p>
    <w:p>
      <w:pPr>
        <w:spacing w:after="0"/>
        <w:ind w:left="0"/>
        <w:jc w:val="both"/>
      </w:pPr>
      <w:r>
        <w:rPr>
          <w:rFonts w:ascii="Times New Roman"/>
          <w:b w:val="false"/>
          <w:i w:val="false"/>
          <w:color w:val="000000"/>
          <w:sz w:val="28"/>
        </w:rPr>
        <w:t>
      К зоне активных агломерационных процессов отнесены территории в радиусе 0,5 часовой транспортной доступности от центра агломерации вдоль основных магистральных русел расселения, где в результате высокой концентрации и близости населенных пунктов происходит и/или существует наибольшая вероятность их территориального срастания.</w:t>
      </w:r>
    </w:p>
    <w:p>
      <w:pPr>
        <w:spacing w:after="0"/>
        <w:ind w:left="0"/>
        <w:jc w:val="both"/>
      </w:pPr>
      <w:r>
        <w:rPr>
          <w:rFonts w:ascii="Times New Roman"/>
          <w:b w:val="false"/>
          <w:i w:val="false"/>
          <w:color w:val="000000"/>
          <w:sz w:val="28"/>
        </w:rPr>
        <w:t>
      Градостроительное планирование данной зоны необходимо осуществлять с учетом урбанизированной целостности с городом-центром.</w:t>
      </w:r>
    </w:p>
    <w:p>
      <w:pPr>
        <w:spacing w:after="0"/>
        <w:ind w:left="0"/>
        <w:jc w:val="both"/>
      </w:pPr>
      <w:r>
        <w:rPr>
          <w:rFonts w:ascii="Times New Roman"/>
          <w:b w:val="false"/>
          <w:i w:val="false"/>
          <w:color w:val="000000"/>
          <w:sz w:val="28"/>
        </w:rPr>
        <w:t xml:space="preserve">
      К зоне развития агломерационных связей отнесены территории с населенными пунктами, расположенными за пределами зоны агломерационных процессов, в радиусе 1,5 часовой транспортной доступности от центра агломерации. В настоящий момент населенные пункты данной зоны удалены друг от друга, со значительными межселенными пространственными разрывами, занятыми, преимущественно, сельскохозяйственными угодьями. </w:t>
      </w:r>
    </w:p>
    <w:p>
      <w:pPr>
        <w:spacing w:after="0"/>
        <w:ind w:left="0"/>
        <w:jc w:val="both"/>
      </w:pPr>
      <w:r>
        <w:rPr>
          <w:rFonts w:ascii="Times New Roman"/>
          <w:b w:val="false"/>
          <w:i w:val="false"/>
          <w:color w:val="000000"/>
          <w:sz w:val="28"/>
        </w:rPr>
        <w:t>
      Территориальные и природно-сырьевые ресурсы этой зоны могут рассматриваться в качестве базовой основы развития и размещения экономического потенциала агломерации.</w:t>
      </w:r>
    </w:p>
    <w:p>
      <w:pPr>
        <w:spacing w:after="0"/>
        <w:ind w:left="0"/>
        <w:jc w:val="both"/>
      </w:pPr>
      <w:r>
        <w:rPr>
          <w:rFonts w:ascii="Times New Roman"/>
          <w:b w:val="false"/>
          <w:i w:val="false"/>
          <w:color w:val="000000"/>
          <w:sz w:val="28"/>
        </w:rPr>
        <w:t>
      Исходя из анализа сырьевых, трудовых, энергетических и природных ресурсов территории, важно определить опорные точки развития, ролевую функцию структурных элементов каркаса общей системы расселения и экономики агломерации.</w:t>
      </w:r>
    </w:p>
    <w:p>
      <w:pPr>
        <w:spacing w:after="0"/>
        <w:ind w:left="0"/>
        <w:jc w:val="both"/>
      </w:pPr>
      <w:r>
        <w:rPr>
          <w:rFonts w:ascii="Times New Roman"/>
          <w:b w:val="false"/>
          <w:i w:val="false"/>
          <w:color w:val="000000"/>
          <w:sz w:val="28"/>
        </w:rPr>
        <w:t xml:space="preserve">
      В качестве таких опорных точек выступили наиболее крупные поселения, обладающие ресурсным потенциалом и расположенные в выгодных по транспортно-логистическим условиям пунктах. </w:t>
      </w:r>
    </w:p>
    <w:p>
      <w:pPr>
        <w:spacing w:after="0"/>
        <w:ind w:left="0"/>
        <w:jc w:val="both"/>
      </w:pPr>
      <w:r>
        <w:rPr>
          <w:rFonts w:ascii="Times New Roman"/>
          <w:b w:val="false"/>
          <w:i w:val="false"/>
          <w:color w:val="000000"/>
          <w:sz w:val="28"/>
        </w:rPr>
        <w:t>
      Основные задачи Межрегиональной схемы Актюбинской агломерации:</w:t>
      </w:r>
    </w:p>
    <w:p>
      <w:pPr>
        <w:spacing w:after="0"/>
        <w:ind w:left="0"/>
        <w:jc w:val="both"/>
      </w:pPr>
      <w:r>
        <w:rPr>
          <w:rFonts w:ascii="Times New Roman"/>
          <w:b w:val="false"/>
          <w:i w:val="false"/>
          <w:color w:val="000000"/>
          <w:sz w:val="28"/>
        </w:rPr>
        <w:t xml:space="preserve">
      1) определение рациональной планировочной организации проектируемой территории в целях формирования оптимальных направлений развития агломерации с учетом интересов административно-территориальных единиц, входящих в ее границы; </w:t>
      </w:r>
    </w:p>
    <w:p>
      <w:pPr>
        <w:spacing w:after="0"/>
        <w:ind w:left="0"/>
        <w:jc w:val="both"/>
      </w:pPr>
      <w:r>
        <w:rPr>
          <w:rFonts w:ascii="Times New Roman"/>
          <w:b w:val="false"/>
          <w:i w:val="false"/>
          <w:color w:val="000000"/>
          <w:sz w:val="28"/>
        </w:rPr>
        <w:t>
      2) разработка комплекса обоснованных предложений по функциональному зонированию территории, совершенствованию системы расселения населения и размещению производительных сил, развитию инженерной, транспортной, социальной и рекреационной инфраструктур, межрегионального взаимодействия с другими регионами страны, защите территории от опасных техногенных и природных процессов, улучшению экологического состояния территории и охране окружающей среды.</w:t>
      </w:r>
    </w:p>
    <w:p>
      <w:pPr>
        <w:spacing w:after="0"/>
        <w:ind w:left="0"/>
        <w:jc w:val="both"/>
      </w:pPr>
      <w:r>
        <w:rPr>
          <w:rFonts w:ascii="Times New Roman"/>
          <w:b w:val="false"/>
          <w:i w:val="false"/>
          <w:color w:val="000000"/>
          <w:sz w:val="28"/>
        </w:rPr>
        <w:t xml:space="preserve">
      Межрегиональная схема Актюбинской агломерации содержит проектные предложения перспективного градостроительного развития территории на промежуточный (2020 год) и расчетный (2030 год) сроки проектирования. Основные технико-экономические показатели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Актюбинской агломерации.</w:t>
      </w:r>
    </w:p>
    <w:p>
      <w:pPr>
        <w:spacing w:after="0"/>
        <w:ind w:left="0"/>
        <w:jc w:val="both"/>
      </w:pPr>
      <w:r>
        <w:rPr>
          <w:rFonts w:ascii="Times New Roman"/>
          <w:b w:val="false"/>
          <w:i w:val="false"/>
          <w:color w:val="000000"/>
          <w:sz w:val="28"/>
        </w:rPr>
        <w:t xml:space="preserve">
      Проектные предложения долгосрочного развития Актюбинской агломерации приведены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к настоящей Межрегиональной схеме Актюбинской агломерации.</w:t>
      </w:r>
    </w:p>
    <w:p>
      <w:pPr>
        <w:spacing w:after="0"/>
        <w:ind w:left="0"/>
        <w:jc w:val="both"/>
      </w:pPr>
      <w:r>
        <w:rPr>
          <w:rFonts w:ascii="Times New Roman"/>
          <w:b w:val="false"/>
          <w:i w:val="false"/>
          <w:color w:val="000000"/>
          <w:sz w:val="28"/>
        </w:rPr>
        <w:t xml:space="preserve">
      Перечень населенных пунктов, вошедших в зону Актюбинской агломерации,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настоящей Межрегиональной схеме Актюбинской агломерации.</w:t>
      </w:r>
    </w:p>
    <w:bookmarkStart w:name="z18" w:id="4"/>
    <w:p>
      <w:pPr>
        <w:spacing w:after="0"/>
        <w:ind w:left="0"/>
        <w:jc w:val="left"/>
      </w:pPr>
      <w:r>
        <w:rPr>
          <w:rFonts w:ascii="Times New Roman"/>
          <w:b/>
          <w:i w:val="false"/>
          <w:color w:val="000000"/>
        </w:rPr>
        <w:t xml:space="preserve"> 1. Зонирование планируемой территории</w:t>
      </w:r>
    </w:p>
    <w:bookmarkEnd w:id="4"/>
    <w:p>
      <w:pPr>
        <w:spacing w:after="0"/>
        <w:ind w:left="0"/>
        <w:jc w:val="both"/>
      </w:pPr>
      <w:r>
        <w:rPr>
          <w:rFonts w:ascii="Times New Roman"/>
          <w:b w:val="false"/>
          <w:i w:val="false"/>
          <w:color w:val="000000"/>
          <w:sz w:val="28"/>
        </w:rPr>
        <w:t xml:space="preserve">
      В соответствии с разделом 5 основных положений Генеральной схемы функциональные зоны разделены на 4 основные группы: </w:t>
      </w:r>
    </w:p>
    <w:p>
      <w:pPr>
        <w:spacing w:after="0"/>
        <w:ind w:left="0"/>
        <w:jc w:val="both"/>
      </w:pPr>
      <w:r>
        <w:rPr>
          <w:rFonts w:ascii="Times New Roman"/>
          <w:b w:val="false"/>
          <w:i w:val="false"/>
          <w:color w:val="000000"/>
          <w:sz w:val="28"/>
        </w:rPr>
        <w:t>
      1) зоны интенсивного хозяйственного и градостроительного освоения и максимально допустимого искусственного преобразования природной среды;</w:t>
      </w:r>
    </w:p>
    <w:p>
      <w:pPr>
        <w:spacing w:after="0"/>
        <w:ind w:left="0"/>
        <w:jc w:val="both"/>
      </w:pPr>
      <w:r>
        <w:rPr>
          <w:rFonts w:ascii="Times New Roman"/>
          <w:b w:val="false"/>
          <w:i w:val="false"/>
          <w:color w:val="000000"/>
          <w:sz w:val="28"/>
        </w:rPr>
        <w:t>
      2) зоны экстенсивного освоения окружающей природной среды;</w:t>
      </w:r>
    </w:p>
    <w:p>
      <w:pPr>
        <w:spacing w:after="0"/>
        <w:ind w:left="0"/>
        <w:jc w:val="both"/>
      </w:pPr>
      <w:r>
        <w:rPr>
          <w:rFonts w:ascii="Times New Roman"/>
          <w:b w:val="false"/>
          <w:i w:val="false"/>
          <w:color w:val="000000"/>
          <w:sz w:val="28"/>
        </w:rPr>
        <w:t>
      3) зоны ограниченного хозяйственного освоения и максимально сохраняемой природной среды;</w:t>
      </w:r>
    </w:p>
    <w:p>
      <w:pPr>
        <w:spacing w:after="0"/>
        <w:ind w:left="0"/>
        <w:jc w:val="both"/>
      </w:pPr>
      <w:r>
        <w:rPr>
          <w:rFonts w:ascii="Times New Roman"/>
          <w:b w:val="false"/>
          <w:i w:val="false"/>
          <w:color w:val="000000"/>
          <w:sz w:val="28"/>
        </w:rPr>
        <w:t>
      4) зоны с особыми регламентами хозяйственной деятельности.</w:t>
      </w:r>
    </w:p>
    <w:p>
      <w:pPr>
        <w:spacing w:after="0"/>
        <w:ind w:left="0"/>
        <w:jc w:val="both"/>
      </w:pPr>
      <w:r>
        <w:rPr>
          <w:rFonts w:ascii="Times New Roman"/>
          <w:b w:val="false"/>
          <w:i w:val="false"/>
          <w:color w:val="000000"/>
          <w:sz w:val="28"/>
        </w:rPr>
        <w:t xml:space="preserve">
      В составе каждой из вышеперечисленных зон выделены соответствующие подзоны. </w:t>
      </w:r>
    </w:p>
    <w:p>
      <w:pPr>
        <w:spacing w:after="0"/>
        <w:ind w:left="0"/>
        <w:jc w:val="both"/>
      </w:pPr>
      <w:r>
        <w:rPr>
          <w:rFonts w:ascii="Times New Roman"/>
          <w:b w:val="false"/>
          <w:i w:val="false"/>
          <w:color w:val="000000"/>
          <w:sz w:val="28"/>
        </w:rPr>
        <w:t xml:space="preserve">
      Для определения площадей, указанных в основных технико-экономических показателях, выполнен проектный земельный баланс территории согласно </w:t>
      </w:r>
      <w:r>
        <w:rPr>
          <w:rFonts w:ascii="Times New Roman"/>
          <w:b w:val="false"/>
          <w:i w:val="false"/>
          <w:color w:val="000000"/>
          <w:sz w:val="28"/>
        </w:rPr>
        <w:t>пункту 1</w:t>
      </w:r>
      <w:r>
        <w:rPr>
          <w:rFonts w:ascii="Times New Roman"/>
          <w:b w:val="false"/>
          <w:i w:val="false"/>
          <w:color w:val="000000"/>
          <w:sz w:val="28"/>
        </w:rPr>
        <w:t xml:space="preserve"> статьи 1 Земельного кодекса Республики Казахстан. </w:t>
      </w:r>
    </w:p>
    <w:bookmarkStart w:name="z19" w:id="5"/>
    <w:p>
      <w:pPr>
        <w:spacing w:after="0"/>
        <w:ind w:left="0"/>
        <w:jc w:val="both"/>
      </w:pPr>
      <w:r>
        <w:rPr>
          <w:rFonts w:ascii="Times New Roman"/>
          <w:b w:val="false"/>
          <w:i w:val="false"/>
          <w:color w:val="000000"/>
          <w:sz w:val="28"/>
        </w:rPr>
        <w:t>
      1.1 Зоны интенсивного хозяйственного и градостроительного освоения и максимально допустимого искусственного преобразования природной среды</w:t>
      </w:r>
    </w:p>
    <w:bookmarkEnd w:id="5"/>
    <w:p>
      <w:pPr>
        <w:spacing w:after="0"/>
        <w:ind w:left="0"/>
        <w:jc w:val="both"/>
      </w:pPr>
      <w:r>
        <w:rPr>
          <w:rFonts w:ascii="Times New Roman"/>
          <w:b w:val="false"/>
          <w:i w:val="false"/>
          <w:color w:val="000000"/>
          <w:sz w:val="28"/>
        </w:rPr>
        <w:t>
      Подзона расселения</w:t>
      </w:r>
    </w:p>
    <w:p>
      <w:pPr>
        <w:spacing w:after="0"/>
        <w:ind w:left="0"/>
        <w:jc w:val="both"/>
      </w:pPr>
      <w:r>
        <w:rPr>
          <w:rFonts w:ascii="Times New Roman"/>
          <w:b w:val="false"/>
          <w:i w:val="false"/>
          <w:color w:val="000000"/>
          <w:sz w:val="28"/>
        </w:rPr>
        <w:t>
      Межрегиональной схемой Актюбинской агломерации определена основная планировочная ось (Хромтау – Актобе - Мартук) и две второстепенные планировочные оси (Мартук – Актобе, Кандыагаш – Алга - Актобе). Ядром-основным планировочным центром агломерации является город Актобе, а второстепенными центрами притяжения – города Алга, Хромтау, Кандыагаш, а также села Кобда и Мартук.</w:t>
      </w:r>
    </w:p>
    <w:p>
      <w:pPr>
        <w:spacing w:after="0"/>
        <w:ind w:left="0"/>
        <w:jc w:val="both"/>
      </w:pPr>
      <w:r>
        <w:rPr>
          <w:rFonts w:ascii="Times New Roman"/>
          <w:b w:val="false"/>
          <w:i w:val="false"/>
          <w:color w:val="000000"/>
          <w:sz w:val="28"/>
        </w:rPr>
        <w:t xml:space="preserve">
      Для Актюбинской агломерации определена 1,5 часовая транспортная доступность до ядра агломерации. </w:t>
      </w:r>
    </w:p>
    <w:p>
      <w:pPr>
        <w:spacing w:after="0"/>
        <w:ind w:left="0"/>
        <w:jc w:val="both"/>
      </w:pPr>
      <w:r>
        <w:rPr>
          <w:rFonts w:ascii="Times New Roman"/>
          <w:b w:val="false"/>
          <w:i w:val="false"/>
          <w:color w:val="000000"/>
          <w:sz w:val="28"/>
        </w:rPr>
        <w:t xml:space="preserve">
      По плотности населения и интенсивности связей ядра агломерации и центров районных локальных систем расселения определены зоны интенсивных и активных агломерационных процессов. </w:t>
      </w:r>
    </w:p>
    <w:p>
      <w:pPr>
        <w:spacing w:after="0"/>
        <w:ind w:left="0"/>
        <w:jc w:val="both"/>
      </w:pPr>
      <w:r>
        <w:rPr>
          <w:rFonts w:ascii="Times New Roman"/>
          <w:b w:val="false"/>
          <w:i w:val="false"/>
          <w:color w:val="000000"/>
          <w:sz w:val="28"/>
        </w:rPr>
        <w:t>
      В 1,5 часовую изохрону транспортной доступности зоны экономического влияния и потенциального развития Актюбинской агломерации входят центр – город Актобе, города Хромтау, Алга, Кандыагаш, ряд сельских населенных пунктов Алгинского, Каргалинского, Мартукского, Мугалжарского, Хобдинского и Хромтауского районов.</w:t>
      </w:r>
    </w:p>
    <w:p>
      <w:pPr>
        <w:spacing w:after="0"/>
        <w:ind w:left="0"/>
        <w:jc w:val="both"/>
      </w:pPr>
      <w:r>
        <w:rPr>
          <w:rFonts w:ascii="Times New Roman"/>
          <w:b w:val="false"/>
          <w:i w:val="false"/>
          <w:color w:val="000000"/>
          <w:sz w:val="28"/>
        </w:rPr>
        <w:t>
      Площадь населенных пунктов в зоне перспективного экономического влияния и потенциального развития Актюбинской агломерации составляет:</w:t>
      </w:r>
    </w:p>
    <w:p>
      <w:pPr>
        <w:spacing w:after="0"/>
        <w:ind w:left="0"/>
        <w:jc w:val="both"/>
      </w:pPr>
      <w:r>
        <w:rPr>
          <w:rFonts w:ascii="Times New Roman"/>
          <w:b w:val="false"/>
          <w:i w:val="false"/>
          <w:color w:val="000000"/>
          <w:sz w:val="28"/>
        </w:rPr>
        <w:t>
      1) город Актобе – 42846,9 га;</w:t>
      </w:r>
    </w:p>
    <w:p>
      <w:pPr>
        <w:spacing w:after="0"/>
        <w:ind w:left="0"/>
        <w:jc w:val="both"/>
      </w:pPr>
      <w:r>
        <w:rPr>
          <w:rFonts w:ascii="Times New Roman"/>
          <w:b w:val="false"/>
          <w:i w:val="false"/>
          <w:color w:val="000000"/>
          <w:sz w:val="28"/>
        </w:rPr>
        <w:t xml:space="preserve">
      2) городская администрация города Актобе (без учета города Актобе) - 37085 га; </w:t>
      </w:r>
    </w:p>
    <w:p>
      <w:pPr>
        <w:spacing w:after="0"/>
        <w:ind w:left="0"/>
        <w:jc w:val="both"/>
      </w:pPr>
      <w:r>
        <w:rPr>
          <w:rFonts w:ascii="Times New Roman"/>
          <w:b w:val="false"/>
          <w:i w:val="false"/>
          <w:color w:val="000000"/>
          <w:sz w:val="28"/>
        </w:rPr>
        <w:t>
      3) Алгинский район – 102179 га;</w:t>
      </w:r>
    </w:p>
    <w:p>
      <w:pPr>
        <w:spacing w:after="0"/>
        <w:ind w:left="0"/>
        <w:jc w:val="both"/>
      </w:pPr>
      <w:r>
        <w:rPr>
          <w:rFonts w:ascii="Times New Roman"/>
          <w:b w:val="false"/>
          <w:i w:val="false"/>
          <w:color w:val="000000"/>
          <w:sz w:val="28"/>
        </w:rPr>
        <w:t>
      4) Каргалинский район – 85437 га;</w:t>
      </w:r>
    </w:p>
    <w:p>
      <w:pPr>
        <w:spacing w:after="0"/>
        <w:ind w:left="0"/>
        <w:jc w:val="both"/>
      </w:pPr>
      <w:r>
        <w:rPr>
          <w:rFonts w:ascii="Times New Roman"/>
          <w:b w:val="false"/>
          <w:i w:val="false"/>
          <w:color w:val="000000"/>
          <w:sz w:val="28"/>
        </w:rPr>
        <w:t>
      5) Хобдинский район – 62369 га;</w:t>
      </w:r>
    </w:p>
    <w:p>
      <w:pPr>
        <w:spacing w:after="0"/>
        <w:ind w:left="0"/>
        <w:jc w:val="both"/>
      </w:pPr>
      <w:r>
        <w:rPr>
          <w:rFonts w:ascii="Times New Roman"/>
          <w:b w:val="false"/>
          <w:i w:val="false"/>
          <w:color w:val="000000"/>
          <w:sz w:val="28"/>
        </w:rPr>
        <w:t>
      6) Мугалжарский район – 60259 га;</w:t>
      </w:r>
    </w:p>
    <w:p>
      <w:pPr>
        <w:spacing w:after="0"/>
        <w:ind w:left="0"/>
        <w:jc w:val="both"/>
      </w:pPr>
      <w:r>
        <w:rPr>
          <w:rFonts w:ascii="Times New Roman"/>
          <w:b w:val="false"/>
          <w:i w:val="false"/>
          <w:color w:val="000000"/>
          <w:sz w:val="28"/>
        </w:rPr>
        <w:t xml:space="preserve">
      7) Мартукский район – 123707 га; </w:t>
      </w:r>
    </w:p>
    <w:p>
      <w:pPr>
        <w:spacing w:after="0"/>
        <w:ind w:left="0"/>
        <w:jc w:val="both"/>
      </w:pPr>
      <w:r>
        <w:rPr>
          <w:rFonts w:ascii="Times New Roman"/>
          <w:b w:val="false"/>
          <w:i w:val="false"/>
          <w:color w:val="000000"/>
          <w:sz w:val="28"/>
        </w:rPr>
        <w:t xml:space="preserve">
      8) Хромтауский район – 73937 га. </w:t>
      </w:r>
    </w:p>
    <w:p>
      <w:pPr>
        <w:spacing w:after="0"/>
        <w:ind w:left="0"/>
        <w:jc w:val="both"/>
      </w:pPr>
      <w:r>
        <w:rPr>
          <w:rFonts w:ascii="Times New Roman"/>
          <w:b w:val="false"/>
          <w:i w:val="false"/>
          <w:color w:val="000000"/>
          <w:sz w:val="28"/>
        </w:rPr>
        <w:t>
      Площадь населенных пунктов в зоне развития агломерационных процессов составляет 587,82 тыс. га.</w:t>
      </w:r>
    </w:p>
    <w:p>
      <w:pPr>
        <w:spacing w:after="0"/>
        <w:ind w:left="0"/>
        <w:jc w:val="both"/>
      </w:pPr>
      <w:r>
        <w:rPr>
          <w:rFonts w:ascii="Times New Roman"/>
          <w:b w:val="false"/>
          <w:i w:val="false"/>
          <w:color w:val="000000"/>
          <w:sz w:val="28"/>
        </w:rPr>
        <w:t xml:space="preserve">
      На расчетный срок проектирования общая площадь городских и сельских населенных пунктов с учетом города Актобе составит 594 050 га. Увеличение площади населенных пунктов на 6230 га к 2030 году предусмотрено согласно </w:t>
      </w:r>
      <w:r>
        <w:rPr>
          <w:rFonts w:ascii="Times New Roman"/>
          <w:b w:val="false"/>
          <w:i w:val="false"/>
          <w:color w:val="000000"/>
          <w:sz w:val="28"/>
        </w:rPr>
        <w:t>Программе</w:t>
      </w:r>
      <w:r>
        <w:rPr>
          <w:rFonts w:ascii="Times New Roman"/>
          <w:b w:val="false"/>
          <w:i w:val="false"/>
          <w:color w:val="000000"/>
          <w:sz w:val="28"/>
        </w:rPr>
        <w:t xml:space="preserve"> жилищного строительства "Нұрлы жер" от 31 декабря 2016 года № 922, основными целями которой являются повышение доступности жилья для населения, а также развитие индивидуального жилищного строительства.</w:t>
      </w:r>
    </w:p>
    <w:p>
      <w:pPr>
        <w:spacing w:after="0"/>
        <w:ind w:left="0"/>
        <w:jc w:val="both"/>
      </w:pPr>
      <w:r>
        <w:rPr>
          <w:rFonts w:ascii="Times New Roman"/>
          <w:b w:val="false"/>
          <w:i w:val="false"/>
          <w:color w:val="000000"/>
          <w:sz w:val="28"/>
        </w:rPr>
        <w:t>
      Подзона транспортно-коммуникационных коридоров</w:t>
      </w:r>
    </w:p>
    <w:p>
      <w:pPr>
        <w:spacing w:after="0"/>
        <w:ind w:left="0"/>
        <w:jc w:val="both"/>
      </w:pPr>
      <w:r>
        <w:rPr>
          <w:rFonts w:ascii="Times New Roman"/>
          <w:b w:val="false"/>
          <w:i w:val="false"/>
          <w:color w:val="000000"/>
          <w:sz w:val="28"/>
        </w:rPr>
        <w:t>
      Подзона автомобильных дорог</w:t>
      </w:r>
    </w:p>
    <w:p>
      <w:pPr>
        <w:spacing w:after="0"/>
        <w:ind w:left="0"/>
        <w:jc w:val="both"/>
      </w:pPr>
      <w:r>
        <w:rPr>
          <w:rFonts w:ascii="Times New Roman"/>
          <w:b w:val="false"/>
          <w:i w:val="false"/>
          <w:color w:val="000000"/>
          <w:sz w:val="28"/>
        </w:rPr>
        <w:t>
      Протяженность автомобильных дорог в границах зоны перспективного экономического влияния и потенциального развития Актюбинской агломерации составляет 2352,2 км, из них:</w:t>
      </w:r>
    </w:p>
    <w:p>
      <w:pPr>
        <w:spacing w:after="0"/>
        <w:ind w:left="0"/>
        <w:jc w:val="both"/>
      </w:pPr>
      <w:r>
        <w:rPr>
          <w:rFonts w:ascii="Times New Roman"/>
          <w:b w:val="false"/>
          <w:i w:val="false"/>
          <w:color w:val="000000"/>
          <w:sz w:val="28"/>
        </w:rPr>
        <w:t>
      республиканского значения – 680,9 км;</w:t>
      </w:r>
    </w:p>
    <w:p>
      <w:pPr>
        <w:spacing w:after="0"/>
        <w:ind w:left="0"/>
        <w:jc w:val="both"/>
      </w:pPr>
      <w:r>
        <w:rPr>
          <w:rFonts w:ascii="Times New Roman"/>
          <w:b w:val="false"/>
          <w:i w:val="false"/>
          <w:color w:val="000000"/>
          <w:sz w:val="28"/>
        </w:rPr>
        <w:t>
      областного значения – 495,2 км;</w:t>
      </w:r>
    </w:p>
    <w:p>
      <w:pPr>
        <w:spacing w:after="0"/>
        <w:ind w:left="0"/>
        <w:jc w:val="both"/>
      </w:pPr>
      <w:r>
        <w:rPr>
          <w:rFonts w:ascii="Times New Roman"/>
          <w:b w:val="false"/>
          <w:i w:val="false"/>
          <w:color w:val="000000"/>
          <w:sz w:val="28"/>
        </w:rPr>
        <w:t xml:space="preserve">
      районного значения – 1176,1 км. </w:t>
      </w:r>
    </w:p>
    <w:p>
      <w:pPr>
        <w:spacing w:after="0"/>
        <w:ind w:left="0"/>
        <w:jc w:val="both"/>
      </w:pPr>
      <w:r>
        <w:rPr>
          <w:rFonts w:ascii="Times New Roman"/>
          <w:b w:val="false"/>
          <w:i w:val="false"/>
          <w:color w:val="000000"/>
          <w:sz w:val="28"/>
        </w:rPr>
        <w:t>
      Проектные площади земель автомобильных дорог общего пользования установлены согласно СП РК 3.03-02-2013 "Отвод земель для автомобильных дорог".</w:t>
      </w:r>
    </w:p>
    <w:p>
      <w:pPr>
        <w:spacing w:after="0"/>
        <w:ind w:left="0"/>
        <w:jc w:val="both"/>
      </w:pPr>
      <w:r>
        <w:rPr>
          <w:rFonts w:ascii="Times New Roman"/>
          <w:b w:val="false"/>
          <w:i w:val="false"/>
          <w:color w:val="000000"/>
          <w:sz w:val="28"/>
        </w:rPr>
        <w:t>
      Для обеспечения безопасности населения и создания условий эксплуатации автомобильных дорог с учетом требований безопасности дорожного движения создаются придорожные полосы в виде прилегающих с обеих сторон к полосам отвода автомобильных дорог общего пользования земельных участков с установлением особого режима их использования.</w:t>
      </w:r>
    </w:p>
    <w:p>
      <w:pPr>
        <w:spacing w:after="0"/>
        <w:ind w:left="0"/>
        <w:jc w:val="both"/>
      </w:pPr>
      <w:r>
        <w:rPr>
          <w:rFonts w:ascii="Times New Roman"/>
          <w:b w:val="false"/>
          <w:i w:val="false"/>
          <w:color w:val="000000"/>
          <w:sz w:val="28"/>
        </w:rPr>
        <w:t>
      Подзона железных дорог</w:t>
      </w:r>
    </w:p>
    <w:p>
      <w:pPr>
        <w:spacing w:after="0"/>
        <w:ind w:left="0"/>
        <w:jc w:val="both"/>
      </w:pPr>
      <w:r>
        <w:rPr>
          <w:rFonts w:ascii="Times New Roman"/>
          <w:b w:val="false"/>
          <w:i w:val="false"/>
          <w:color w:val="000000"/>
          <w:sz w:val="28"/>
        </w:rPr>
        <w:t>
      Существующая железнодорожная сеть Актюбинской агломерации представлена участками железнодорожных магистралей:</w:t>
      </w:r>
    </w:p>
    <w:p>
      <w:pPr>
        <w:spacing w:after="0"/>
        <w:ind w:left="0"/>
        <w:jc w:val="both"/>
      </w:pPr>
      <w:r>
        <w:rPr>
          <w:rFonts w:ascii="Times New Roman"/>
          <w:b w:val="false"/>
          <w:i w:val="false"/>
          <w:color w:val="000000"/>
          <w:sz w:val="28"/>
        </w:rPr>
        <w:t>
      Жайсан – Актобе (в направлении на Западно-Казахстанскую область, город Оренбург Российской Федерации);</w:t>
      </w:r>
    </w:p>
    <w:p>
      <w:pPr>
        <w:spacing w:after="0"/>
        <w:ind w:left="0"/>
        <w:jc w:val="both"/>
      </w:pPr>
      <w:r>
        <w:rPr>
          <w:rFonts w:ascii="Times New Roman"/>
          <w:b w:val="false"/>
          <w:i w:val="false"/>
          <w:color w:val="000000"/>
          <w:sz w:val="28"/>
        </w:rPr>
        <w:t>
      Актобе – Кандыагаш (в направлении на Кызылординскую, Атыраускую области);</w:t>
      </w:r>
    </w:p>
    <w:p>
      <w:pPr>
        <w:spacing w:after="0"/>
        <w:ind w:left="0"/>
        <w:jc w:val="both"/>
      </w:pPr>
      <w:r>
        <w:rPr>
          <w:rFonts w:ascii="Times New Roman"/>
          <w:b w:val="false"/>
          <w:i w:val="false"/>
          <w:color w:val="000000"/>
          <w:sz w:val="28"/>
        </w:rPr>
        <w:t>
      Кандыгаш – Никельтау (в направлении на Северо-Казахстанскую область, город Орск Российской Федерации).</w:t>
      </w:r>
    </w:p>
    <w:p>
      <w:pPr>
        <w:spacing w:after="0"/>
        <w:ind w:left="0"/>
        <w:jc w:val="both"/>
      </w:pPr>
      <w:r>
        <w:rPr>
          <w:rFonts w:ascii="Times New Roman"/>
          <w:b w:val="false"/>
          <w:i w:val="false"/>
          <w:color w:val="000000"/>
          <w:sz w:val="28"/>
        </w:rPr>
        <w:t>
      Общая протяженность железнодорожных линий в пределах Актюбинской агломерации составляет около 676,4 км, в том числе однопутных – 566,8 км, двухпутных – 109,6 км, электрифицированных участков не имеется.</w:t>
      </w:r>
    </w:p>
    <w:p>
      <w:pPr>
        <w:spacing w:after="0"/>
        <w:ind w:left="0"/>
        <w:jc w:val="both"/>
      </w:pPr>
      <w:r>
        <w:rPr>
          <w:rFonts w:ascii="Times New Roman"/>
          <w:b w:val="false"/>
          <w:i w:val="false"/>
          <w:color w:val="000000"/>
          <w:sz w:val="28"/>
        </w:rPr>
        <w:t>
      Проектные площади земель определяются согласно СП РК 3.03-116-2014 "Отвод земель для железных дорог" в целях обеспечения сохранности, устойчивости, прочности железнодорожных сооружений и безопасности движения подвижных составов, местными исполнительными органами, осуществляющими предоставление земельных участков для размещения  железных дорог, устанавливаются контролируемые зоны железных дорог, не включаемые в полосу предоставления железных дорог, в пределах которых запрещаются проектирование и строительство зданий, сооружений, инженерных коммуникаций и других объектов, организаций выпаса скота без предварительного согласования с уполномоченным государственным органом в сфере железнодорожного транспорта:</w:t>
      </w:r>
    </w:p>
    <w:p>
      <w:pPr>
        <w:spacing w:after="0"/>
        <w:ind w:left="0"/>
        <w:jc w:val="both"/>
      </w:pPr>
      <w:r>
        <w:rPr>
          <w:rFonts w:ascii="Times New Roman"/>
          <w:b w:val="false"/>
          <w:i w:val="false"/>
          <w:color w:val="000000"/>
          <w:sz w:val="28"/>
        </w:rPr>
        <w:t>
      за чертой населенных пунктов – на расстоянии 50 метров от полосы предоставления железных дорог в обе стороны;</w:t>
      </w:r>
    </w:p>
    <w:p>
      <w:pPr>
        <w:spacing w:after="0"/>
        <w:ind w:left="0"/>
        <w:jc w:val="both"/>
      </w:pPr>
      <w:r>
        <w:rPr>
          <w:rFonts w:ascii="Times New Roman"/>
          <w:b w:val="false"/>
          <w:i w:val="false"/>
          <w:color w:val="000000"/>
          <w:sz w:val="28"/>
        </w:rPr>
        <w:t>
      в населенных пунктах – на расстоянии 20 метров от полосы предоставления железных дорог в обе стороны.</w:t>
      </w:r>
    </w:p>
    <w:p>
      <w:pPr>
        <w:spacing w:after="0"/>
        <w:ind w:left="0"/>
        <w:jc w:val="both"/>
      </w:pPr>
      <w:r>
        <w:rPr>
          <w:rFonts w:ascii="Times New Roman"/>
          <w:b w:val="false"/>
          <w:i w:val="false"/>
          <w:color w:val="000000"/>
          <w:sz w:val="28"/>
        </w:rPr>
        <w:t>
      Подзона сетей энергетики</w:t>
      </w:r>
    </w:p>
    <w:p>
      <w:pPr>
        <w:spacing w:after="0"/>
        <w:ind w:left="0"/>
        <w:jc w:val="both"/>
      </w:pPr>
      <w:r>
        <w:rPr>
          <w:rFonts w:ascii="Times New Roman"/>
          <w:b w:val="false"/>
          <w:i w:val="false"/>
          <w:color w:val="000000"/>
          <w:sz w:val="28"/>
        </w:rPr>
        <w:t xml:space="preserve">
      К подзоне сетей энергетики относятся территории, на которых расположена энергетическая инфраструктура, в том числе электростанции, линии электропередач, подстанции, распределительные пункты и другое электросетевое хозяйство. </w:t>
      </w:r>
    </w:p>
    <w:p>
      <w:pPr>
        <w:spacing w:after="0"/>
        <w:ind w:left="0"/>
        <w:jc w:val="both"/>
      </w:pPr>
      <w:r>
        <w:rPr>
          <w:rFonts w:ascii="Times New Roman"/>
          <w:b w:val="false"/>
          <w:i w:val="false"/>
          <w:color w:val="000000"/>
          <w:sz w:val="28"/>
        </w:rPr>
        <w:t xml:space="preserve">
      Общая площадь территории охранных зон электрических сетей для воздушных линий электропередач определена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от 28 сентября 2017 года № 330 "Об утверждении Правил установления охранных зон объектов электрических сетей и особых условий использования земельных участков, расположенных в границах таких зон" (зарегистрированному в реестре государственной регистрации нормативных правовых актов за № 115735, опубликованном 7 ноября 2017 года в ИПС "Әділет").</w:t>
      </w:r>
    </w:p>
    <w:p>
      <w:pPr>
        <w:spacing w:after="0"/>
        <w:ind w:left="0"/>
        <w:jc w:val="both"/>
      </w:pPr>
      <w:r>
        <w:rPr>
          <w:rFonts w:ascii="Times New Roman"/>
          <w:b w:val="false"/>
          <w:i w:val="false"/>
          <w:color w:val="000000"/>
          <w:sz w:val="28"/>
        </w:rPr>
        <w:t xml:space="preserve">
      Общая площадь территории охранных зон электрических сетей составляет – 25 563,75 га. </w:t>
      </w:r>
    </w:p>
    <w:p>
      <w:pPr>
        <w:spacing w:after="0"/>
        <w:ind w:left="0"/>
        <w:jc w:val="both"/>
      </w:pPr>
      <w:r>
        <w:rPr>
          <w:rFonts w:ascii="Times New Roman"/>
          <w:b w:val="false"/>
          <w:i w:val="false"/>
          <w:color w:val="000000"/>
          <w:sz w:val="28"/>
        </w:rPr>
        <w:t xml:space="preserve">
      Площадь земель промышленности, транспорта, связи, обороны и иного несельскохозяйственного назначения составляет 28966,7 га. </w:t>
      </w:r>
    </w:p>
    <w:bookmarkStart w:name="z20" w:id="6"/>
    <w:p>
      <w:pPr>
        <w:spacing w:after="0"/>
        <w:ind w:left="0"/>
        <w:jc w:val="both"/>
      </w:pPr>
      <w:r>
        <w:rPr>
          <w:rFonts w:ascii="Times New Roman"/>
          <w:b w:val="false"/>
          <w:i w:val="false"/>
          <w:color w:val="000000"/>
          <w:sz w:val="28"/>
        </w:rPr>
        <w:t>
      1.2 Зоны экстенсивного освоения окружающей природной среды</w:t>
      </w:r>
    </w:p>
    <w:bookmarkEnd w:id="6"/>
    <w:p>
      <w:pPr>
        <w:spacing w:after="0"/>
        <w:ind w:left="0"/>
        <w:jc w:val="both"/>
      </w:pPr>
      <w:r>
        <w:rPr>
          <w:rFonts w:ascii="Times New Roman"/>
          <w:b w:val="false"/>
          <w:i w:val="false"/>
          <w:color w:val="000000"/>
          <w:sz w:val="28"/>
        </w:rPr>
        <w:t>
      Зоны экстенсивного освоения окружающей природной среды включают подзоны интенсивной и экстенсивной сельскохозяйственной деятельности.</w:t>
      </w:r>
    </w:p>
    <w:p>
      <w:pPr>
        <w:spacing w:after="0"/>
        <w:ind w:left="0"/>
        <w:jc w:val="both"/>
      </w:pPr>
      <w:r>
        <w:rPr>
          <w:rFonts w:ascii="Times New Roman"/>
          <w:b w:val="false"/>
          <w:i w:val="false"/>
          <w:color w:val="000000"/>
          <w:sz w:val="28"/>
        </w:rPr>
        <w:t xml:space="preserve">
      На начало 2017 года земли сельскохозяйственного назначения занимают 2253681 га, в том числе пахотные земли – 341582 га, из них орошаемые – 25241 га, сенокосы – 58304 га, пастбища – 1506642 га. </w:t>
      </w:r>
    </w:p>
    <w:p>
      <w:pPr>
        <w:spacing w:after="0"/>
        <w:ind w:left="0"/>
        <w:jc w:val="both"/>
      </w:pPr>
      <w:r>
        <w:rPr>
          <w:rFonts w:ascii="Times New Roman"/>
          <w:b w:val="false"/>
          <w:i w:val="false"/>
          <w:color w:val="000000"/>
          <w:sz w:val="28"/>
        </w:rPr>
        <w:t>
      В связи с перспективой развития животноводства пастбища из категории земель запаса городской администрации Актобе (30000 га), Алгинского (30000 га), Каргалинского (1877 га), Мартукского (35000 га), Мугалжарского (35000 га), Хобдинского (30573 га) и Хромтауского (40550 га) районов к 2030 году необходимо перевести в земли сельскохозяйственного назначения или использовать как отгонные пастбища.</w:t>
      </w:r>
    </w:p>
    <w:p>
      <w:pPr>
        <w:spacing w:after="0"/>
        <w:ind w:left="0"/>
        <w:jc w:val="both"/>
      </w:pPr>
      <w:r>
        <w:rPr>
          <w:rFonts w:ascii="Times New Roman"/>
          <w:b w:val="false"/>
          <w:i w:val="false"/>
          <w:color w:val="000000"/>
          <w:sz w:val="28"/>
        </w:rPr>
        <w:t>
      Пахотные залежные земли, находящиеся в землях запаса и специального земельного фонда площадью 58249 га рекомендуется вовлечь в сельскохозяйственный оборот с условием внедрения на всей территории адаптивно-ландшафтного подхода с целью предотвращения деградационных процессов, сохранения и приумножения зеленых насаждений.</w:t>
      </w:r>
    </w:p>
    <w:p>
      <w:pPr>
        <w:spacing w:after="0"/>
        <w:ind w:left="0"/>
        <w:jc w:val="both"/>
      </w:pPr>
      <w:r>
        <w:rPr>
          <w:rFonts w:ascii="Times New Roman"/>
          <w:b w:val="false"/>
          <w:i w:val="false"/>
          <w:color w:val="000000"/>
          <w:sz w:val="28"/>
        </w:rPr>
        <w:t>
      На 2030 год предусматривается рост сельскохозяйственных земель до 2514930 га за счет вовлечения земель залежи и запаса в сельскохозяйственный оборот.</w:t>
      </w:r>
    </w:p>
    <w:bookmarkStart w:name="z21" w:id="7"/>
    <w:p>
      <w:pPr>
        <w:spacing w:after="0"/>
        <w:ind w:left="0"/>
        <w:jc w:val="both"/>
      </w:pPr>
      <w:r>
        <w:rPr>
          <w:rFonts w:ascii="Times New Roman"/>
          <w:b w:val="false"/>
          <w:i w:val="false"/>
          <w:color w:val="000000"/>
          <w:sz w:val="28"/>
        </w:rPr>
        <w:t>
      1.3 Зоны ограниченного хозяйственного освоения и максимально сохраняемой природной среды</w:t>
      </w:r>
    </w:p>
    <w:bookmarkEnd w:id="7"/>
    <w:p>
      <w:pPr>
        <w:spacing w:after="0"/>
        <w:ind w:left="0"/>
        <w:jc w:val="both"/>
      </w:pPr>
      <w:r>
        <w:rPr>
          <w:rFonts w:ascii="Times New Roman"/>
          <w:b w:val="false"/>
          <w:i w:val="false"/>
          <w:color w:val="000000"/>
          <w:sz w:val="28"/>
        </w:rPr>
        <w:t>
      Основным принципом функционального зонирования территории ограниченного хозяйственного освоения является установление режима, не допускающего развития и размещения в ней промышленных или сельскохозяйственных производств, других видов эксплуатации природных ресурсов, способных нанести значительный вред естественному или культурному ландшафту.</w:t>
      </w:r>
    </w:p>
    <w:p>
      <w:pPr>
        <w:spacing w:after="0"/>
        <w:ind w:left="0"/>
        <w:jc w:val="both"/>
      </w:pPr>
      <w:r>
        <w:rPr>
          <w:rFonts w:ascii="Times New Roman"/>
          <w:b w:val="false"/>
          <w:i w:val="false"/>
          <w:color w:val="000000"/>
          <w:sz w:val="28"/>
        </w:rPr>
        <w:t>
      Особо охраняемые природные территории</w:t>
      </w:r>
    </w:p>
    <w:p>
      <w:pPr>
        <w:spacing w:after="0"/>
        <w:ind w:left="0"/>
        <w:jc w:val="both"/>
      </w:pPr>
      <w:r>
        <w:rPr>
          <w:rFonts w:ascii="Times New Roman"/>
          <w:b w:val="false"/>
          <w:i w:val="false"/>
          <w:color w:val="000000"/>
          <w:sz w:val="28"/>
        </w:rPr>
        <w:t>
      По состоянию на 2017 год земли особо охраняемых природных территорий (далее – ООПТ) в зоне перспективного экономического влияния и потенциального развития Актюбинской агломерации составляют 217 566,2 га.</w:t>
      </w:r>
    </w:p>
    <w:p>
      <w:pPr>
        <w:spacing w:after="0"/>
        <w:ind w:left="0"/>
        <w:jc w:val="both"/>
      </w:pPr>
      <w:r>
        <w:rPr>
          <w:rFonts w:ascii="Times New Roman"/>
          <w:b w:val="false"/>
          <w:i w:val="false"/>
          <w:color w:val="000000"/>
          <w:sz w:val="28"/>
        </w:rPr>
        <w:t>
      Для сохранения лесных ресурсов и биоразнообразия Актюбинской агломерации предлагается создание новых ООПТ, а также включение в экологическую сеть в виде объектов природно-заповедного фонда – ключевых орнитологических территорий.</w:t>
      </w:r>
    </w:p>
    <w:p>
      <w:pPr>
        <w:spacing w:after="0"/>
        <w:ind w:left="0"/>
        <w:jc w:val="both"/>
      </w:pPr>
      <w:r>
        <w:rPr>
          <w:rFonts w:ascii="Times New Roman"/>
          <w:b w:val="false"/>
          <w:i w:val="false"/>
          <w:color w:val="000000"/>
          <w:sz w:val="28"/>
        </w:rPr>
        <w:t>
      К 2030 году предлагаются создание государственного регионального природного парка "Каргалинсий" в Каргалинском районе, тем самым площадь ООПТ увеличится на 25 000 га, а также организация 11 государственных памятников природы местного значения.</w:t>
      </w:r>
    </w:p>
    <w:p>
      <w:pPr>
        <w:spacing w:after="0"/>
        <w:ind w:left="0"/>
        <w:jc w:val="both"/>
      </w:pPr>
      <w:r>
        <w:rPr>
          <w:rFonts w:ascii="Times New Roman"/>
          <w:b w:val="false"/>
          <w:i w:val="false"/>
          <w:color w:val="000000"/>
          <w:sz w:val="28"/>
        </w:rPr>
        <w:t>
      Земли лесного фонда</w:t>
      </w:r>
    </w:p>
    <w:p>
      <w:pPr>
        <w:spacing w:after="0"/>
        <w:ind w:left="0"/>
        <w:jc w:val="both"/>
      </w:pPr>
      <w:r>
        <w:rPr>
          <w:rFonts w:ascii="Times New Roman"/>
          <w:b w:val="false"/>
          <w:i w:val="false"/>
          <w:color w:val="000000"/>
          <w:sz w:val="28"/>
        </w:rPr>
        <w:t xml:space="preserve">
      Землями лесного фонда признаются земельные участки, покрытые лесом, а также не покрытые лесом, но предоставленные для нужд лесного хозяйства. </w:t>
      </w:r>
    </w:p>
    <w:p>
      <w:pPr>
        <w:spacing w:after="0"/>
        <w:ind w:left="0"/>
        <w:jc w:val="both"/>
      </w:pPr>
      <w:r>
        <w:rPr>
          <w:rFonts w:ascii="Times New Roman"/>
          <w:b w:val="false"/>
          <w:i w:val="false"/>
          <w:color w:val="000000"/>
          <w:sz w:val="28"/>
        </w:rPr>
        <w:t xml:space="preserve">
      На начало 2017 года земли лесного фонда в зоне перспективного экономического влияния и потенциального развития Актюбинской агломерации составляют 41603 га. </w:t>
      </w:r>
    </w:p>
    <w:p>
      <w:pPr>
        <w:spacing w:after="0"/>
        <w:ind w:left="0"/>
        <w:jc w:val="both"/>
      </w:pPr>
      <w:r>
        <w:rPr>
          <w:rFonts w:ascii="Times New Roman"/>
          <w:b w:val="false"/>
          <w:i w:val="false"/>
          <w:color w:val="000000"/>
          <w:sz w:val="28"/>
        </w:rPr>
        <w:t>
      Для охраны зеленых насаждений на территории агломерации необходимо проведение работ по увеличению площадей зеленых зон города Актобе и районов до 4385 га к 2020 году, 17100 га к 2030 году.</w:t>
      </w:r>
    </w:p>
    <w:p>
      <w:pPr>
        <w:spacing w:after="0"/>
        <w:ind w:left="0"/>
        <w:jc w:val="both"/>
      </w:pPr>
      <w:r>
        <w:rPr>
          <w:rFonts w:ascii="Times New Roman"/>
          <w:b w:val="false"/>
          <w:i w:val="false"/>
          <w:color w:val="000000"/>
          <w:sz w:val="28"/>
        </w:rPr>
        <w:t>
      Принимаемые меры позволят стабилизировать и улучшить экологическое состояние Актюбинской агломерации.</w:t>
      </w:r>
    </w:p>
    <w:bookmarkStart w:name="z22" w:id="8"/>
    <w:p>
      <w:pPr>
        <w:spacing w:after="0"/>
        <w:ind w:left="0"/>
        <w:jc w:val="both"/>
      </w:pPr>
      <w:r>
        <w:rPr>
          <w:rFonts w:ascii="Times New Roman"/>
          <w:b w:val="false"/>
          <w:i w:val="false"/>
          <w:color w:val="000000"/>
          <w:sz w:val="28"/>
        </w:rPr>
        <w:t>
      1.4 Зоны с особыми регламентами хозяйственной деятельности</w:t>
      </w:r>
    </w:p>
    <w:bookmarkEnd w:id="8"/>
    <w:p>
      <w:pPr>
        <w:spacing w:after="0"/>
        <w:ind w:left="0"/>
        <w:jc w:val="both"/>
      </w:pPr>
      <w:r>
        <w:rPr>
          <w:rFonts w:ascii="Times New Roman"/>
          <w:b w:val="false"/>
          <w:i w:val="false"/>
          <w:color w:val="000000"/>
          <w:sz w:val="28"/>
        </w:rPr>
        <w:t>
      Подзоны магистральных газопроводов</w:t>
      </w:r>
    </w:p>
    <w:p>
      <w:pPr>
        <w:spacing w:after="0"/>
        <w:ind w:left="0"/>
        <w:jc w:val="both"/>
      </w:pPr>
      <w:r>
        <w:rPr>
          <w:rFonts w:ascii="Times New Roman"/>
          <w:b w:val="false"/>
          <w:i w:val="false"/>
          <w:color w:val="000000"/>
          <w:sz w:val="28"/>
        </w:rPr>
        <w:t>
      Актюбинская область располагает значительными топливно-энергетическими ресурсами, наибольшая доля, из которых приходится на углеводородное сырье более 50%.</w:t>
      </w:r>
    </w:p>
    <w:p>
      <w:pPr>
        <w:spacing w:after="0"/>
        <w:ind w:left="0"/>
        <w:jc w:val="both"/>
      </w:pPr>
      <w:r>
        <w:rPr>
          <w:rFonts w:ascii="Times New Roman"/>
          <w:b w:val="false"/>
          <w:i w:val="false"/>
          <w:color w:val="000000"/>
          <w:sz w:val="28"/>
        </w:rPr>
        <w:t xml:space="preserve">
      Потребление ТЭР область обеспечивает на 80% из собственных ресурсов. Газификация населенных пунктов области позволяет решить комплекс социально-экономических и экологических задач Актюбинской агломерации. </w:t>
      </w:r>
    </w:p>
    <w:p>
      <w:pPr>
        <w:spacing w:after="0"/>
        <w:ind w:left="0"/>
        <w:jc w:val="both"/>
      </w:pPr>
      <w:r>
        <w:rPr>
          <w:rFonts w:ascii="Times New Roman"/>
          <w:b w:val="false"/>
          <w:i w:val="false"/>
          <w:color w:val="000000"/>
          <w:sz w:val="28"/>
        </w:rPr>
        <w:t>
      По территории области проходят два магистральных газопровода: 2 нитки "Бухара - Урал" и "Жанажол-Актобе".</w:t>
      </w:r>
    </w:p>
    <w:p>
      <w:pPr>
        <w:spacing w:after="0"/>
        <w:ind w:left="0"/>
        <w:jc w:val="both"/>
      </w:pPr>
      <w:r>
        <w:rPr>
          <w:rFonts w:ascii="Times New Roman"/>
          <w:b w:val="false"/>
          <w:i w:val="false"/>
          <w:color w:val="000000"/>
          <w:sz w:val="28"/>
        </w:rPr>
        <w:t xml:space="preserve">
      Общая протяженность газопроводов высокого, среднего и низкого давления по области составляет 3454,5 км, в том числе магистральных 2520 км. </w:t>
      </w:r>
    </w:p>
    <w:p>
      <w:pPr>
        <w:spacing w:after="0"/>
        <w:ind w:left="0"/>
        <w:jc w:val="both"/>
      </w:pPr>
      <w:r>
        <w:rPr>
          <w:rFonts w:ascii="Times New Roman"/>
          <w:b w:val="false"/>
          <w:i w:val="false"/>
          <w:color w:val="000000"/>
          <w:sz w:val="28"/>
        </w:rPr>
        <w:t xml:space="preserve">
      Земли водного фонда </w:t>
      </w:r>
    </w:p>
    <w:p>
      <w:pPr>
        <w:spacing w:after="0"/>
        <w:ind w:left="0"/>
        <w:jc w:val="both"/>
      </w:pPr>
      <w:r>
        <w:rPr>
          <w:rFonts w:ascii="Times New Roman"/>
          <w:b w:val="false"/>
          <w:i w:val="false"/>
          <w:color w:val="000000"/>
          <w:sz w:val="28"/>
        </w:rPr>
        <w:t>
      По состоянию на начало 2016 года площади земель водного фонда в зоне перспективного экономического влияния и потенциального развития Актюбинской агломерации составляют 6667 га.</w:t>
      </w:r>
    </w:p>
    <w:p>
      <w:pPr>
        <w:spacing w:after="0"/>
        <w:ind w:left="0"/>
        <w:jc w:val="both"/>
      </w:pPr>
      <w:r>
        <w:rPr>
          <w:rFonts w:ascii="Times New Roman"/>
          <w:b w:val="false"/>
          <w:i w:val="false"/>
          <w:color w:val="000000"/>
          <w:sz w:val="28"/>
        </w:rPr>
        <w:t>
      Водоохранные зоны и полосы для водных объектов на территории Актюбинской агломерации установлены согласно действующим нормативным правовым актам.</w:t>
      </w:r>
    </w:p>
    <w:p>
      <w:pPr>
        <w:spacing w:after="0"/>
        <w:ind w:left="0"/>
        <w:jc w:val="both"/>
      </w:pPr>
      <w:r>
        <w:rPr>
          <w:rFonts w:ascii="Times New Roman"/>
          <w:b w:val="false"/>
          <w:i w:val="false"/>
          <w:color w:val="000000"/>
          <w:sz w:val="28"/>
        </w:rPr>
        <w:t xml:space="preserve">
      Водоохранные зоны и полосы водных объектов, по которым отсутствуют разработанные проекты, должны быть приняты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18 мая 2015 года № 19 – 1/446 "Об утверждении Правил установления водоохранных зон и полос" (зарегистрированному в реестре государственной регистрации нормативных правовых актов за № 92931, опубликованном 21 августа 2015 года в ИПС "Әділет").</w:t>
      </w:r>
    </w:p>
    <w:p>
      <w:pPr>
        <w:spacing w:after="0"/>
        <w:ind w:left="0"/>
        <w:jc w:val="both"/>
      </w:pPr>
      <w:r>
        <w:rPr>
          <w:rFonts w:ascii="Times New Roman"/>
          <w:b w:val="false"/>
          <w:i w:val="false"/>
          <w:color w:val="000000"/>
          <w:sz w:val="28"/>
        </w:rPr>
        <w:t>
      водоохранная зона для малых рек (длиной 200 км) – 500 м;</w:t>
      </w:r>
    </w:p>
    <w:p>
      <w:pPr>
        <w:spacing w:after="0"/>
        <w:ind w:left="0"/>
        <w:jc w:val="both"/>
      </w:pPr>
      <w:r>
        <w:rPr>
          <w:rFonts w:ascii="Times New Roman"/>
          <w:b w:val="false"/>
          <w:i w:val="false"/>
          <w:color w:val="000000"/>
          <w:sz w:val="28"/>
        </w:rPr>
        <w:t>
      для рек с простыми условиями хозяйственного использования и благоприятной экологической обстановкой на водосборе – 500 метров, со сложными условиями хозяйственного использования и при напряженной экологической обстановке на водосборе – 1000 метров.</w:t>
      </w:r>
    </w:p>
    <w:p>
      <w:pPr>
        <w:spacing w:after="0"/>
        <w:ind w:left="0"/>
        <w:jc w:val="both"/>
      </w:pPr>
      <w:r>
        <w:rPr>
          <w:rFonts w:ascii="Times New Roman"/>
          <w:b w:val="false"/>
          <w:i w:val="false"/>
          <w:color w:val="000000"/>
          <w:sz w:val="28"/>
        </w:rPr>
        <w:t>
      Территории, на которых расположены исторические памятники и сооружения</w:t>
      </w:r>
    </w:p>
    <w:p>
      <w:pPr>
        <w:spacing w:after="0"/>
        <w:ind w:left="0"/>
        <w:jc w:val="both"/>
      </w:pPr>
      <w:r>
        <w:rPr>
          <w:rFonts w:ascii="Times New Roman"/>
          <w:b w:val="false"/>
          <w:i w:val="false"/>
          <w:color w:val="000000"/>
          <w:sz w:val="28"/>
        </w:rPr>
        <w:t xml:space="preserve">
      Актюбинская агломерация обладает богатым историко-культурным наследием. На исследуемой территории сосредоточена значительная и уникальнейшая часть культурного достояния страны. </w:t>
      </w:r>
    </w:p>
    <w:p>
      <w:pPr>
        <w:spacing w:after="0"/>
        <w:ind w:left="0"/>
        <w:jc w:val="both"/>
      </w:pPr>
      <w:r>
        <w:rPr>
          <w:rFonts w:ascii="Times New Roman"/>
          <w:b w:val="false"/>
          <w:i w:val="false"/>
          <w:color w:val="000000"/>
          <w:sz w:val="28"/>
        </w:rPr>
        <w:t>
      На начало 2017 года в Актюбинской области 9 объектов архитектурного наследия включены в государственный список памятников истории и культуры республиканского значения Казахстана, из них на территории перспективного экономического влияния и потенциального развития Актюбинской агломерации расположены 4 объекта, 3 – в городе Актобе и 1 – в Мугалжарском районе.</w:t>
      </w:r>
    </w:p>
    <w:p>
      <w:pPr>
        <w:spacing w:after="0"/>
        <w:ind w:left="0"/>
        <w:jc w:val="both"/>
      </w:pPr>
      <w:r>
        <w:rPr>
          <w:rFonts w:ascii="Times New Roman"/>
          <w:b w:val="false"/>
          <w:i w:val="false"/>
          <w:color w:val="000000"/>
          <w:sz w:val="28"/>
        </w:rPr>
        <w:t>
      650 уникальных памятников вошли в государственный список памятников истории и культуры местного значения в соответствии с постановлением акимата Актюбинской области от 4 июня 2010 года № 180. Из них – 544 памятника археологии, 99 памятник градостроительства и архитектуры, 7 ансамблей. На территории перспективного экономического влияния и потенциального развития Актюбинской агломерации расположены 521 памятников местного значения.</w:t>
      </w:r>
    </w:p>
    <w:p>
      <w:pPr>
        <w:spacing w:after="0"/>
        <w:ind w:left="0"/>
        <w:jc w:val="both"/>
      </w:pPr>
      <w:r>
        <w:rPr>
          <w:rFonts w:ascii="Times New Roman"/>
          <w:b w:val="false"/>
          <w:i w:val="false"/>
          <w:color w:val="000000"/>
          <w:sz w:val="28"/>
        </w:rPr>
        <w:t>
      На территории агломерации насчитывается 3 памятника каменного века, 94 памятников эпохи бронзы, 309 памятников раннего железного века, 50 памятников Великого Шелкового пути и эпохи средних веков, 60 памятников архитектуры и градостроительства.</w:t>
      </w:r>
    </w:p>
    <w:p>
      <w:pPr>
        <w:spacing w:after="0"/>
        <w:ind w:left="0"/>
        <w:jc w:val="both"/>
      </w:pPr>
      <w:r>
        <w:rPr>
          <w:rFonts w:ascii="Times New Roman"/>
          <w:b w:val="false"/>
          <w:i w:val="false"/>
          <w:color w:val="000000"/>
          <w:sz w:val="28"/>
        </w:rPr>
        <w:t>
      Функциональное зонирование территории и выявленные градостроительные регламенты легли в основу проектных предложений территориального развития региона.</w:t>
      </w:r>
    </w:p>
    <w:p>
      <w:pPr>
        <w:spacing w:after="0"/>
        <w:ind w:left="0"/>
        <w:jc w:val="both"/>
      </w:pPr>
      <w:r>
        <w:rPr>
          <w:rFonts w:ascii="Times New Roman"/>
          <w:b w:val="false"/>
          <w:i w:val="false"/>
          <w:color w:val="000000"/>
          <w:sz w:val="28"/>
        </w:rPr>
        <w:t xml:space="preserve">
      Прогнозный земельный баланс представлен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Межрегиональной схеме. </w:t>
      </w:r>
    </w:p>
    <w:bookmarkStart w:name="z23" w:id="9"/>
    <w:p>
      <w:pPr>
        <w:spacing w:after="0"/>
        <w:ind w:left="0"/>
        <w:jc w:val="left"/>
      </w:pPr>
      <w:r>
        <w:rPr>
          <w:rFonts w:ascii="Times New Roman"/>
          <w:b/>
          <w:i w:val="false"/>
          <w:color w:val="000000"/>
        </w:rPr>
        <w:t xml:space="preserve"> 2. Градостроительное освоение и развитие территории</w:t>
      </w:r>
    </w:p>
    <w:bookmarkEnd w:id="9"/>
    <w:p>
      <w:pPr>
        <w:spacing w:after="0"/>
        <w:ind w:left="0"/>
        <w:jc w:val="both"/>
      </w:pPr>
      <w:r>
        <w:rPr>
          <w:rFonts w:ascii="Times New Roman"/>
          <w:b w:val="false"/>
          <w:i w:val="false"/>
          <w:color w:val="000000"/>
          <w:sz w:val="28"/>
        </w:rPr>
        <w:t>
      Градостроительное освоение и развитие территории Актюбинской агломерации должно осуществляться с четким соблюдением функционального зонирования в соответствии с критериями ценности и целесообразности ведения сельскохозяйственной, рекреационной, природоохранной, промышленной и строительной деятельности.</w:t>
      </w:r>
    </w:p>
    <w:p>
      <w:pPr>
        <w:spacing w:after="0"/>
        <w:ind w:left="0"/>
        <w:jc w:val="both"/>
      </w:pPr>
      <w:r>
        <w:rPr>
          <w:rFonts w:ascii="Times New Roman"/>
          <w:b w:val="false"/>
          <w:i w:val="false"/>
          <w:color w:val="000000"/>
          <w:sz w:val="28"/>
        </w:rPr>
        <w:t>
      Первоочередные направления градостроительного освоения территории Актюбинской агломерации включают комплекс проектных предложений по расселению населения региона, размещению производительных сил, развитию инженерно-транспортной инфраструктуры, реализации мероприятий по инженерной защите территорий и охране окружающей среды региона и зонирования территории по функциональному назначению.</w:t>
      </w:r>
    </w:p>
    <w:p>
      <w:pPr>
        <w:spacing w:after="0"/>
        <w:ind w:left="0"/>
        <w:jc w:val="both"/>
      </w:pPr>
      <w:r>
        <w:rPr>
          <w:rFonts w:ascii="Times New Roman"/>
          <w:b w:val="false"/>
          <w:i w:val="false"/>
          <w:color w:val="000000"/>
          <w:sz w:val="28"/>
        </w:rPr>
        <w:t>
      Приоритетность градостроительного освоения территории будет осуществляться по зонам, где агломерационные процессы согласно плотности населения и расположению относительно к центру (-ам) агломерации имеют интенсивные, активные, слабые трудовые и производственные связи.</w:t>
      </w:r>
    </w:p>
    <w:p>
      <w:pPr>
        <w:spacing w:after="0"/>
        <w:ind w:left="0"/>
        <w:jc w:val="both"/>
      </w:pPr>
      <w:r>
        <w:rPr>
          <w:rFonts w:ascii="Times New Roman"/>
          <w:b w:val="false"/>
          <w:i w:val="false"/>
          <w:color w:val="000000"/>
          <w:sz w:val="28"/>
        </w:rPr>
        <w:t>
      Площадь зоны формирования агломерационных процессов составляет 997 тыс. га, из них:</w:t>
      </w:r>
    </w:p>
    <w:p>
      <w:pPr>
        <w:spacing w:after="0"/>
        <w:ind w:left="0"/>
        <w:jc w:val="both"/>
      </w:pPr>
      <w:r>
        <w:rPr>
          <w:rFonts w:ascii="Times New Roman"/>
          <w:b w:val="false"/>
          <w:i w:val="false"/>
          <w:color w:val="000000"/>
          <w:sz w:val="28"/>
        </w:rPr>
        <w:t>
      зона интенсивных агломерационных процессов – 271 974 га;</w:t>
      </w:r>
    </w:p>
    <w:p>
      <w:pPr>
        <w:spacing w:after="0"/>
        <w:ind w:left="0"/>
        <w:jc w:val="both"/>
      </w:pPr>
      <w:r>
        <w:rPr>
          <w:rFonts w:ascii="Times New Roman"/>
          <w:b w:val="false"/>
          <w:i w:val="false"/>
          <w:color w:val="000000"/>
          <w:sz w:val="28"/>
        </w:rPr>
        <w:t>
      зона активных агломерационных процессов – 487 423 га (без учета зоны интенсивных агломерационных процессов);</w:t>
      </w:r>
    </w:p>
    <w:p>
      <w:pPr>
        <w:spacing w:after="0"/>
        <w:ind w:left="0"/>
        <w:jc w:val="both"/>
      </w:pPr>
      <w:r>
        <w:rPr>
          <w:rFonts w:ascii="Times New Roman"/>
          <w:b w:val="false"/>
          <w:i w:val="false"/>
          <w:color w:val="000000"/>
          <w:sz w:val="28"/>
        </w:rPr>
        <w:t xml:space="preserve">
      зона слабых агломерационных процессов – 237 603 га (без учета зон интенсивных и активных агломерационных процессов). </w:t>
      </w:r>
    </w:p>
    <w:p>
      <w:pPr>
        <w:spacing w:after="0"/>
        <w:ind w:left="0"/>
        <w:jc w:val="both"/>
      </w:pPr>
      <w:r>
        <w:rPr>
          <w:rFonts w:ascii="Times New Roman"/>
          <w:b w:val="false"/>
          <w:i w:val="false"/>
          <w:color w:val="000000"/>
          <w:sz w:val="28"/>
        </w:rPr>
        <w:t>
      Регулирование градостроительного освоения, развитие и зонирование территорий населенных пунктов, входящих в состав Актюбинской агломерации, предусмотрены в утвержденных генеральных планах городов и населенных пунктов.</w:t>
      </w:r>
    </w:p>
    <w:bookmarkStart w:name="z24" w:id="10"/>
    <w:p>
      <w:pPr>
        <w:spacing w:after="0"/>
        <w:ind w:left="0"/>
        <w:jc w:val="left"/>
      </w:pPr>
      <w:r>
        <w:rPr>
          <w:rFonts w:ascii="Times New Roman"/>
          <w:b/>
          <w:i w:val="false"/>
          <w:color w:val="000000"/>
        </w:rPr>
        <w:t xml:space="preserve"> 3. Меры по комплексному развитию системы расселения и размещения производительных сил, транспортной, инженерной, социальной и рекреационной инфраструктур регионального и межрегионального значения</w:t>
      </w:r>
    </w:p>
    <w:bookmarkEnd w:id="10"/>
    <w:bookmarkStart w:name="z25" w:id="11"/>
    <w:p>
      <w:pPr>
        <w:spacing w:after="0"/>
        <w:ind w:left="0"/>
        <w:jc w:val="left"/>
      </w:pPr>
      <w:r>
        <w:rPr>
          <w:rFonts w:ascii="Times New Roman"/>
          <w:b/>
          <w:i w:val="false"/>
          <w:color w:val="000000"/>
        </w:rPr>
        <w:t xml:space="preserve"> Меры совершенствования системы расселения населения</w:t>
      </w:r>
    </w:p>
    <w:bookmarkEnd w:id="11"/>
    <w:p>
      <w:pPr>
        <w:spacing w:after="0"/>
        <w:ind w:left="0"/>
        <w:jc w:val="both"/>
      </w:pPr>
      <w:r>
        <w:rPr>
          <w:rFonts w:ascii="Times New Roman"/>
          <w:b w:val="false"/>
          <w:i w:val="false"/>
          <w:color w:val="000000"/>
          <w:sz w:val="28"/>
        </w:rPr>
        <w:t>
      Актюбинская агломерация определена как перспективная агломерация страны и выступает в качестве потенциального агломерационного центра на западе страны.</w:t>
      </w:r>
    </w:p>
    <w:p>
      <w:pPr>
        <w:spacing w:after="0"/>
        <w:ind w:left="0"/>
        <w:jc w:val="both"/>
      </w:pPr>
      <w:r>
        <w:rPr>
          <w:rFonts w:ascii="Times New Roman"/>
          <w:b w:val="false"/>
          <w:i w:val="false"/>
          <w:color w:val="000000"/>
          <w:sz w:val="28"/>
        </w:rPr>
        <w:t xml:space="preserve">
      На территории Актюбинской агломерации на 1 июля 2017 года проживало 634,8 тысяч человек. При этом в городской местности – 495,1 тысяч человек (78,0%), в сельской местности – 139,7 тысяч человек (22,0%). </w:t>
      </w:r>
    </w:p>
    <w:p>
      <w:pPr>
        <w:spacing w:after="0"/>
        <w:ind w:left="0"/>
        <w:jc w:val="both"/>
      </w:pPr>
      <w:r>
        <w:rPr>
          <w:rFonts w:ascii="Times New Roman"/>
          <w:b w:val="false"/>
          <w:i w:val="false"/>
          <w:color w:val="000000"/>
          <w:sz w:val="28"/>
        </w:rPr>
        <w:t xml:space="preserve">
      Для Актюбинской агломерации характерен высокий уровень урбанизации (78,0%). Однако в регионе наблюдается низкая плотность населения 63,6 человек на кв. км (Алматинская – 255,5, Шымкентская – 184,8, Астанинская – 48,0). </w:t>
      </w:r>
    </w:p>
    <w:p>
      <w:pPr>
        <w:spacing w:after="0"/>
        <w:ind w:left="0"/>
        <w:jc w:val="both"/>
      </w:pPr>
      <w:r>
        <w:rPr>
          <w:rFonts w:ascii="Times New Roman"/>
          <w:b w:val="false"/>
          <w:i w:val="false"/>
          <w:color w:val="000000"/>
          <w:sz w:val="28"/>
        </w:rPr>
        <w:t xml:space="preserve">
      Сложившемуся планировочному каркасу расселения населения характерна радиально-лучевая направленность системы его транспортных связей с пригородными населенными пунктами. </w:t>
      </w:r>
    </w:p>
    <w:p>
      <w:pPr>
        <w:spacing w:after="0"/>
        <w:ind w:left="0"/>
        <w:jc w:val="both"/>
      </w:pPr>
      <w:r>
        <w:rPr>
          <w:rFonts w:ascii="Times New Roman"/>
          <w:b w:val="false"/>
          <w:i w:val="false"/>
          <w:color w:val="000000"/>
          <w:sz w:val="28"/>
        </w:rPr>
        <w:t>
      Положительная динамика численности населения агломерации связана, в первую очередь, с естественным приростом населения. Коэффициент естественного прироста городов и районов, входящих в состав Актюбинской агломерации, колеблется от 4,96 человек на 1000 жителей в Хобдинском районе до 19,80 человек на 1000 жителей в городской администрации Актобе. Миграционный прирост за 2016 год составил 1604 человек.</w:t>
      </w:r>
    </w:p>
    <w:p>
      <w:pPr>
        <w:spacing w:after="0"/>
        <w:ind w:left="0"/>
        <w:jc w:val="both"/>
      </w:pPr>
      <w:r>
        <w:rPr>
          <w:rFonts w:ascii="Times New Roman"/>
          <w:b w:val="false"/>
          <w:i w:val="false"/>
          <w:color w:val="000000"/>
          <w:sz w:val="28"/>
        </w:rPr>
        <w:t xml:space="preserve">
      Возрастная структура Актюбинской агломерации представлена высокой долей населения в трудоспособном возрасте – 64,4% (при среднереспубликанском – 60,8%), тогда как доля детей составила 26,0%, а доля населения старше трудоспособного возраста – 9,6%. </w:t>
      </w:r>
    </w:p>
    <w:p>
      <w:pPr>
        <w:spacing w:after="0"/>
        <w:ind w:left="0"/>
        <w:jc w:val="both"/>
      </w:pPr>
      <w:r>
        <w:rPr>
          <w:rFonts w:ascii="Times New Roman"/>
          <w:b w:val="false"/>
          <w:i w:val="false"/>
          <w:color w:val="000000"/>
          <w:sz w:val="28"/>
        </w:rPr>
        <w:t xml:space="preserve">
      Из числа 112 населенных пунктов в зоне перспективного развития агломерационных связей 108 населенных пунктов являются сельскими (96,4%). </w:t>
      </w:r>
    </w:p>
    <w:p>
      <w:pPr>
        <w:spacing w:after="0"/>
        <w:ind w:left="0"/>
        <w:jc w:val="both"/>
      </w:pPr>
      <w:r>
        <w:rPr>
          <w:rFonts w:ascii="Times New Roman"/>
          <w:b w:val="false"/>
          <w:i w:val="false"/>
          <w:color w:val="000000"/>
          <w:sz w:val="28"/>
        </w:rPr>
        <w:t>
      На территории Актюбинской агломерации преобладают средние и малые села по численности населения. Из числа сельских населенных пунктов, входящих в состав Актюбинской агломерации крупные села составляют 9,3%, большие – 21,3%, средние – 49,1% и малые – 20,4%.</w:t>
      </w:r>
    </w:p>
    <w:p>
      <w:pPr>
        <w:spacing w:after="0"/>
        <w:ind w:left="0"/>
        <w:jc w:val="both"/>
      </w:pPr>
      <w:r>
        <w:rPr>
          <w:rFonts w:ascii="Times New Roman"/>
          <w:b w:val="false"/>
          <w:i w:val="false"/>
          <w:color w:val="000000"/>
          <w:sz w:val="28"/>
        </w:rPr>
        <w:t xml:space="preserve">
      Средняя людность сельских населенных пунктов (далее – СНП) по агломерации составляет 1240 человек. Густота сети СНП в среднем по агломерации составила 8,3 населенных пунктов на 1000 кв. км территории. Среднее расстояние между населенными пунктами и ядром агломерации составляет 63 км. Среднее расстояние между СНП агломераций - 11 км. </w:t>
      </w:r>
    </w:p>
    <w:p>
      <w:pPr>
        <w:spacing w:after="0"/>
        <w:ind w:left="0"/>
        <w:jc w:val="both"/>
      </w:pPr>
      <w:r>
        <w:rPr>
          <w:rFonts w:ascii="Times New Roman"/>
          <w:b w:val="false"/>
          <w:i w:val="false"/>
          <w:color w:val="000000"/>
          <w:sz w:val="28"/>
        </w:rPr>
        <w:t xml:space="preserve">
      В целом, в системе СНП к расчетному сроку ожидается рост численности сельского населения. При этом ожидается увеличение количества больших, средних и сокращение малых СНП. </w:t>
      </w:r>
    </w:p>
    <w:p>
      <w:pPr>
        <w:spacing w:after="0"/>
        <w:ind w:left="0"/>
        <w:jc w:val="both"/>
      </w:pPr>
      <w:r>
        <w:rPr>
          <w:rFonts w:ascii="Times New Roman"/>
          <w:b w:val="false"/>
          <w:i w:val="false"/>
          <w:color w:val="000000"/>
          <w:sz w:val="28"/>
        </w:rPr>
        <w:t xml:space="preserve">
      Согласно прогнозу численности населения, рассчитанному методом передвижки возрастов, к 2030 году в зоне потенциального агломерирования Актюбинской агломерации ожидается увеличение численности до 1000,9 тысяч человек (или на 57,7%), в том числе в ядре агломерации – 745,4 тысяч человек (или 74,5%). Рост численности населения агломерации будет связан с высоким показателем естественного прироста населения в городской администрации Актобе, а так же миграционным притоком трудоспособного населения. </w:t>
      </w:r>
    </w:p>
    <w:p>
      <w:pPr>
        <w:spacing w:after="0"/>
        <w:ind w:left="0"/>
        <w:jc w:val="both"/>
      </w:pPr>
      <w:r>
        <w:rPr>
          <w:rFonts w:ascii="Times New Roman"/>
          <w:b w:val="false"/>
          <w:i w:val="false"/>
          <w:color w:val="000000"/>
          <w:sz w:val="28"/>
        </w:rPr>
        <w:t xml:space="preserve">
      Учитывая богатый ресурсный и производственный потенциал, сложившаяся система расселения Актюбинской агломерации рассматривается как исходная основа формирования перспективной зоны прорывного индустриально-инновационного развития экономики страны с использованием синергетического эффекта, присущего агломерациям. </w:t>
      </w:r>
    </w:p>
    <w:p>
      <w:pPr>
        <w:spacing w:after="0"/>
        <w:ind w:left="0"/>
        <w:jc w:val="both"/>
      </w:pPr>
      <w:r>
        <w:rPr>
          <w:rFonts w:ascii="Times New Roman"/>
          <w:b w:val="false"/>
          <w:i w:val="false"/>
          <w:color w:val="000000"/>
          <w:sz w:val="28"/>
        </w:rPr>
        <w:t xml:space="preserve">
      Факторами, способствующими превращению сложившейся групповой системы расселения региона в качественно новый тип расселения – агломерацию, будут служить благоприятное географическое расположение города Актобе на пересечении международных железнодорожных и автомобильных магистралей, развитая промышленность региона. </w:t>
      </w:r>
    </w:p>
    <w:p>
      <w:pPr>
        <w:spacing w:after="0"/>
        <w:ind w:left="0"/>
        <w:jc w:val="both"/>
      </w:pPr>
      <w:r>
        <w:rPr>
          <w:rFonts w:ascii="Times New Roman"/>
          <w:b w:val="false"/>
          <w:i w:val="false"/>
          <w:color w:val="000000"/>
          <w:sz w:val="28"/>
        </w:rPr>
        <w:t>
      С учетом низкой плотности заселения территории основными проектными решениями являются: развитие демографического потенциала территории, совершенствование сложившейся системы расселения, улучшение уровня инженерной и социальной инфраструктуры населенных пунктов, модернизация транспортной сети территории для повышения мобильности населения, а так же увеличения его деловой и экономической активности.</w:t>
      </w:r>
    </w:p>
    <w:p>
      <w:pPr>
        <w:spacing w:after="0"/>
        <w:ind w:left="0"/>
        <w:jc w:val="both"/>
      </w:pPr>
      <w:r>
        <w:rPr>
          <w:rFonts w:ascii="Times New Roman"/>
          <w:b w:val="false"/>
          <w:i w:val="false"/>
          <w:color w:val="000000"/>
          <w:sz w:val="28"/>
        </w:rPr>
        <w:t>
      В опорном каркасе расселения Актюбинской агломерации город Актобе выступает в качестве межрегионального центра, а центры притяжения– локальными центрами опорного каркаса расселения.</w:t>
      </w:r>
    </w:p>
    <w:p>
      <w:pPr>
        <w:spacing w:after="0"/>
        <w:ind w:left="0"/>
        <w:jc w:val="both"/>
      </w:pPr>
      <w:r>
        <w:rPr>
          <w:rFonts w:ascii="Times New Roman"/>
          <w:b w:val="false"/>
          <w:i w:val="false"/>
          <w:color w:val="000000"/>
          <w:sz w:val="28"/>
        </w:rPr>
        <w:t>
      Совершенствование системы расселения агломерации основывается в управлении миграционными процессами для прироста населения, а также для потребностей экономики в дополнительных трудовых ресурсах. В этой связи предлагаются:</w:t>
      </w:r>
    </w:p>
    <w:p>
      <w:pPr>
        <w:spacing w:after="0"/>
        <w:ind w:left="0"/>
        <w:jc w:val="both"/>
      </w:pPr>
      <w:r>
        <w:rPr>
          <w:rFonts w:ascii="Times New Roman"/>
          <w:b w:val="false"/>
          <w:i w:val="false"/>
          <w:color w:val="000000"/>
          <w:sz w:val="28"/>
        </w:rPr>
        <w:t>
      удержание потенциальных мигрантов из региона, а также притяжение трудовых ресурсов из трудоизбыточных областей Западного региона (например, Атырауская и Мангистауская области) с помощью создания новых рабочих мест, создания благоприятных предпосылок для расширения производственных и инфраструктурных объектов в ядре агломерации;</w:t>
      </w:r>
    </w:p>
    <w:p>
      <w:pPr>
        <w:spacing w:after="0"/>
        <w:ind w:left="0"/>
        <w:jc w:val="both"/>
      </w:pPr>
      <w:r>
        <w:rPr>
          <w:rFonts w:ascii="Times New Roman"/>
          <w:b w:val="false"/>
          <w:i w:val="false"/>
          <w:color w:val="000000"/>
          <w:sz w:val="28"/>
        </w:rPr>
        <w:t xml:space="preserve">
      совершенствование транспортных коммуникаций для улучшения связи подцентров агломерации с ядром и ключевыми рынками, а также повышение интенсивности маятниковой миграции населения для оптимизации трудовых, культурно-бытовых связей населения в пределах агломерации; </w:t>
      </w:r>
    </w:p>
    <w:p>
      <w:pPr>
        <w:spacing w:after="0"/>
        <w:ind w:left="0"/>
        <w:jc w:val="both"/>
      </w:pPr>
      <w:r>
        <w:rPr>
          <w:rFonts w:ascii="Times New Roman"/>
          <w:b w:val="false"/>
          <w:i w:val="false"/>
          <w:color w:val="000000"/>
          <w:sz w:val="28"/>
        </w:rPr>
        <w:t>
      развитие малых городов Кандыагаш, Алга, моногорода Хромтау и сел Кобда, Мартук как центров притяжения агломерации, способствующих снижению оттока населения за пределами района и области.</w:t>
      </w:r>
    </w:p>
    <w:p>
      <w:pPr>
        <w:spacing w:after="0"/>
        <w:ind w:left="0"/>
        <w:jc w:val="both"/>
      </w:pPr>
      <w:r>
        <w:rPr>
          <w:rFonts w:ascii="Times New Roman"/>
          <w:b w:val="false"/>
          <w:i w:val="false"/>
          <w:color w:val="000000"/>
          <w:sz w:val="28"/>
        </w:rPr>
        <w:t xml:space="preserve">
      Ядро агломерации – город Актобе станет городом-хабом, в котором концентрируется капитал, ресурсы и передовые технологии Западного региона Казахстана, а также развитие сферы услуг мирового класса. </w:t>
      </w:r>
    </w:p>
    <w:p>
      <w:pPr>
        <w:spacing w:after="0"/>
        <w:ind w:left="0"/>
        <w:jc w:val="both"/>
      </w:pPr>
      <w:r>
        <w:rPr>
          <w:rFonts w:ascii="Times New Roman"/>
          <w:b w:val="false"/>
          <w:i w:val="false"/>
          <w:color w:val="000000"/>
          <w:sz w:val="28"/>
        </w:rPr>
        <w:t>
      Формирование и дальнейшее развитие Актюбинской агломерации способствует развитию городов второго уровня Западного региона.</w:t>
      </w:r>
    </w:p>
    <w:p>
      <w:pPr>
        <w:spacing w:after="0"/>
        <w:ind w:left="0"/>
        <w:jc w:val="both"/>
      </w:pPr>
      <w:r>
        <w:rPr>
          <w:rFonts w:ascii="Times New Roman"/>
          <w:b w:val="false"/>
          <w:i w:val="false"/>
          <w:color w:val="000000"/>
          <w:sz w:val="28"/>
        </w:rPr>
        <w:t xml:space="preserve">
      Устойчивое развитие Актюбинской агломерации зависит от здорового функционирования всех ее составных элементов, перспективное расселение которых видится по следующим основным направлениям: </w:t>
      </w:r>
    </w:p>
    <w:p>
      <w:pPr>
        <w:spacing w:after="0"/>
        <w:ind w:left="0"/>
        <w:jc w:val="both"/>
      </w:pPr>
      <w:r>
        <w:rPr>
          <w:rFonts w:ascii="Times New Roman"/>
          <w:b w:val="false"/>
          <w:i w:val="false"/>
          <w:color w:val="000000"/>
          <w:sz w:val="28"/>
        </w:rPr>
        <w:t>
      в северо-западном направлении – развитие села Мартук в качестве подцентра агломерации (развитие транспортно-логистических функций, переработка сельскохозяйственной продукции) с учетом необходимости укрепления приграничных территорий и повышения безопасности границ, а также развития приграничного сотрудничества;</w:t>
      </w:r>
    </w:p>
    <w:p>
      <w:pPr>
        <w:spacing w:after="0"/>
        <w:ind w:left="0"/>
        <w:jc w:val="both"/>
      </w:pPr>
      <w:r>
        <w:rPr>
          <w:rFonts w:ascii="Times New Roman"/>
          <w:b w:val="false"/>
          <w:i w:val="false"/>
          <w:color w:val="000000"/>
          <w:sz w:val="28"/>
        </w:rPr>
        <w:t>
      в восточном направлении – развитие подцентра агломерации Хромтау (центр по добыче хромитовых руд, переработке сельскохозяйственной продукции, транспортный узел) с учетом высокого экономического и транспортного потенциалов моногорода;</w:t>
      </w:r>
    </w:p>
    <w:p>
      <w:pPr>
        <w:spacing w:after="0"/>
        <w:ind w:left="0"/>
        <w:jc w:val="both"/>
      </w:pPr>
      <w:r>
        <w:rPr>
          <w:rFonts w:ascii="Times New Roman"/>
          <w:b w:val="false"/>
          <w:i w:val="false"/>
          <w:color w:val="000000"/>
          <w:sz w:val="28"/>
        </w:rPr>
        <w:t>
      в южном направлении – создание двух подцентров агломерации на базе городов Алга (транспортно-логистические функции, переработка сельскохозяйственной продукции) и Кандыагаш (промышленный и транспортный узел). Наиболее развитую транспортную доступность к ядру агломерации имеет город Алга (30 км.);</w:t>
      </w:r>
    </w:p>
    <w:p>
      <w:pPr>
        <w:spacing w:after="0"/>
        <w:ind w:left="0"/>
        <w:jc w:val="both"/>
      </w:pPr>
      <w:r>
        <w:rPr>
          <w:rFonts w:ascii="Times New Roman"/>
          <w:b w:val="false"/>
          <w:i w:val="false"/>
          <w:color w:val="000000"/>
          <w:sz w:val="28"/>
        </w:rPr>
        <w:t xml:space="preserve">
      в западном направлении – подцентр агломерации село Кобда (центр по переработке сельскохозяйственной продукции). </w:t>
      </w:r>
    </w:p>
    <w:p>
      <w:pPr>
        <w:spacing w:after="0"/>
        <w:ind w:left="0"/>
        <w:jc w:val="both"/>
      </w:pPr>
      <w:r>
        <w:rPr>
          <w:rFonts w:ascii="Times New Roman"/>
          <w:b w:val="false"/>
          <w:i w:val="false"/>
          <w:color w:val="000000"/>
          <w:sz w:val="28"/>
        </w:rPr>
        <w:t xml:space="preserve">
      Положительный естественный и миграционный приросты будут способствовать росту численности населения подцентров агломерации до 157,0 тысяч человек (или на 63,3%). Для повышения их демографического потенциала необходимо создание условий для активизации экономической деятельности, повышения их миграционной привлекательности. </w:t>
      </w:r>
    </w:p>
    <w:p>
      <w:pPr>
        <w:spacing w:after="0"/>
        <w:ind w:left="0"/>
        <w:jc w:val="both"/>
      </w:pPr>
      <w:r>
        <w:rPr>
          <w:rFonts w:ascii="Times New Roman"/>
          <w:b w:val="false"/>
          <w:i w:val="false"/>
          <w:color w:val="000000"/>
          <w:sz w:val="28"/>
        </w:rPr>
        <w:t>
      Индустриально-инновационный рост подцентров агломерации способствует экономическому развитию территорий и снижению оттока населения за пределы района и области.</w:t>
      </w:r>
    </w:p>
    <w:p>
      <w:pPr>
        <w:spacing w:after="0"/>
        <w:ind w:left="0"/>
        <w:jc w:val="both"/>
      </w:pPr>
      <w:r>
        <w:rPr>
          <w:rFonts w:ascii="Times New Roman"/>
          <w:b w:val="false"/>
          <w:i w:val="false"/>
          <w:color w:val="000000"/>
          <w:sz w:val="28"/>
        </w:rPr>
        <w:t xml:space="preserve">
      В целом, увеличению численности населения в агломерации будет способствовать реализация правительственных программ </w:t>
      </w:r>
      <w:r>
        <w:rPr>
          <w:rFonts w:ascii="Times New Roman"/>
          <w:b/>
          <w:i w:val="false"/>
          <w:color w:val="000000"/>
          <w:sz w:val="28"/>
        </w:rPr>
        <w:t>(</w:t>
      </w:r>
      <w:r>
        <w:rPr>
          <w:rFonts w:ascii="Times New Roman"/>
          <w:b w:val="false"/>
          <w:i w:val="false"/>
          <w:color w:val="000000"/>
          <w:sz w:val="28"/>
        </w:rPr>
        <w:t xml:space="preserve">Программы развития продуктивной занятости и массового предпринимательства на 2017-2021 годы). </w:t>
      </w:r>
    </w:p>
    <w:p>
      <w:pPr>
        <w:spacing w:after="0"/>
        <w:ind w:left="0"/>
        <w:jc w:val="both"/>
      </w:pPr>
      <w:r>
        <w:rPr>
          <w:rFonts w:ascii="Times New Roman"/>
          <w:b w:val="false"/>
          <w:i w:val="false"/>
          <w:color w:val="000000"/>
          <w:sz w:val="28"/>
        </w:rPr>
        <w:t>
      Развитие Актюбинской агломерации будет способствовать повышению уровня и качества благосостояния населения, мобильности населения – регулированию внутренних и внешних миграционных потоков, преодолению социально-экономических дифференциаций между городом-ядром и населенными пунктами агломерации, равному доступу населения к системам жизнеобеспечения, а также позволит сконцентрировать экономический и трудовой потенциал страны, достичь синергетического эффекта, присущего агломерациям.</w:t>
      </w:r>
    </w:p>
    <w:bookmarkStart w:name="z26" w:id="12"/>
    <w:p>
      <w:pPr>
        <w:spacing w:after="0"/>
        <w:ind w:left="0"/>
        <w:jc w:val="left"/>
      </w:pPr>
      <w:r>
        <w:rPr>
          <w:rFonts w:ascii="Times New Roman"/>
          <w:b/>
          <w:i w:val="false"/>
          <w:color w:val="000000"/>
        </w:rPr>
        <w:t xml:space="preserve"> Меры комплексного размещения производительных сил</w:t>
      </w:r>
    </w:p>
    <w:bookmarkEnd w:id="12"/>
    <w:p>
      <w:pPr>
        <w:spacing w:after="0"/>
        <w:ind w:left="0"/>
        <w:jc w:val="both"/>
      </w:pPr>
      <w:r>
        <w:rPr>
          <w:rFonts w:ascii="Times New Roman"/>
          <w:b w:val="false"/>
          <w:i w:val="false"/>
          <w:color w:val="000000"/>
          <w:sz w:val="28"/>
        </w:rPr>
        <w:t>
      Экономический потенциал Актюбинской агломерации на сегодня представлен крупными и средними промышленными и агропромышленными предприятиями, формирующими более 70,0% всего объема промышленной продукции Актюбинской области и обеспечивающими трудовую занятость населения.</w:t>
      </w:r>
    </w:p>
    <w:p>
      <w:pPr>
        <w:spacing w:after="0"/>
        <w:ind w:left="0"/>
        <w:jc w:val="both"/>
      </w:pPr>
      <w:r>
        <w:rPr>
          <w:rFonts w:ascii="Times New Roman"/>
          <w:b w:val="false"/>
          <w:i w:val="false"/>
          <w:color w:val="000000"/>
          <w:sz w:val="28"/>
        </w:rPr>
        <w:t>
      Наличие большого потребительского рынка, развитой транспортно-логистической инфраструктуры, выхода на российский рынок через международный транзитный коридор "Западная Европа – Западный Китай" способствуют созданию предпосылок позиционирования Актюбинской агломерации как центра Западного региона Казахстана, а также развитию западных областей, увеличивая для них рынок сбыта продукции и общий транзитный потенциал.</w:t>
      </w:r>
    </w:p>
    <w:p>
      <w:pPr>
        <w:spacing w:after="0"/>
        <w:ind w:left="0"/>
        <w:jc w:val="both"/>
      </w:pPr>
      <w:r>
        <w:rPr>
          <w:rFonts w:ascii="Times New Roman"/>
          <w:b w:val="false"/>
          <w:i w:val="false"/>
          <w:color w:val="000000"/>
          <w:sz w:val="28"/>
        </w:rPr>
        <w:t xml:space="preserve">
      К 2030 году предполагается развитие связывающей инфраструктуры: зон развития промышленности и сельского хозяйства, современной транспортной инфраструктуры, инновационных производств, в результате предполагается формирование интегрированной агломерации: активное экономическое взаимодействие периферийной зоны агломерации с ее ядром – городом Актобе. </w:t>
      </w:r>
    </w:p>
    <w:p>
      <w:pPr>
        <w:spacing w:after="0"/>
        <w:ind w:left="0"/>
        <w:jc w:val="both"/>
      </w:pPr>
      <w:r>
        <w:rPr>
          <w:rFonts w:ascii="Times New Roman"/>
          <w:b w:val="false"/>
          <w:i w:val="false"/>
          <w:color w:val="000000"/>
          <w:sz w:val="28"/>
        </w:rPr>
        <w:t>
      В перспективе город Актобе будет позиционироваться как многофункциональный деловой и сервисный центр, в периферийной зоне которого будут сконцентрированы промышленные мощности.</w:t>
      </w:r>
    </w:p>
    <w:p>
      <w:pPr>
        <w:spacing w:after="0"/>
        <w:ind w:left="0"/>
        <w:jc w:val="both"/>
      </w:pPr>
      <w:r>
        <w:rPr>
          <w:rFonts w:ascii="Times New Roman"/>
          <w:b w:val="false"/>
          <w:i w:val="false"/>
          <w:color w:val="000000"/>
          <w:sz w:val="28"/>
        </w:rPr>
        <w:t>
      Районы и подцентры агломерации будут выполнять производственные функции.</w:t>
      </w:r>
    </w:p>
    <w:p>
      <w:pPr>
        <w:spacing w:after="0"/>
        <w:ind w:left="0"/>
        <w:jc w:val="both"/>
      </w:pPr>
      <w:r>
        <w:rPr>
          <w:rFonts w:ascii="Times New Roman"/>
          <w:b w:val="false"/>
          <w:i w:val="false"/>
          <w:color w:val="000000"/>
          <w:sz w:val="28"/>
        </w:rPr>
        <w:t xml:space="preserve">
      Хромтауский район будет выполнять функции важной промышленной зоны агломерации. Существующий потенциал города Хромтау позволит стать центром с развитой промышленностью, агропромышленным комплексом, строительной индустрией, жизнеобеспечивающей инфраструктурой при условии развития транспортного каркаса агломерации. </w:t>
      </w:r>
    </w:p>
    <w:p>
      <w:pPr>
        <w:spacing w:after="0"/>
        <w:ind w:left="0"/>
        <w:jc w:val="both"/>
      </w:pPr>
      <w:r>
        <w:rPr>
          <w:rFonts w:ascii="Times New Roman"/>
          <w:b w:val="false"/>
          <w:i w:val="false"/>
          <w:color w:val="000000"/>
          <w:sz w:val="28"/>
        </w:rPr>
        <w:t xml:space="preserve">
      Алгинский район будет выполнять функции обеспечения зоны агломерации продовольствием и строительными материалами. Город-спутник Алга будет выполнять жилищные и производственные функции, связанные с обеспечением агломерации продовольствием. </w:t>
      </w:r>
    </w:p>
    <w:p>
      <w:pPr>
        <w:spacing w:after="0"/>
        <w:ind w:left="0"/>
        <w:jc w:val="both"/>
      </w:pPr>
      <w:r>
        <w:rPr>
          <w:rFonts w:ascii="Times New Roman"/>
          <w:b w:val="false"/>
          <w:i w:val="false"/>
          <w:color w:val="000000"/>
          <w:sz w:val="28"/>
        </w:rPr>
        <w:t>
      Мугалжарский район будет одной из крупных промышленных зон Актюбинской агломерации. Подцентр агломерации город Кандыагаш, как перспективный центр притяжения населения и производственных мощностей ядра агломерации, будет выполнять функции по обеспечению агломерации продовольствием, транспортно-транзитными услугами.</w:t>
      </w:r>
    </w:p>
    <w:p>
      <w:pPr>
        <w:spacing w:after="0"/>
        <w:ind w:left="0"/>
        <w:jc w:val="both"/>
      </w:pPr>
      <w:r>
        <w:rPr>
          <w:rFonts w:ascii="Times New Roman"/>
          <w:b w:val="false"/>
          <w:i w:val="false"/>
          <w:color w:val="000000"/>
          <w:sz w:val="28"/>
        </w:rPr>
        <w:t xml:space="preserve">
      Каргалинский, Хобдинский и Мартукский районы будут выполнять функции обеспечения центрального города продовольствием и снабжения перерабатывающих предприятий зоны агломерации сельскохозяйственным сырьем. </w:t>
      </w:r>
    </w:p>
    <w:p>
      <w:pPr>
        <w:spacing w:after="0"/>
        <w:ind w:left="0"/>
        <w:jc w:val="both"/>
      </w:pPr>
      <w:r>
        <w:rPr>
          <w:rFonts w:ascii="Times New Roman"/>
          <w:b w:val="false"/>
          <w:i w:val="false"/>
          <w:color w:val="000000"/>
          <w:sz w:val="28"/>
        </w:rPr>
        <w:t>
      Перспективная промышленная специализация Актюбинской агломерации к 2030 году будет всецело отвечать приоритетам проводимой в Казахстане политики индустриально-инновационной диверсификации экономики его регионов.</w:t>
      </w:r>
    </w:p>
    <w:p>
      <w:pPr>
        <w:spacing w:after="0"/>
        <w:ind w:left="0"/>
        <w:jc w:val="both"/>
      </w:pPr>
      <w:r>
        <w:rPr>
          <w:rFonts w:ascii="Times New Roman"/>
          <w:b w:val="false"/>
          <w:i w:val="false"/>
          <w:color w:val="000000"/>
          <w:sz w:val="28"/>
        </w:rPr>
        <w:t xml:space="preserve">
      Промышленный комплекс агломерации будет определяться динамичным развитием базовых отраслей: нефтедобывающей промышленности, черной металлургии, машиностроения, химической промышленности, нефтехимии и нефтепереработки. Ареалом размещения перспективных промышленных мощностей будут месторождения титана, нефти, никеля, хрома, железных и марганцевых руд, фосфоритов и строительных материалов, которые расположены на периферийных территориях агломерации. </w:t>
      </w:r>
    </w:p>
    <w:p>
      <w:pPr>
        <w:spacing w:after="0"/>
        <w:ind w:left="0"/>
        <w:jc w:val="both"/>
      </w:pPr>
      <w:r>
        <w:rPr>
          <w:rFonts w:ascii="Times New Roman"/>
          <w:b w:val="false"/>
          <w:i w:val="false"/>
          <w:color w:val="000000"/>
          <w:sz w:val="28"/>
        </w:rPr>
        <w:t>
      В результате диверсификации экономики к 2030 году ожидается снижение темпа роста горнодобывающей промышленности по отношению к обрабатывающей промышленности. К 2030 году объем промышленного производства в обрабатывающей промышленности составит 852,2 млрд. тенге, увеличившись в 2,4 раза по сравнению с 2016 годом.</w:t>
      </w:r>
    </w:p>
    <w:p>
      <w:pPr>
        <w:spacing w:after="0"/>
        <w:ind w:left="0"/>
        <w:jc w:val="both"/>
      </w:pPr>
      <w:r>
        <w:rPr>
          <w:rFonts w:ascii="Times New Roman"/>
          <w:b w:val="false"/>
          <w:i w:val="false"/>
          <w:color w:val="000000"/>
          <w:sz w:val="28"/>
        </w:rPr>
        <w:t>
      Меры эффективного развития промышленности</w:t>
      </w:r>
    </w:p>
    <w:p>
      <w:pPr>
        <w:spacing w:after="0"/>
        <w:ind w:left="0"/>
        <w:jc w:val="both"/>
      </w:pPr>
      <w:r>
        <w:rPr>
          <w:rFonts w:ascii="Times New Roman"/>
          <w:b w:val="false"/>
          <w:i w:val="false"/>
          <w:color w:val="000000"/>
          <w:sz w:val="28"/>
        </w:rPr>
        <w:t>
      Перспективными направлениями развития горно-металлургического комплекса является создание мощностей по добыче и глубокой переработке никель-кобальтовых руд, возрождение титан-циркониевого направления, расширение мощностей железорудного направления, стабилизация развития предприятий по добыче природных песков, сырой нефти (за счет ее переработки на предприятиях агломерации), производство окиси хрома, триоксида хрома, чугуна, ферросплавов, строительство завода нержавеющей стали и запуск производства электротехнической стали.</w:t>
      </w:r>
    </w:p>
    <w:p>
      <w:pPr>
        <w:spacing w:after="0"/>
        <w:ind w:left="0"/>
        <w:jc w:val="both"/>
      </w:pPr>
      <w:r>
        <w:rPr>
          <w:rFonts w:ascii="Times New Roman"/>
          <w:b w:val="false"/>
          <w:i w:val="false"/>
          <w:color w:val="000000"/>
          <w:sz w:val="28"/>
        </w:rPr>
        <w:t>
      Необходимо снизить импорт продукции из стран Таможенного Союза, по которой имеется своя минерально-сырьевая база (глины, галька, гравий, щебень, гипс, известняк, нефть сырая, смеси битумные). На территории агломерации расположены 93 резервных месторождения, в том числе на территории городской администрации Актобе: 2 резервных месторождения глины и песка-отощителя, 1 - строительного камня, 5 - песчано-гравийной смеси, 3 - строительного песка, 2 - керамзита, аглопорита. В периферийной зоне агломерации количество резервных месторождений составляет 80 единиц: 11 нефтяных месторождений, у которых часть площади контрактных территорий числятся резервными, 24 резервных месторождения кобальта, никеля, 6 резервных месторождений хрома, 4 резервных месторождения золота, 11 резервных месторождений кирпичного сырья (глина, песок-отощитель), 10 резервных месторождений строительного песка, 2 резервных месторождения керамзита, аглопорита, 8 месторождений строительного камня, 1 месторождение облицовочных камней, 2 резервных месторождения цементного сырья, 1 резервное месторождение песчано-гравийной смеси.</w:t>
      </w:r>
    </w:p>
    <w:p>
      <w:pPr>
        <w:spacing w:after="0"/>
        <w:ind w:left="0"/>
        <w:jc w:val="both"/>
      </w:pPr>
      <w:r>
        <w:rPr>
          <w:rFonts w:ascii="Times New Roman"/>
          <w:b w:val="false"/>
          <w:i w:val="false"/>
          <w:color w:val="000000"/>
          <w:sz w:val="28"/>
        </w:rPr>
        <w:t>
      Перспективным направлением будет обогащение хвостов шламохранилища Донского горно-обогатительного комбината (далее – Донской ГОК) целях получения дополнительного товарного хромового концентрата.</w:t>
      </w:r>
    </w:p>
    <w:p>
      <w:pPr>
        <w:spacing w:after="0"/>
        <w:ind w:left="0"/>
        <w:jc w:val="both"/>
      </w:pPr>
      <w:r>
        <w:rPr>
          <w:rFonts w:ascii="Times New Roman"/>
          <w:b w:val="false"/>
          <w:i w:val="false"/>
          <w:color w:val="000000"/>
          <w:sz w:val="28"/>
        </w:rPr>
        <w:t>
      Металлургические производства могут стать основой дальнейшего развития металлургического кластера Актюбинской агломерации при условии развития транспортной инфраструктуры региона с учетом наличия достаточных сырьевых ресурсов и внутреннего рынка сбыта Актюбинской агломерации.</w:t>
      </w:r>
    </w:p>
    <w:p>
      <w:pPr>
        <w:spacing w:after="0"/>
        <w:ind w:left="0"/>
        <w:jc w:val="both"/>
      </w:pPr>
      <w:r>
        <w:rPr>
          <w:rFonts w:ascii="Times New Roman"/>
          <w:b w:val="false"/>
          <w:i w:val="false"/>
          <w:color w:val="000000"/>
          <w:sz w:val="28"/>
        </w:rPr>
        <w:t>
      Наличие запасов широкого спектра минерального сырья, являющегося основой для производства различных строительных материалов, является конкурентным преимуществом и одной из составляющих, которая и будет формировать реальный сектор экономики до 2030 года.</w:t>
      </w:r>
    </w:p>
    <w:p>
      <w:pPr>
        <w:spacing w:after="0"/>
        <w:ind w:left="0"/>
        <w:jc w:val="both"/>
      </w:pPr>
      <w:r>
        <w:rPr>
          <w:rFonts w:ascii="Times New Roman"/>
          <w:b w:val="false"/>
          <w:i w:val="false"/>
          <w:color w:val="000000"/>
          <w:sz w:val="28"/>
        </w:rPr>
        <w:t xml:space="preserve">
      Низкая обеспеченность агломерации, при наличии собственной минерально-сырьевой базы, наблюдается по кирпичам керамическим огнеупорным, блокам, плиткам и материалам строительным керамическим огнеупорным, изделиям огнеупорным, которые могут стать основой дальнейшего развития данных производств. </w:t>
      </w:r>
    </w:p>
    <w:p>
      <w:pPr>
        <w:spacing w:after="0"/>
        <w:ind w:left="0"/>
        <w:jc w:val="both"/>
      </w:pPr>
      <w:r>
        <w:rPr>
          <w:rFonts w:ascii="Times New Roman"/>
          <w:b w:val="false"/>
          <w:i w:val="false"/>
          <w:color w:val="000000"/>
          <w:sz w:val="28"/>
        </w:rPr>
        <w:t>
      К 2020 году необходимо заложить основы эффективной реализации инвестиционных проектов по выпуску новой продукции, запланировать пусконаладочные работы по производству строительных материалов, по которым имеется высокая зависимость (производство керамогранита и керамической плитки, железобетонных шпал, трехслойных стеновых блоков), преимущественно размещаемые на территории индустриальной зоны "Актобе".</w:t>
      </w:r>
    </w:p>
    <w:p>
      <w:pPr>
        <w:spacing w:after="0"/>
        <w:ind w:left="0"/>
        <w:jc w:val="both"/>
      </w:pPr>
      <w:r>
        <w:rPr>
          <w:rFonts w:ascii="Times New Roman"/>
          <w:b w:val="false"/>
          <w:i w:val="false"/>
          <w:color w:val="000000"/>
          <w:sz w:val="28"/>
        </w:rPr>
        <w:t>
      Перспективным сегментом является развитие горной химии – производство минеральных удобрений на базе крупнейших месторождений фосфоритовых руд и калийных солей, на базе переработки которых необходимо предусмотреть производство сложных минеральных удобрений с включением в состав азотных удобрений актауского завода "КазАзот".</w:t>
      </w:r>
    </w:p>
    <w:p>
      <w:pPr>
        <w:spacing w:after="0"/>
        <w:ind w:left="0"/>
        <w:jc w:val="both"/>
      </w:pPr>
      <w:r>
        <w:rPr>
          <w:rFonts w:ascii="Times New Roman"/>
          <w:b w:val="false"/>
          <w:i w:val="false"/>
          <w:color w:val="000000"/>
          <w:sz w:val="28"/>
        </w:rPr>
        <w:t>
      Необходимо повышать глубину переработки углеводородного сырья за счет реализуемых проектов по переработке пластмасс, полиэтилена, бутадиена и синтетического каучука, развития новых производств по выпуску лаков, эмалей, красок на синтетической основе, конкурентоспособных по сравнению с импортируемыми из Китайской Народной Республики, Ирана, Турции.</w:t>
      </w:r>
    </w:p>
    <w:p>
      <w:pPr>
        <w:spacing w:after="0"/>
        <w:ind w:left="0"/>
        <w:jc w:val="both"/>
      </w:pPr>
      <w:r>
        <w:rPr>
          <w:rFonts w:ascii="Times New Roman"/>
          <w:b w:val="false"/>
          <w:i w:val="false"/>
          <w:color w:val="000000"/>
          <w:sz w:val="28"/>
        </w:rPr>
        <w:t>
      В медицинской и фармацевтической отраслях перспективы развития будут связаны с модернизацией медицинского завода "Актюбрентген" в городе Актобе и строительством завода по производству лекарственных средств.</w:t>
      </w:r>
    </w:p>
    <w:p>
      <w:pPr>
        <w:spacing w:after="0"/>
        <w:ind w:left="0"/>
        <w:jc w:val="both"/>
      </w:pPr>
      <w:r>
        <w:rPr>
          <w:rFonts w:ascii="Times New Roman"/>
          <w:b w:val="false"/>
          <w:i w:val="false"/>
          <w:color w:val="000000"/>
          <w:sz w:val="28"/>
        </w:rPr>
        <w:t>
      Перспективными направлениями развития машиностроения предполагаются нефтегазовое машиностроение и приборостроение для различных видов отраслей.</w:t>
      </w:r>
    </w:p>
    <w:p>
      <w:pPr>
        <w:spacing w:after="0"/>
        <w:ind w:left="0"/>
        <w:jc w:val="both"/>
      </w:pPr>
      <w:r>
        <w:rPr>
          <w:rFonts w:ascii="Times New Roman"/>
          <w:b w:val="false"/>
          <w:i w:val="false"/>
          <w:color w:val="000000"/>
          <w:sz w:val="28"/>
        </w:rPr>
        <w:t>
      Для развития машиностроения в Актюбинской агломерации, его отдельных направлений к 2020 году необходимо заложить основы эффективной реализации инвестиционных проектов по выпуску машиностроительной продукции, по которой продолжает оставаться высокая зависимость Актюбинской агломерации: радиаторы для центрального отопления из черных металлов, котлы центрального отопления для производства горячей воды или пара с низким давлением, счетчики производства или потребления газа, жидкости или электроэнергии.</w:t>
      </w:r>
    </w:p>
    <w:p>
      <w:pPr>
        <w:spacing w:after="0"/>
        <w:ind w:left="0"/>
        <w:jc w:val="both"/>
      </w:pPr>
      <w:r>
        <w:rPr>
          <w:rFonts w:ascii="Times New Roman"/>
          <w:b w:val="false"/>
          <w:i w:val="false"/>
          <w:color w:val="000000"/>
          <w:sz w:val="28"/>
        </w:rPr>
        <w:t xml:space="preserve">
      Основными инвесторами реализации данных инвестиционных проектов могут стать предприниматели соседних регионов Казахстана. </w:t>
      </w:r>
    </w:p>
    <w:p>
      <w:pPr>
        <w:spacing w:after="0"/>
        <w:ind w:left="0"/>
        <w:jc w:val="both"/>
      </w:pPr>
      <w:r>
        <w:rPr>
          <w:rFonts w:ascii="Times New Roman"/>
          <w:b w:val="false"/>
          <w:i w:val="false"/>
          <w:color w:val="000000"/>
          <w:sz w:val="28"/>
        </w:rPr>
        <w:t>
      Производство продуктов питания</w:t>
      </w:r>
    </w:p>
    <w:p>
      <w:pPr>
        <w:spacing w:after="0"/>
        <w:ind w:left="0"/>
        <w:jc w:val="both"/>
      </w:pPr>
      <w:r>
        <w:rPr>
          <w:rFonts w:ascii="Times New Roman"/>
          <w:b w:val="false"/>
          <w:i w:val="false"/>
          <w:color w:val="000000"/>
          <w:sz w:val="28"/>
        </w:rPr>
        <w:t>
      На первом этапе развития Актюбинской агломерации необходимо довести уровень обеспеченности региона до 100% по таким продуктам питания, как мясо птицы, макароны, лапша, кускус, обработанное молоко и кисломолочные продукты, ранние овощи.</w:t>
      </w:r>
    </w:p>
    <w:p>
      <w:pPr>
        <w:spacing w:after="0"/>
        <w:ind w:left="0"/>
        <w:jc w:val="both"/>
      </w:pPr>
      <w:r>
        <w:rPr>
          <w:rFonts w:ascii="Times New Roman"/>
          <w:b w:val="false"/>
          <w:i w:val="false"/>
          <w:color w:val="000000"/>
          <w:sz w:val="28"/>
        </w:rPr>
        <w:t xml:space="preserve">
      При этом должна быть заложена основа начала реализации проектов по выпуску масла сливочного, масла оливкового, сыра и творога, плодов семян и косточковых, риса, молока в твердой форме, шоколада, сахара-сырца, по которым на втором этапе должна начаться непосредственная реализация инвестиционных проектов. </w:t>
      </w:r>
    </w:p>
    <w:p>
      <w:pPr>
        <w:spacing w:after="0"/>
        <w:ind w:left="0"/>
        <w:jc w:val="both"/>
      </w:pPr>
      <w:r>
        <w:rPr>
          <w:rFonts w:ascii="Times New Roman"/>
          <w:b w:val="false"/>
          <w:i w:val="false"/>
          <w:color w:val="000000"/>
          <w:sz w:val="28"/>
        </w:rPr>
        <w:t>
      К 2030 году, на основе анализа производства макарон, кисломолочных продуктов, масла сливочного и творога и научно обоснованных физиологических норм потребления продуктов питания, с учетом численности населения потребление макаронных изделий составит 2400,2 тонн, мяса птицы – 1600,2 тонн, кисломолочных жидких продуктов из коровьего молока – 45 004,5 тонн, масла коровьего – 4700,5 тонн, творога полужирного – 10101,0 тонн.</w:t>
      </w:r>
    </w:p>
    <w:p>
      <w:pPr>
        <w:spacing w:after="0"/>
        <w:ind w:left="0"/>
        <w:jc w:val="both"/>
      </w:pPr>
      <w:r>
        <w:rPr>
          <w:rFonts w:ascii="Times New Roman"/>
          <w:b w:val="false"/>
          <w:i w:val="false"/>
          <w:color w:val="000000"/>
          <w:sz w:val="28"/>
        </w:rPr>
        <w:t xml:space="preserve">
      Перспективным направлением кормопроизводства является производство белковой добавки сбалансированных кормов для птицеводства и животноводства – барды сухой из зерновой барды, способствующей усвоению белков других кормов и повышению их биологической ценности. Данное направление позволит снизить себестоимость и увеличит производство мяса, яиц и молока. </w:t>
      </w:r>
    </w:p>
    <w:p>
      <w:pPr>
        <w:spacing w:after="0"/>
        <w:ind w:left="0"/>
        <w:jc w:val="both"/>
      </w:pPr>
      <w:r>
        <w:rPr>
          <w:rFonts w:ascii="Times New Roman"/>
          <w:b w:val="false"/>
          <w:i w:val="false"/>
          <w:color w:val="000000"/>
          <w:sz w:val="28"/>
        </w:rPr>
        <w:t xml:space="preserve">
      Меры эффективного развития агропромышленного комплекса </w:t>
      </w:r>
    </w:p>
    <w:p>
      <w:pPr>
        <w:spacing w:after="0"/>
        <w:ind w:left="0"/>
        <w:jc w:val="both"/>
      </w:pPr>
      <w:r>
        <w:rPr>
          <w:rFonts w:ascii="Times New Roman"/>
          <w:b w:val="false"/>
          <w:i w:val="false"/>
          <w:color w:val="000000"/>
          <w:sz w:val="28"/>
        </w:rPr>
        <w:t>
      Реализация мер по эффективному развитию агропромышленного комплекса Актюбинской агломерации, в первую очередь, должна быть направлена на решение комплексных проблем сектора, таких как недостаток сырья, его низкое качество и дороговизна, применение на производстве устаревших технологий, не позволяющих производить конкурентоспособную готовую продукцию, проблемы со сбытом и далее.</w:t>
      </w:r>
    </w:p>
    <w:p>
      <w:pPr>
        <w:spacing w:after="0"/>
        <w:ind w:left="0"/>
        <w:jc w:val="both"/>
      </w:pPr>
      <w:r>
        <w:rPr>
          <w:rFonts w:ascii="Times New Roman"/>
          <w:b w:val="false"/>
          <w:i w:val="false"/>
          <w:color w:val="000000"/>
          <w:sz w:val="28"/>
        </w:rPr>
        <w:t>
      Анализ и оценка ресурсного потенциала сельских территорий</w:t>
      </w:r>
    </w:p>
    <w:p>
      <w:pPr>
        <w:spacing w:after="0"/>
        <w:ind w:left="0"/>
        <w:jc w:val="both"/>
      </w:pPr>
      <w:r>
        <w:rPr>
          <w:rFonts w:ascii="Times New Roman"/>
          <w:b w:val="false"/>
          <w:i w:val="false"/>
          <w:color w:val="000000"/>
          <w:sz w:val="28"/>
        </w:rPr>
        <w:t>
      В перспективе предлагается укрепление сырьевой базы сельского хозяйства за счет вовлечения в сельскохозяйственный оборот пастбищных и пахотных земель из категории земель запаса.</w:t>
      </w:r>
    </w:p>
    <w:p>
      <w:pPr>
        <w:spacing w:after="0"/>
        <w:ind w:left="0"/>
        <w:jc w:val="both"/>
      </w:pPr>
      <w:r>
        <w:rPr>
          <w:rFonts w:ascii="Times New Roman"/>
          <w:b w:val="false"/>
          <w:i w:val="false"/>
          <w:color w:val="000000"/>
          <w:sz w:val="28"/>
        </w:rPr>
        <w:t>
      Пахотные залежные земли, находящихся в землях запаса и специального земельного фонда, площадью 58,3 тыс. га рекомендуется вовлечь в сельскохозяйственный оборот, но с условием внедрения на всей территории адаптивно-ландшафтного подхода с целью предотвращения деградационных процессов, сохранения и приумножения зеленых насаждений. К 2030 году предусматривается рост сельскохозяйственных земель до 2,5 млн. га за счет вовлечения земель залежи и запаса в сельскохозяйственный оборот.</w:t>
      </w:r>
    </w:p>
    <w:p>
      <w:pPr>
        <w:spacing w:after="0"/>
        <w:ind w:left="0"/>
        <w:jc w:val="both"/>
      </w:pPr>
      <w:r>
        <w:rPr>
          <w:rFonts w:ascii="Times New Roman"/>
          <w:b w:val="false"/>
          <w:i w:val="false"/>
          <w:color w:val="000000"/>
          <w:sz w:val="28"/>
        </w:rPr>
        <w:t>
      В целях расширения площади орошаемых земель необходимо использовать потенциал территории на наличие возможных мест для строительства новых водохранилищ, предназначенных для орошения водоизмещением более 300 млн. м</w:t>
      </w:r>
      <w:r>
        <w:rPr>
          <w:rFonts w:ascii="Times New Roman"/>
          <w:b w:val="false"/>
          <w:i w:val="false"/>
          <w:color w:val="000000"/>
          <w:vertAlign w:val="superscript"/>
        </w:rPr>
        <w:t>3</w:t>
      </w:r>
      <w:r>
        <w:rPr>
          <w:rFonts w:ascii="Times New Roman"/>
          <w:b w:val="false"/>
          <w:i w:val="false"/>
          <w:color w:val="000000"/>
          <w:sz w:val="28"/>
        </w:rPr>
        <w:t>. К 2020 году планируется увеличить площадь орашаемых земель до 42 тыс. га, 2030 году – до 60 тыс. га.</w:t>
      </w:r>
    </w:p>
    <w:p>
      <w:pPr>
        <w:spacing w:after="0"/>
        <w:ind w:left="0"/>
        <w:jc w:val="both"/>
      </w:pPr>
      <w:r>
        <w:rPr>
          <w:rFonts w:ascii="Times New Roman"/>
          <w:b w:val="false"/>
          <w:i w:val="false"/>
          <w:color w:val="000000"/>
          <w:sz w:val="28"/>
        </w:rPr>
        <w:t>
      В регионе продолжается наращивание мощностей по развитию тепличных хозяйств с применением европейских технологий. На сегодня площадь теплиц составляет 25,8 га, расположенных на территориях города Актобе – 25,4 га, Алгинского – 0,18 га и Хромтауского – 0,22 га районов.</w:t>
      </w:r>
    </w:p>
    <w:p>
      <w:pPr>
        <w:spacing w:after="0"/>
        <w:ind w:left="0"/>
        <w:jc w:val="both"/>
      </w:pPr>
      <w:r>
        <w:rPr>
          <w:rFonts w:ascii="Times New Roman"/>
          <w:b w:val="false"/>
          <w:i w:val="false"/>
          <w:color w:val="000000"/>
          <w:sz w:val="28"/>
        </w:rPr>
        <w:t>
      На начало 2017 года в личных подсобных хозяйствах содержатся 52,5% всего поголовья крупного рогатого скота агломерации, в том числе 57% коров, 45% мелкого рогатого скота, 11% свиней, 22% лошадей и 22% верблюдов. Загруженность мясо- и молокоперерабатывающих предприятий составляет 50-60%. Ожидается, что их объединение в сельскохозяйственные производственные кооперативы позволит повысить эффективность данной отрасли.</w:t>
      </w:r>
    </w:p>
    <w:p>
      <w:pPr>
        <w:spacing w:after="0"/>
        <w:ind w:left="0"/>
        <w:jc w:val="both"/>
      </w:pPr>
      <w:r>
        <w:rPr>
          <w:rFonts w:ascii="Times New Roman"/>
          <w:b w:val="false"/>
          <w:i w:val="false"/>
          <w:color w:val="000000"/>
          <w:sz w:val="28"/>
        </w:rPr>
        <w:t>
      До 2020 года для повышения рентабельности и эффективности хозяйствования следует завершить процесс кооперирования крестьянских хозяйств, включив в состав сельских кооперативов следующие предприятия: закупочно-сбытовые, заготовительные, по производству и переработке сельскохозяйственной продукции, по агрохимическому и ветеринарному обслуживанию, по производству пищевых продуктов.</w:t>
      </w:r>
    </w:p>
    <w:p>
      <w:pPr>
        <w:spacing w:after="0"/>
        <w:ind w:left="0"/>
        <w:jc w:val="both"/>
      </w:pPr>
      <w:r>
        <w:rPr>
          <w:rFonts w:ascii="Times New Roman"/>
          <w:b w:val="false"/>
          <w:i w:val="false"/>
          <w:color w:val="000000"/>
          <w:sz w:val="28"/>
        </w:rPr>
        <w:t>
      До 2020 года в зоне агломерации планируется создать более 220 сельскохозяйственных кооперативов.</w:t>
      </w:r>
    </w:p>
    <w:p>
      <w:pPr>
        <w:spacing w:after="0"/>
        <w:ind w:left="0"/>
        <w:jc w:val="both"/>
      </w:pPr>
      <w:r>
        <w:rPr>
          <w:rFonts w:ascii="Times New Roman"/>
          <w:b w:val="false"/>
          <w:i w:val="false"/>
          <w:color w:val="000000"/>
          <w:sz w:val="28"/>
        </w:rPr>
        <w:t>
      В целях обеспечения рационального использования сельскохозяйственных угодий рассчитан ресурсный потенциал сельских территорий для содержания и выращивания скота с учетом площади пастбищных угодий, средней продуктивности пастбищ и нормативной потребности площади пастбищ на 1 голову в течение года (таблицы 1-3).</w:t>
      </w:r>
    </w:p>
    <w:bookmarkStart w:name="z27" w:id="13"/>
    <w:p>
      <w:pPr>
        <w:spacing w:after="0"/>
        <w:ind w:left="0"/>
        <w:jc w:val="both"/>
      </w:pPr>
      <w:r>
        <w:rPr>
          <w:rFonts w:ascii="Times New Roman"/>
          <w:b w:val="false"/>
          <w:i w:val="false"/>
          <w:color w:val="000000"/>
          <w:sz w:val="28"/>
        </w:rPr>
        <w:t>
      Таблица 1 - Ресурсный потенциал агломерации для содержания и выращивания крупного рогатого скота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855"/>
        <w:gridCol w:w="1474"/>
        <w:gridCol w:w="2984"/>
        <w:gridCol w:w="319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продуктивность пастбищ, ц/га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площади пастбищ на 1 голову КРС в течение года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КРС</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агломерация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городская агломерация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31 356</w:t>
            </w:r>
          </w:p>
        </w:tc>
      </w:tr>
    </w:tbl>
    <w:bookmarkStart w:name="z28" w:id="14"/>
    <w:p>
      <w:pPr>
        <w:spacing w:after="0"/>
        <w:ind w:left="0"/>
        <w:jc w:val="both"/>
      </w:pPr>
      <w:r>
        <w:rPr>
          <w:rFonts w:ascii="Times New Roman"/>
          <w:b w:val="false"/>
          <w:i w:val="false"/>
          <w:color w:val="000000"/>
          <w:sz w:val="28"/>
        </w:rPr>
        <w:t>
      Таблица 2 - Ресурсный потенциал агломерации для содержания и выращивания мелкого рогатого скота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659"/>
        <w:gridCol w:w="1399"/>
        <w:gridCol w:w="2832"/>
        <w:gridCol w:w="3661"/>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продуктивность пастбищ, ц/га</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площади пастбищ на 1 голову МРС в течение года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МРС</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агломерация</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1 689 687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городская агломерация</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59 832</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347 304</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295 357</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404 678</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156 780</w:t>
            </w:r>
          </w:p>
        </w:tc>
      </w:tr>
    </w:tbl>
    <w:bookmarkStart w:name="z29" w:id="15"/>
    <w:p>
      <w:pPr>
        <w:spacing w:after="0"/>
        <w:ind w:left="0"/>
        <w:jc w:val="both"/>
      </w:pPr>
      <w:r>
        <w:rPr>
          <w:rFonts w:ascii="Times New Roman"/>
          <w:b w:val="false"/>
          <w:i w:val="false"/>
          <w:color w:val="000000"/>
          <w:sz w:val="28"/>
        </w:rPr>
        <w:t>
      Таблица 3 - Ресурсный потенциал агломерации для содержания и выращивания лошадей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855"/>
        <w:gridCol w:w="1474"/>
        <w:gridCol w:w="2984"/>
        <w:gridCol w:w="3198"/>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продуктивность пастбищ, ц/га</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потребность площади пастбищ на 1 голову лошадей в течение года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 лошадей</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агломерация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городская агломерация</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167 979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58 793</w:t>
            </w:r>
          </w:p>
        </w:tc>
      </w:tr>
    </w:tbl>
    <w:p>
      <w:pPr>
        <w:spacing w:after="0"/>
        <w:ind w:left="0"/>
        <w:jc w:val="both"/>
      </w:pPr>
      <w:r>
        <w:rPr>
          <w:rFonts w:ascii="Times New Roman"/>
          <w:b w:val="false"/>
          <w:i w:val="false"/>
          <w:color w:val="000000"/>
          <w:sz w:val="28"/>
        </w:rPr>
        <w:t>
      Сельские территории агломерации при рациональном использовании пастбищных и сенокосных угодий позволяют увеличить поголовье крупного рогатого скота (далее - КРС) до 337,9 тыс. Голов, в том числе коров – до 170,3 тыс. Голов, мелкого рогатого скота (далее - МРС) – до 1 689,7 тыс. Голов, лошадей – до 314,3 тыс. голов.</w:t>
      </w:r>
    </w:p>
    <w:p>
      <w:pPr>
        <w:spacing w:after="0"/>
        <w:ind w:left="0"/>
        <w:jc w:val="both"/>
      </w:pPr>
      <w:r>
        <w:rPr>
          <w:rFonts w:ascii="Times New Roman"/>
          <w:b w:val="false"/>
          <w:i w:val="false"/>
          <w:color w:val="000000"/>
          <w:sz w:val="28"/>
        </w:rPr>
        <w:t>
      С учетом средних показателей выхода мяса в убойном весе и среднего надоя молока с одной дойной коровы предприятия агропромышленного комплекса агломерации могут производить ежегодно до 470,9 тыс. Тонн молока и 118,4 тыс. Тонн мяса КРС, 67 тыс. Тонн мяса МРС.</w:t>
      </w:r>
    </w:p>
    <w:p>
      <w:pPr>
        <w:spacing w:after="0"/>
        <w:ind w:left="0"/>
        <w:jc w:val="both"/>
      </w:pPr>
      <w:r>
        <w:rPr>
          <w:rFonts w:ascii="Times New Roman"/>
          <w:b w:val="false"/>
          <w:i w:val="false"/>
          <w:color w:val="000000"/>
          <w:sz w:val="28"/>
        </w:rPr>
        <w:t>
      В Хобдинском районе, располагающем 219,1 тыс. Га пастбищных массивов со средней продуктивностью 2,8 ц/га, имеются ресурсы для содержания и выращивания 40,9 тыс. Голов КРС.</w:t>
      </w:r>
    </w:p>
    <w:bookmarkStart w:name="z30" w:id="16"/>
    <w:p>
      <w:pPr>
        <w:spacing w:after="0"/>
        <w:ind w:left="0"/>
        <w:jc w:val="both"/>
      </w:pPr>
      <w:r>
        <w:rPr>
          <w:rFonts w:ascii="Times New Roman"/>
          <w:b w:val="false"/>
          <w:i w:val="false"/>
          <w:color w:val="000000"/>
          <w:sz w:val="28"/>
        </w:rPr>
        <w:t>
      Таблица 4 - Расчет емкости пастбищ для выпаса крупного рогатого скота в Актюбинской агломерации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421"/>
        <w:gridCol w:w="1798"/>
        <w:gridCol w:w="3292"/>
        <w:gridCol w:w="1446"/>
        <w:gridCol w:w="2732"/>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КРС в зеленом корме, кг</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весь пастбищный период в корме, тонн</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зеленой массы пастбища, т/га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пастбища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191 320</w:t>
            </w:r>
          </w:p>
        </w:tc>
      </w:tr>
    </w:tbl>
    <w:bookmarkStart w:name="z31" w:id="17"/>
    <w:p>
      <w:pPr>
        <w:spacing w:after="0"/>
        <w:ind w:left="0"/>
        <w:jc w:val="both"/>
      </w:pPr>
      <w:r>
        <w:rPr>
          <w:rFonts w:ascii="Times New Roman"/>
          <w:b w:val="false"/>
          <w:i w:val="false"/>
          <w:color w:val="000000"/>
          <w:sz w:val="28"/>
        </w:rPr>
        <w:t>
      Таблица 5 – Расчет емкости пастбищ для выпаса мелкого рогатого скота в Актюбинской агломерации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359"/>
        <w:gridCol w:w="1720"/>
        <w:gridCol w:w="3148"/>
        <w:gridCol w:w="1383"/>
        <w:gridCol w:w="315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МРС в зеленом корме, кг</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на весь пастбищный период в корме, тонн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пастбищных угодий, га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зеленой массы пастбища, т/га</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пастбища</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1 506 642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1 116 031</w:t>
            </w:r>
          </w:p>
        </w:tc>
      </w:tr>
    </w:tbl>
    <w:p>
      <w:pPr>
        <w:spacing w:after="0"/>
        <w:ind w:left="0"/>
        <w:jc w:val="both"/>
      </w:pPr>
      <w:r>
        <w:rPr>
          <w:rFonts w:ascii="Times New Roman"/>
          <w:b w:val="false"/>
          <w:i w:val="false"/>
          <w:color w:val="000000"/>
          <w:sz w:val="28"/>
        </w:rPr>
        <w:t>
      Таким образом, исходя из емкости пастбищных угодий Актюбинской агломерации, возможно увеличить поголовье до 191,3 тыс. Голов КРС, МРС - до 1116 тыс. Голов.</w:t>
      </w:r>
    </w:p>
    <w:p>
      <w:pPr>
        <w:spacing w:after="0"/>
        <w:ind w:left="0"/>
        <w:jc w:val="both"/>
      </w:pPr>
      <w:r>
        <w:rPr>
          <w:rFonts w:ascii="Times New Roman"/>
          <w:b w:val="false"/>
          <w:i w:val="false"/>
          <w:color w:val="000000"/>
          <w:sz w:val="28"/>
        </w:rPr>
        <w:t>
      При этом, общий выход мяса в чистом весе со всего поголовья КРС составит 61907,8 тонн, МРС - 609432,7 тонн.</w:t>
      </w:r>
    </w:p>
    <w:p>
      <w:pPr>
        <w:spacing w:after="0"/>
        <w:ind w:left="0"/>
        <w:jc w:val="both"/>
      </w:pPr>
      <w:r>
        <w:rPr>
          <w:rFonts w:ascii="Times New Roman"/>
          <w:b w:val="false"/>
          <w:i w:val="false"/>
          <w:color w:val="000000"/>
          <w:sz w:val="28"/>
        </w:rPr>
        <w:t>
      Реализация мер по развитию градообразующей базы сел, интенсивному развитию отраслей растениеводства и животноводства и предприятий по переработке сельскохозяйственной продукции позволит комплексно развивать сельские территории.</w:t>
      </w:r>
    </w:p>
    <w:p>
      <w:pPr>
        <w:spacing w:after="0"/>
        <w:ind w:left="0"/>
        <w:jc w:val="both"/>
      </w:pPr>
      <w:r>
        <w:rPr>
          <w:rFonts w:ascii="Times New Roman"/>
          <w:b w:val="false"/>
          <w:i w:val="false"/>
          <w:color w:val="000000"/>
          <w:sz w:val="28"/>
        </w:rPr>
        <w:t>
      Вокруг города Актобе следует развивать продовольственный пояс на базе сельскохозяйственных предприятий, специализирующихся на производстве молока, мяса, овощей, фруктов, картофеля, плодов и ягод. В периферийной зоне следует строить тепличные хозяйства по выращиванию овощей, ягод и цветов.</w:t>
      </w:r>
    </w:p>
    <w:p>
      <w:pPr>
        <w:spacing w:after="0"/>
        <w:ind w:left="0"/>
        <w:jc w:val="both"/>
      </w:pPr>
      <w:r>
        <w:rPr>
          <w:rFonts w:ascii="Times New Roman"/>
          <w:b w:val="false"/>
          <w:i w:val="false"/>
          <w:color w:val="000000"/>
          <w:sz w:val="28"/>
        </w:rPr>
        <w:t>
      В растениеводстве необходимо продолжить работу по структурной и технологической диверсификации посевных площадей по выращиванию приоритетных сельскохозяйственных культур: пшеницы (Каргалинский, Мартукский, Хромтауский районы, северная часть Хобдинского района), овощей и фруктов, бахчевых культур, кормов, которые ввозятся на территорию агломерации из-за пределов региона и страны, а также развивать сеть тепличных комплексов и овощехранилищ.</w:t>
      </w:r>
    </w:p>
    <w:p>
      <w:pPr>
        <w:spacing w:after="0"/>
        <w:ind w:left="0"/>
        <w:jc w:val="both"/>
      </w:pPr>
      <w:r>
        <w:rPr>
          <w:rFonts w:ascii="Times New Roman"/>
          <w:b w:val="false"/>
          <w:i w:val="false"/>
          <w:color w:val="000000"/>
          <w:sz w:val="28"/>
        </w:rPr>
        <w:t>
      До 2020 года планируется построить тепличные комплексы на площади 46 га, 2030 года - 60 га для обеспечения населения овощами в межсезонный период.</w:t>
      </w:r>
    </w:p>
    <w:p>
      <w:pPr>
        <w:spacing w:after="0"/>
        <w:ind w:left="0"/>
        <w:jc w:val="both"/>
      </w:pPr>
      <w:r>
        <w:rPr>
          <w:rFonts w:ascii="Times New Roman"/>
          <w:b w:val="false"/>
          <w:i w:val="false"/>
          <w:color w:val="000000"/>
          <w:sz w:val="28"/>
        </w:rPr>
        <w:t>
      Для полного использования потенциала кормовых культур и получения гарантированного запаса кормов необходимо развивать производство кормов на орошаемых и лиманных землях: кукурузы, подсолнечника, сорго на силос и зеленого корма, суданской травы, житняка на сено в Мартукском, Каргалинском районах, северной части Хобдинского района, северной и центральной части Хромтауского района.</w:t>
      </w:r>
    </w:p>
    <w:p>
      <w:pPr>
        <w:spacing w:after="0"/>
        <w:ind w:left="0"/>
        <w:jc w:val="both"/>
      </w:pPr>
      <w:r>
        <w:rPr>
          <w:rFonts w:ascii="Times New Roman"/>
          <w:b w:val="false"/>
          <w:i w:val="false"/>
          <w:color w:val="000000"/>
          <w:sz w:val="28"/>
        </w:rPr>
        <w:t>
      В Алгинском, Хобдинском районах, восточной и южной частях Хромтауского района, северной части Мугалжарского района в качестве приоритетных культур определены яровая пшеница и перемежающиеся зернофуражные, масличные и кормовые культуры.</w:t>
      </w:r>
    </w:p>
    <w:p>
      <w:pPr>
        <w:spacing w:after="0"/>
        <w:ind w:left="0"/>
        <w:jc w:val="both"/>
      </w:pPr>
      <w:r>
        <w:rPr>
          <w:rFonts w:ascii="Times New Roman"/>
          <w:b w:val="false"/>
          <w:i w:val="false"/>
          <w:color w:val="000000"/>
          <w:sz w:val="28"/>
        </w:rPr>
        <w:t>
      На засушливых землях Мугалжарского района предполагается выращивание засухоустойчивых кормовых культур - суданки и житняка. Для улучшения кормовой базы животноводства должны возделываться такие засухоустойчивые культуры как суданская трава, житняк, волосенец, изень.</w:t>
      </w:r>
    </w:p>
    <w:p>
      <w:pPr>
        <w:spacing w:after="0"/>
        <w:ind w:left="0"/>
        <w:jc w:val="both"/>
      </w:pPr>
      <w:r>
        <w:rPr>
          <w:rFonts w:ascii="Times New Roman"/>
          <w:b w:val="false"/>
          <w:i w:val="false"/>
          <w:color w:val="000000"/>
          <w:sz w:val="28"/>
        </w:rPr>
        <w:t>
      К 2020 году необходимо развивать мини-фермы по разведению КРС, овец, коз, птиц, кроликов, перепелок, а также пчеловодства и рыбоводства, используя программу поддержки и развития бизнеса "Дорожная карта бизнеса-2020", а также заложить основу полномасштабного развития индустриально-аграрной зоны по выращиванию разнообразных сельскохозяйственных культур.</w:t>
      </w:r>
    </w:p>
    <w:p>
      <w:pPr>
        <w:spacing w:after="0"/>
        <w:ind w:left="0"/>
        <w:jc w:val="both"/>
      </w:pPr>
      <w:r>
        <w:rPr>
          <w:rFonts w:ascii="Times New Roman"/>
          <w:b w:val="false"/>
          <w:i w:val="false"/>
          <w:color w:val="000000"/>
          <w:sz w:val="28"/>
        </w:rPr>
        <w:t>
      В целях эффективного использования производственных мощностей отрасли необходимо увеличение объема заготовки шкур сельскохозяйственных животных путем создания пунктов приема. В Мугалжарском, Алгинском и Хобдинском районах рекомендуется строительство заготовительных центров, на основе которых предполагаются дальнейшая диверсификация агропромышленного комплекса, открытие цехов по первичной обработке шкур сельскохозяйственных животных и производству готового полуфабриката WET-blue.</w:t>
      </w:r>
    </w:p>
    <w:p>
      <w:pPr>
        <w:spacing w:after="0"/>
        <w:ind w:left="0"/>
        <w:jc w:val="both"/>
      </w:pPr>
      <w:r>
        <w:rPr>
          <w:rFonts w:ascii="Times New Roman"/>
          <w:b w:val="false"/>
          <w:i w:val="false"/>
          <w:color w:val="000000"/>
          <w:sz w:val="28"/>
        </w:rPr>
        <w:t>
      К 2030 году формирование индустриально-аграрной зоны в агропромышленном комплексе следует продолжить за счет повышения эффективности производства, снижения себестоимости производства и переработки сельскохозяйственной продукции.</w:t>
      </w:r>
    </w:p>
    <w:p>
      <w:pPr>
        <w:spacing w:after="0"/>
        <w:ind w:left="0"/>
        <w:jc w:val="both"/>
      </w:pPr>
      <w:r>
        <w:rPr>
          <w:rFonts w:ascii="Times New Roman"/>
          <w:b w:val="false"/>
          <w:i w:val="false"/>
          <w:color w:val="000000"/>
          <w:sz w:val="28"/>
        </w:rPr>
        <w:t>
      Необходимо предусмотреть цифровую трансформацию сельского хозяйства агломерации - использование цифровых технологий в поливе, сборе урожая, торговле, создании баз и бирж, транспортно-логистических систем.</w:t>
      </w:r>
    </w:p>
    <w:p>
      <w:pPr>
        <w:spacing w:after="0"/>
        <w:ind w:left="0"/>
        <w:jc w:val="both"/>
      </w:pPr>
      <w:r>
        <w:rPr>
          <w:rFonts w:ascii="Times New Roman"/>
          <w:b w:val="false"/>
          <w:i w:val="false"/>
          <w:color w:val="000000"/>
          <w:sz w:val="28"/>
        </w:rPr>
        <w:t>
      Меры по развитию малого и среднего предпринимательства</w:t>
      </w:r>
    </w:p>
    <w:p>
      <w:pPr>
        <w:spacing w:after="0"/>
        <w:ind w:left="0"/>
        <w:jc w:val="both"/>
      </w:pPr>
      <w:r>
        <w:rPr>
          <w:rFonts w:ascii="Times New Roman"/>
          <w:b w:val="false"/>
          <w:i w:val="false"/>
          <w:color w:val="000000"/>
          <w:sz w:val="28"/>
        </w:rPr>
        <w:t>
      За январь-июль 2017 года количество действующих субъектов малого и среднего предпринимательства (далее - МСП) в районах и городе Актобе, входящих в зону агломерации, составило 42,8 тыс. единиц.</w:t>
      </w:r>
    </w:p>
    <w:p>
      <w:pPr>
        <w:spacing w:after="0"/>
        <w:ind w:left="0"/>
        <w:jc w:val="both"/>
      </w:pPr>
      <w:r>
        <w:rPr>
          <w:rFonts w:ascii="Times New Roman"/>
          <w:b w:val="false"/>
          <w:i w:val="false"/>
          <w:color w:val="000000"/>
          <w:sz w:val="28"/>
        </w:rPr>
        <w:t>
      Численность работающих в этой сфере составила 117,8 тысяч человек. Объем выпуска продукции субъектами МСП составил 238,4 млрд. тенге.</w:t>
      </w:r>
    </w:p>
    <w:p>
      <w:pPr>
        <w:spacing w:after="0"/>
        <w:ind w:left="0"/>
        <w:jc w:val="both"/>
      </w:pPr>
      <w:r>
        <w:rPr>
          <w:rFonts w:ascii="Times New Roman"/>
          <w:b w:val="false"/>
          <w:i w:val="false"/>
          <w:color w:val="000000"/>
          <w:sz w:val="28"/>
        </w:rPr>
        <w:t>
      В целях развития МСП в районах, входящих в состав агломерации, создаются бизнес-инкубаторы, оказывающие помощь в совершенствовании управления малыми предприятиями, реализации специализированных программ обучения персонала современным методам управления, создании пространства информационного обмена, где субъекты МСП могли бы делиться опытом и совместно решать накопившиеся проблемы.</w:t>
      </w:r>
    </w:p>
    <w:p>
      <w:pPr>
        <w:spacing w:after="0"/>
        <w:ind w:left="0"/>
        <w:jc w:val="both"/>
      </w:pPr>
      <w:r>
        <w:rPr>
          <w:rFonts w:ascii="Times New Roman"/>
          <w:b w:val="false"/>
          <w:i w:val="false"/>
          <w:color w:val="000000"/>
          <w:sz w:val="28"/>
        </w:rPr>
        <w:t>
      Потенциальные арендаторы будут осуществлять свою деятельность в следующих сферах, указанных по мере приоритетности прав на реализацию бизнеса в бизнес-инкубаторе: производственная, инновационная, оказание услуг, ремесленная. К 2030 году предполагается увеличение количества инновационно-активных предприятий, при этом доля инновационной продукции в ВРП увеличится до 15 %.</w:t>
      </w:r>
    </w:p>
    <w:p>
      <w:pPr>
        <w:spacing w:after="0"/>
        <w:ind w:left="0"/>
        <w:jc w:val="both"/>
      </w:pPr>
      <w:r>
        <w:rPr>
          <w:rFonts w:ascii="Times New Roman"/>
          <w:b w:val="false"/>
          <w:i w:val="false"/>
          <w:color w:val="000000"/>
          <w:sz w:val="28"/>
        </w:rPr>
        <w:t>
      В настоящее время бизнес-инкубатор действует в моногороде Хромтау. Планируется реализация в городе Актобе, Мартукском районе и малом городе Алга.</w:t>
      </w:r>
    </w:p>
    <w:p>
      <w:pPr>
        <w:spacing w:after="0"/>
        <w:ind w:left="0"/>
        <w:jc w:val="both"/>
      </w:pPr>
      <w:r>
        <w:rPr>
          <w:rFonts w:ascii="Times New Roman"/>
          <w:b w:val="false"/>
          <w:i w:val="false"/>
          <w:color w:val="000000"/>
          <w:sz w:val="28"/>
        </w:rPr>
        <w:t>
      Развитие малого и среднего предпринимательства Актюбинской агломерации видится в таких отраслях, как сельское хозяйство, производство продуктов питания, производство строительных материалов, транспорт, сфера услуг. В других отраслях следует продолжить создание производств малого и среднего бизнеса на базе и в кооперации с крупными предприятиями. Существуют потенциальные возможности развития малого и среднего бизнеса в нефтедобывающей промышленности Актюбинской агломерации.</w:t>
      </w:r>
    </w:p>
    <w:p>
      <w:pPr>
        <w:spacing w:after="0"/>
        <w:ind w:left="0"/>
        <w:jc w:val="both"/>
      </w:pPr>
      <w:r>
        <w:rPr>
          <w:rFonts w:ascii="Times New Roman"/>
          <w:b w:val="false"/>
          <w:i w:val="false"/>
          <w:color w:val="000000"/>
          <w:sz w:val="28"/>
        </w:rPr>
        <w:t>
      Организация производств конечной продукции высоких переделов на основе базовых металлов является перспективным направлением развития предприятий малого и среднего бизнеса.</w:t>
      </w:r>
    </w:p>
    <w:p>
      <w:pPr>
        <w:spacing w:after="0"/>
        <w:ind w:left="0"/>
        <w:jc w:val="both"/>
      </w:pPr>
      <w:r>
        <w:rPr>
          <w:rFonts w:ascii="Times New Roman"/>
          <w:b w:val="false"/>
          <w:i w:val="false"/>
          <w:color w:val="000000"/>
          <w:sz w:val="28"/>
        </w:rPr>
        <w:t xml:space="preserve">
      Потенциальные возможности развития малого предпринимательства имеются и в добыче металлов путем активизации старательской деятельности: переработка бедных и труднообогатимых руд, вовлечение в эксплуатацию забалансовых запасов, переработка техногенных отвалов многих горно-обогатительных комбинатов, содержащих определенное количество золота, не полностью извлеченного при первичной обработке. Для этого необходимо урегулировать старательскую деятельность в нормативных правовых актах Республики Казахстан, а именно, в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
      Перспективным направлением развития малого и среднего бизнеса является реализация конкурентных преимуществ, связанных с формированием и развитием медицинского кластера, развитием логистики.</w:t>
      </w:r>
    </w:p>
    <w:p>
      <w:pPr>
        <w:spacing w:after="0"/>
        <w:ind w:left="0"/>
        <w:jc w:val="both"/>
      </w:pPr>
      <w:r>
        <w:rPr>
          <w:rFonts w:ascii="Times New Roman"/>
          <w:b w:val="false"/>
          <w:i w:val="false"/>
          <w:color w:val="000000"/>
          <w:sz w:val="28"/>
        </w:rPr>
        <w:t>
      В таких отраслях, как сельское хозяйство, производство продуктов питания, производство строительных материалов и транспорт развитие обеспечивается преимущественно за счет малого и среднего бизнеса. В других отраслях следует продолжить создание производств малого и среднего бизнеса на базе и в кооперации с крупными предприятиями. Например, в черной металлургии возможно развитие предприятий малого бизнеса в городе Актобе вокруг крупных предприятий по переработке лома (отходов) черных металлов, в городах Актобе, Алга, Хромтау и Мугалжарском районе.</w:t>
      </w:r>
    </w:p>
    <w:p>
      <w:pPr>
        <w:spacing w:after="0"/>
        <w:ind w:left="0"/>
        <w:jc w:val="both"/>
      </w:pPr>
      <w:r>
        <w:rPr>
          <w:rFonts w:ascii="Times New Roman"/>
          <w:b w:val="false"/>
          <w:i w:val="false"/>
          <w:color w:val="000000"/>
          <w:sz w:val="28"/>
        </w:rPr>
        <w:t>
      Для эффективного развития малого и среднего бизнеса необходимо использовать существующие инструменты государственной поддержки. Так, в целях развития пояса малых и средних производств вокруг крупных предприятий в 2016-2018 годы АО "СНПС-Актобемунайгаз", АО "ТНК "Казхром", АО "Актюбинский завод хрмовых соединений", ТОО "Казахойл Актобе", "Восход-Oriel", "Актюбинская медная компания", "Коппер Текнолоджи", "Казгеоруд" будут закупать импортозамещаемую продукцию, производимую местными товаропроизводителями на конкурсной основе при условии, что производимая продукция будет конкурентоспособна Зарубежным аналогам по качеству и цене.</w:t>
      </w:r>
    </w:p>
    <w:p>
      <w:pPr>
        <w:spacing w:after="0"/>
        <w:ind w:left="0"/>
        <w:jc w:val="both"/>
      </w:pPr>
      <w:r>
        <w:rPr>
          <w:rFonts w:ascii="Times New Roman"/>
          <w:b w:val="false"/>
          <w:i w:val="false"/>
          <w:color w:val="000000"/>
          <w:sz w:val="28"/>
        </w:rPr>
        <w:t>
      Ожидается, что в результате ее реализации будет увеличена доля местного содержания в закупках крупных предприятий, созданы новые импортозамещающие производства.</w:t>
      </w:r>
    </w:p>
    <w:p>
      <w:pPr>
        <w:spacing w:after="0"/>
        <w:ind w:left="0"/>
        <w:jc w:val="both"/>
      </w:pPr>
      <w:r>
        <w:rPr>
          <w:rFonts w:ascii="Times New Roman"/>
          <w:b w:val="false"/>
          <w:i w:val="false"/>
          <w:color w:val="000000"/>
          <w:sz w:val="28"/>
        </w:rPr>
        <w:t>
      Также необходимо предусмотреть размещение объектов малого и среднего бизнеса на площадках простаивающих, законсервированных или неработающих предприятий, обеспеченных инфраструктурой земельных участков, под строительство зданий и сооружений для производственных объектов, готовых для сдачи в аренду или продажи предпринимателям. Необходимо предусмотреть наполнение малых индустриальных зон конкурентоспособными проектами предпринимательства.</w:t>
      </w:r>
    </w:p>
    <w:p>
      <w:pPr>
        <w:spacing w:after="0"/>
        <w:ind w:left="0"/>
        <w:jc w:val="both"/>
      </w:pPr>
      <w:r>
        <w:rPr>
          <w:rFonts w:ascii="Times New Roman"/>
          <w:b w:val="false"/>
          <w:i w:val="false"/>
          <w:color w:val="000000"/>
          <w:sz w:val="28"/>
        </w:rPr>
        <w:t>
      Основная деятельность малых индустриальных зон будет направлена на содействие ускоренному развитию частного предпринимательства в сфере промышленности, оптимизацию затрат на создание и расширение инфраструктуры новых производств, повышение эффективности производства, обеспечение занятости населения.</w:t>
      </w:r>
    </w:p>
    <w:p>
      <w:pPr>
        <w:spacing w:after="0"/>
        <w:ind w:left="0"/>
        <w:jc w:val="both"/>
      </w:pPr>
      <w:r>
        <w:rPr>
          <w:rFonts w:ascii="Times New Roman"/>
          <w:b w:val="false"/>
          <w:i w:val="false"/>
          <w:color w:val="000000"/>
          <w:sz w:val="28"/>
        </w:rPr>
        <w:t>
      Это придаст импульс развитию малого и среднего бизнеса, будет способствовать индустриально-инновационному развитию региона и созданию новых рабочих мест.</w:t>
      </w:r>
    </w:p>
    <w:p>
      <w:pPr>
        <w:spacing w:after="0"/>
        <w:ind w:left="0"/>
        <w:jc w:val="both"/>
      </w:pPr>
      <w:r>
        <w:rPr>
          <w:rFonts w:ascii="Times New Roman"/>
          <w:b w:val="false"/>
          <w:i w:val="false"/>
          <w:color w:val="000000"/>
          <w:sz w:val="28"/>
        </w:rPr>
        <w:t>
      Меры по повышению инвестиционной привлекательности</w:t>
      </w:r>
    </w:p>
    <w:p>
      <w:pPr>
        <w:spacing w:after="0"/>
        <w:ind w:left="0"/>
        <w:jc w:val="both"/>
      </w:pPr>
      <w:r>
        <w:rPr>
          <w:rFonts w:ascii="Times New Roman"/>
          <w:b w:val="false"/>
          <w:i w:val="false"/>
          <w:color w:val="000000"/>
          <w:sz w:val="28"/>
        </w:rPr>
        <w:t>
      Социально-экономический и ресурсный потенциал Актюбинской агломерации в полной мере отвечает основным приоритетам инвесторов: рынок и логистика, полезные ископаемые, трудовые ресурсы, энергетические ресурсы, инвестиционные проекты и государственные меры поддержки.</w:t>
      </w:r>
    </w:p>
    <w:p>
      <w:pPr>
        <w:spacing w:after="0"/>
        <w:ind w:left="0"/>
        <w:jc w:val="both"/>
      </w:pPr>
      <w:r>
        <w:rPr>
          <w:rFonts w:ascii="Times New Roman"/>
          <w:b w:val="false"/>
          <w:i w:val="false"/>
          <w:color w:val="000000"/>
          <w:sz w:val="28"/>
        </w:rPr>
        <w:t>
      С целью повышения эффективности работы инвесторов необходимо сформировать информационную базу об инвестиционном потенциале агломерации, инвестиционных проектах, аналитических обзорах по перспективным отраслям экономики, доступную на информационных ресурсах, а также обеспечить презентации инвестиционных возможностей, консалтинг по налогам, инвестиционным преференциям.</w:t>
      </w:r>
    </w:p>
    <w:p>
      <w:pPr>
        <w:spacing w:after="0"/>
        <w:ind w:left="0"/>
        <w:jc w:val="both"/>
      </w:pPr>
      <w:r>
        <w:rPr>
          <w:rFonts w:ascii="Times New Roman"/>
          <w:b w:val="false"/>
          <w:i w:val="false"/>
          <w:color w:val="000000"/>
          <w:sz w:val="28"/>
        </w:rPr>
        <w:t>
      Для повышения инвестиционной привлекательности зон опережающего развития целесообразна разработка инвестиционных паспортов регионов с использованием данных государственного градостроительного кадастра.</w:t>
      </w:r>
    </w:p>
    <w:p>
      <w:pPr>
        <w:spacing w:after="0"/>
        <w:ind w:left="0"/>
        <w:jc w:val="both"/>
      </w:pPr>
      <w:r>
        <w:rPr>
          <w:rFonts w:ascii="Times New Roman"/>
          <w:b w:val="false"/>
          <w:i w:val="false"/>
          <w:color w:val="000000"/>
          <w:sz w:val="28"/>
        </w:rPr>
        <w:t>
      Привлечение к инновационной деятельности научных организаций региона и предприятий, обладающих конкурентоспособным потенциалом на региональном рынке, создаст предпосылки формирования высокотехнологичных несырьевых секторов экономики.</w:t>
      </w:r>
    </w:p>
    <w:p>
      <w:pPr>
        <w:spacing w:after="0"/>
        <w:ind w:left="0"/>
        <w:jc w:val="both"/>
      </w:pPr>
      <w:r>
        <w:rPr>
          <w:rFonts w:ascii="Times New Roman"/>
          <w:b w:val="false"/>
          <w:i w:val="false"/>
          <w:color w:val="000000"/>
          <w:sz w:val="28"/>
        </w:rPr>
        <w:t>
      Создание предпосылок формирования высокотехнологичных несырьевых секторов экономики видится в возможном привлечении к инновационной деятельности научных организаций региона и предприятий, обладающих конкурентоспособным потенциалом на региональном рынке.</w:t>
      </w:r>
    </w:p>
    <w:p>
      <w:pPr>
        <w:spacing w:after="0"/>
        <w:ind w:left="0"/>
        <w:jc w:val="both"/>
      </w:pPr>
      <w:r>
        <w:rPr>
          <w:rFonts w:ascii="Times New Roman"/>
          <w:b w:val="false"/>
          <w:i w:val="false"/>
          <w:color w:val="000000"/>
          <w:sz w:val="28"/>
        </w:rPr>
        <w:t>
      Меры привлечения инвестиций во все отрасли экономики с учетом текущей экономической ситуации:</w:t>
      </w:r>
    </w:p>
    <w:p>
      <w:pPr>
        <w:spacing w:after="0"/>
        <w:ind w:left="0"/>
        <w:jc w:val="both"/>
      </w:pPr>
      <w:r>
        <w:rPr>
          <w:rFonts w:ascii="Times New Roman"/>
          <w:b w:val="false"/>
          <w:i w:val="false"/>
          <w:color w:val="000000"/>
          <w:sz w:val="28"/>
        </w:rPr>
        <w:t>
      1) создание и развитие индустриальных зон, сопровождение реализации проектов в индустриальных зонах;</w:t>
      </w:r>
    </w:p>
    <w:p>
      <w:pPr>
        <w:spacing w:after="0"/>
        <w:ind w:left="0"/>
        <w:jc w:val="both"/>
      </w:pPr>
      <w:r>
        <w:rPr>
          <w:rFonts w:ascii="Times New Roman"/>
          <w:b w:val="false"/>
          <w:i w:val="false"/>
          <w:color w:val="000000"/>
          <w:sz w:val="28"/>
        </w:rPr>
        <w:t>
      2) стимулирование развития кластеров и высокотехнологичных производств;</w:t>
      </w:r>
    </w:p>
    <w:p>
      <w:pPr>
        <w:spacing w:after="0"/>
        <w:ind w:left="0"/>
        <w:jc w:val="both"/>
      </w:pPr>
      <w:r>
        <w:rPr>
          <w:rFonts w:ascii="Times New Roman"/>
          <w:b w:val="false"/>
          <w:i w:val="false"/>
          <w:color w:val="000000"/>
          <w:sz w:val="28"/>
        </w:rPr>
        <w:t>
      3) развитие целостного транспортного каркаса Актюбинской агломерации;</w:t>
      </w:r>
    </w:p>
    <w:p>
      <w:pPr>
        <w:spacing w:after="0"/>
        <w:ind w:left="0"/>
        <w:jc w:val="both"/>
      </w:pPr>
      <w:r>
        <w:rPr>
          <w:rFonts w:ascii="Times New Roman"/>
          <w:b w:val="false"/>
          <w:i w:val="false"/>
          <w:color w:val="000000"/>
          <w:sz w:val="28"/>
        </w:rPr>
        <w:t>
      4) стимулирование реализации проектов в рамках государственно-частного партнерства, концессионных соглашений в сфере жилищно-коммунального хозяйства, энергоснабжения, водообеспечения и других.</w:t>
      </w:r>
    </w:p>
    <w:p>
      <w:pPr>
        <w:spacing w:after="0"/>
        <w:ind w:left="0"/>
        <w:jc w:val="both"/>
      </w:pPr>
      <w:r>
        <w:rPr>
          <w:rFonts w:ascii="Times New Roman"/>
          <w:b w:val="false"/>
          <w:i w:val="false"/>
          <w:color w:val="000000"/>
          <w:sz w:val="28"/>
        </w:rPr>
        <w:t>
      Меры развития инноваций и высокотехнологичных производств</w:t>
      </w:r>
    </w:p>
    <w:p>
      <w:pPr>
        <w:spacing w:after="0"/>
        <w:ind w:left="0"/>
        <w:jc w:val="both"/>
      </w:pPr>
      <w:r>
        <w:rPr>
          <w:rFonts w:ascii="Times New Roman"/>
          <w:b w:val="false"/>
          <w:i w:val="false"/>
          <w:color w:val="000000"/>
          <w:sz w:val="28"/>
        </w:rPr>
        <w:t>
      На территории агломерации функционирует ряд крупных машиностроительных и других предприятий, на которых имеются конструкторские группы, сохранены принципы работы по научно-исследовательским и опытно-конструкторским работам (далее - НИОКР), создана инфраструктура внедрения инноваций. Научно-исследовательской деятельностью занимаются ТОО "Запрудгеология", ТОО "Актюбинский научно-исследовательский геологоразведочный нефтяной институт" и другие. В сентябре 2017 года при Актюбинском региональном государственном университете имени К. Жубанова открыт Парк инновационных технологий.</w:t>
      </w:r>
    </w:p>
    <w:p>
      <w:pPr>
        <w:spacing w:after="0"/>
        <w:ind w:left="0"/>
        <w:jc w:val="both"/>
      </w:pPr>
      <w:r>
        <w:rPr>
          <w:rFonts w:ascii="Times New Roman"/>
          <w:b w:val="false"/>
          <w:i w:val="false"/>
          <w:color w:val="000000"/>
          <w:sz w:val="28"/>
        </w:rPr>
        <w:t>
      В 2016 году введен в эксплуатацию Актюбинский рельсобалочный завод.</w:t>
      </w:r>
    </w:p>
    <w:p>
      <w:pPr>
        <w:spacing w:after="0"/>
        <w:ind w:left="0"/>
        <w:jc w:val="both"/>
      </w:pPr>
      <w:r>
        <w:rPr>
          <w:rFonts w:ascii="Times New Roman"/>
          <w:b w:val="false"/>
          <w:i w:val="false"/>
          <w:color w:val="000000"/>
          <w:sz w:val="28"/>
        </w:rPr>
        <w:t>
      В 2016 году в целях реализации кластера "Образование - наука - производство" введен в эксплуатацию технопарк (ТОО "Технопарк "ZEREK") общей площадью 1652 м</w:t>
      </w:r>
      <w:r>
        <w:rPr>
          <w:rFonts w:ascii="Times New Roman"/>
          <w:b w:val="false"/>
          <w:i w:val="false"/>
          <w:color w:val="000000"/>
          <w:vertAlign w:val="superscript"/>
        </w:rPr>
        <w:t>2</w:t>
      </w:r>
      <w:r>
        <w:rPr>
          <w:rFonts w:ascii="Times New Roman"/>
          <w:b w:val="false"/>
          <w:i w:val="false"/>
          <w:color w:val="000000"/>
          <w:sz w:val="28"/>
        </w:rPr>
        <w:t>, в котором функцинируют 3 научных лаборатории. Создан Офис трансфера технологий и коммерциализации науки Актюбинской области при ТОО "Региональный центр государственно-частного партнерства Актюбинской области", который занимается работой по поиску инновационных технологий для отечественных производственных компаний региона, оказанию помощи в разработке стратегических планов по коммерциализации при участии в конкурсах на грантовое финансирование от Всемирного Банка развития Казахстана, Фонда науки Комитета науки Министерства образования и науки Республики Казахстан, поиску финансирования НИОКР для ученых ВУЗов, ТОО "Технопарк "ZEREK", предприятий.</w:t>
      </w:r>
    </w:p>
    <w:p>
      <w:pPr>
        <w:spacing w:after="0"/>
        <w:ind w:left="0"/>
        <w:jc w:val="both"/>
      </w:pPr>
      <w:r>
        <w:rPr>
          <w:rFonts w:ascii="Times New Roman"/>
          <w:b w:val="false"/>
          <w:i w:val="false"/>
          <w:color w:val="000000"/>
          <w:sz w:val="28"/>
        </w:rPr>
        <w:t>
      Перспективными приоритетными мерами развития инноваций являются разработка и реализация инновационных проектов, коммерциализация технологий, масштабное привлечение в экономику прямых иностранных и отечественных инвестиций.</w:t>
      </w:r>
    </w:p>
    <w:p>
      <w:pPr>
        <w:spacing w:after="0"/>
        <w:ind w:left="0"/>
        <w:jc w:val="both"/>
      </w:pPr>
      <w:r>
        <w:rPr>
          <w:rFonts w:ascii="Times New Roman"/>
          <w:b w:val="false"/>
          <w:i w:val="false"/>
          <w:color w:val="000000"/>
          <w:sz w:val="28"/>
        </w:rPr>
        <w:t>
      В целях развития инноваций и высокотехнологичных производств предполагается целевое направление денежных средств недропользователей на финансирование НИОКР, связанных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с высокой добавленной стоимостью. Кроме того, необходимо предусмотреть рассмотрение возможности направления расходов на развитие элементов индустриально-инновационной инфраструктуры - индустриальных зон.</w:t>
      </w:r>
    </w:p>
    <w:p>
      <w:pPr>
        <w:spacing w:after="0"/>
        <w:ind w:left="0"/>
        <w:jc w:val="both"/>
      </w:pPr>
      <w:r>
        <w:rPr>
          <w:rFonts w:ascii="Times New Roman"/>
          <w:b w:val="false"/>
          <w:i w:val="false"/>
          <w:color w:val="000000"/>
          <w:sz w:val="28"/>
        </w:rPr>
        <w:t>
      На смену традиционной отраслевой и территориальной концентрации должны прийти новые формы кластерной организации, специальной экономической и индустриально-экономической зоны и другие.</w:t>
      </w:r>
    </w:p>
    <w:p>
      <w:pPr>
        <w:spacing w:after="0"/>
        <w:ind w:left="0"/>
        <w:jc w:val="both"/>
      </w:pPr>
      <w:r>
        <w:rPr>
          <w:rFonts w:ascii="Times New Roman"/>
          <w:b w:val="false"/>
          <w:i w:val="false"/>
          <w:color w:val="000000"/>
          <w:sz w:val="28"/>
        </w:rPr>
        <w:t>
      Учитывая близость российских регионов, дальнейшее сотрудничество граничащих регионов должно укрепляться в инновационной сфере. При этом должны быть задействованы локальные институты развития в границах Актюбинской агломерации. К примеру, целесообразна проработка вопроса возможности создания совместного научно-технологического центра на территории города Актобе (по примеру в городах Астане и Алматы).</w:t>
      </w:r>
    </w:p>
    <w:p>
      <w:pPr>
        <w:spacing w:after="0"/>
        <w:ind w:left="0"/>
        <w:jc w:val="both"/>
      </w:pPr>
      <w:r>
        <w:rPr>
          <w:rFonts w:ascii="Times New Roman"/>
          <w:b w:val="false"/>
          <w:i w:val="false"/>
          <w:color w:val="000000"/>
          <w:sz w:val="28"/>
        </w:rPr>
        <w:t>
      Также необходимо создать информационно-инновационную площадку формата G-Global для глобального общения и построения коммуникаций.</w:t>
      </w:r>
    </w:p>
    <w:p>
      <w:pPr>
        <w:spacing w:after="0"/>
        <w:ind w:left="0"/>
        <w:jc w:val="both"/>
      </w:pPr>
      <w:r>
        <w:rPr>
          <w:rFonts w:ascii="Times New Roman"/>
          <w:b w:val="false"/>
          <w:i w:val="false"/>
          <w:color w:val="000000"/>
          <w:sz w:val="28"/>
        </w:rPr>
        <w:t>
      В целях придания инновационности экономике агломерации местным исполнительным органам целесообразно предусмотреть возможность стимуляции улучшения качества образования и увеличения доли инновационно-активных предприятий, проводящих научно-исследовательские и опытно-конструкторские работы.</w:t>
      </w:r>
    </w:p>
    <w:p>
      <w:pPr>
        <w:spacing w:after="0"/>
        <w:ind w:left="0"/>
        <w:jc w:val="both"/>
      </w:pPr>
      <w:r>
        <w:rPr>
          <w:rFonts w:ascii="Times New Roman"/>
          <w:b w:val="false"/>
          <w:i w:val="false"/>
          <w:color w:val="000000"/>
          <w:sz w:val="28"/>
        </w:rPr>
        <w:t>
      В целом, для достижения положительных результатов в сфере высокотехнологичного производства необходимо предпринять следующие меры:</w:t>
      </w:r>
    </w:p>
    <w:p>
      <w:pPr>
        <w:spacing w:after="0"/>
        <w:ind w:left="0"/>
        <w:jc w:val="both"/>
      </w:pPr>
      <w:r>
        <w:rPr>
          <w:rFonts w:ascii="Times New Roman"/>
          <w:b w:val="false"/>
          <w:i w:val="false"/>
          <w:color w:val="000000"/>
          <w:sz w:val="28"/>
        </w:rPr>
        <w:t>
      сформировать стратегический план развития предприятий высокотехнологичного сектора;</w:t>
      </w:r>
    </w:p>
    <w:p>
      <w:pPr>
        <w:spacing w:after="0"/>
        <w:ind w:left="0"/>
        <w:jc w:val="both"/>
      </w:pPr>
      <w:r>
        <w:rPr>
          <w:rFonts w:ascii="Times New Roman"/>
          <w:b w:val="false"/>
          <w:i w:val="false"/>
          <w:color w:val="000000"/>
          <w:sz w:val="28"/>
        </w:rPr>
        <w:t>
      сконцентрировать ресурсы на ключевых направлениях развития научно-технического прогресса и создать оптимальную систему их распределения;</w:t>
      </w:r>
    </w:p>
    <w:p>
      <w:pPr>
        <w:spacing w:after="0"/>
        <w:ind w:left="0"/>
        <w:jc w:val="both"/>
      </w:pPr>
      <w:r>
        <w:rPr>
          <w:rFonts w:ascii="Times New Roman"/>
          <w:b w:val="false"/>
          <w:i w:val="false"/>
          <w:color w:val="000000"/>
          <w:sz w:val="28"/>
        </w:rPr>
        <w:t>
      постоянно стимулировать создание научно-производственных структур, способных создавать конкурентоспособную среду на внутреннем и внешнем рынках;</w:t>
      </w:r>
    </w:p>
    <w:p>
      <w:pPr>
        <w:spacing w:after="0"/>
        <w:ind w:left="0"/>
        <w:jc w:val="both"/>
      </w:pPr>
      <w:r>
        <w:rPr>
          <w:rFonts w:ascii="Times New Roman"/>
          <w:b w:val="false"/>
          <w:i w:val="false"/>
          <w:color w:val="000000"/>
          <w:sz w:val="28"/>
        </w:rPr>
        <w:t>
      создать и внедрить специализированные организационно-экономические механизмы генерации, развития и распространения нововведений, постоянно стимулируя инновационную научную деятельность не только крупных производственных единиц, но малых и средних субъектов предпринимательства.</w:t>
      </w:r>
    </w:p>
    <w:p>
      <w:pPr>
        <w:spacing w:after="0"/>
        <w:ind w:left="0"/>
        <w:jc w:val="both"/>
      </w:pPr>
      <w:r>
        <w:rPr>
          <w:rFonts w:ascii="Times New Roman"/>
          <w:b w:val="false"/>
          <w:i w:val="false"/>
          <w:color w:val="000000"/>
          <w:sz w:val="28"/>
        </w:rPr>
        <w:t>
      Наряду с наращиванием экспорта продукции третьего (производство и прокат стали, неорганическая химия) и четвертого (синтетические материалы, органическая химия) производственных укладов необходимо вести активную работу по увеличению в ней доли высокотехнологичной продукции.</w:t>
      </w:r>
    </w:p>
    <w:p>
      <w:pPr>
        <w:spacing w:after="0"/>
        <w:ind w:left="0"/>
        <w:jc w:val="both"/>
      </w:pPr>
      <w:r>
        <w:rPr>
          <w:rFonts w:ascii="Times New Roman"/>
          <w:b w:val="false"/>
          <w:i w:val="false"/>
          <w:color w:val="000000"/>
          <w:sz w:val="28"/>
        </w:rPr>
        <w:t>
      При этом, Актюбинская агломерация, являясь связующим звеном Западного Казахстана, должна в среднесрочной перспективе сделать упор на развитии среднетехнологичных отраслей высокого уровня (в частности, химическое производство) и высокотехнологичных отраслей (фармацевтика, производство медицинского оборудования, точных и оптических приборов).</w:t>
      </w:r>
    </w:p>
    <w:p>
      <w:pPr>
        <w:spacing w:after="0"/>
        <w:ind w:left="0"/>
        <w:jc w:val="both"/>
      </w:pPr>
      <w:r>
        <w:rPr>
          <w:rFonts w:ascii="Times New Roman"/>
          <w:b w:val="false"/>
          <w:i w:val="false"/>
          <w:color w:val="000000"/>
          <w:sz w:val="28"/>
        </w:rPr>
        <w:t>
      Достижение агломерацией результатов в развитии высокотехнологичных отраслей экономики придаст импульс развитию инноваций и высокотехнологичных производств в опорных центрах Западного региона - городах Уральске, Атырау, Актау.</w:t>
      </w:r>
    </w:p>
    <w:p>
      <w:pPr>
        <w:spacing w:after="0"/>
        <w:ind w:left="0"/>
        <w:jc w:val="both"/>
      </w:pPr>
      <w:r>
        <w:rPr>
          <w:rFonts w:ascii="Times New Roman"/>
          <w:b w:val="false"/>
          <w:i w:val="false"/>
          <w:color w:val="000000"/>
          <w:sz w:val="28"/>
        </w:rPr>
        <w:t xml:space="preserve">
      Меры по стимулированию развития возможных кластеров и индустриальных зон на территории Актюбинской агломерации </w:t>
      </w:r>
    </w:p>
    <w:p>
      <w:pPr>
        <w:spacing w:after="0"/>
        <w:ind w:left="0"/>
        <w:jc w:val="both"/>
      </w:pPr>
      <w:r>
        <w:rPr>
          <w:rFonts w:ascii="Times New Roman"/>
          <w:b w:val="false"/>
          <w:i w:val="false"/>
          <w:color w:val="000000"/>
          <w:sz w:val="28"/>
        </w:rPr>
        <w:t>
      Индустриальные зоны</w:t>
      </w:r>
    </w:p>
    <w:p>
      <w:pPr>
        <w:spacing w:after="0"/>
        <w:ind w:left="0"/>
        <w:jc w:val="both"/>
      </w:pPr>
      <w:r>
        <w:rPr>
          <w:rFonts w:ascii="Times New Roman"/>
          <w:b w:val="false"/>
          <w:i w:val="false"/>
          <w:color w:val="000000"/>
          <w:sz w:val="28"/>
        </w:rPr>
        <w:t>
      В Актюбинской агломерации наиболее перспективной территорией для формирования индустриальных зон будет областной центр - город Актобе. Перспективными территориями для создания индустриальных зон являются территория города Алга, Мугалжарского и Хромтауского районов.</w:t>
      </w:r>
    </w:p>
    <w:p>
      <w:pPr>
        <w:spacing w:after="0"/>
        <w:ind w:left="0"/>
        <w:jc w:val="both"/>
      </w:pPr>
      <w:r>
        <w:rPr>
          <w:rFonts w:ascii="Times New Roman"/>
          <w:b w:val="false"/>
          <w:i w:val="false"/>
          <w:color w:val="000000"/>
          <w:sz w:val="28"/>
        </w:rPr>
        <w:t>
      В целях создания условий для привлечения отечественных и иностранных инвестиций в приоритетные сектора экономики, а также современных промышленно-производственных комплексов, отвечающих мировым стандартам, получит развитие индустриальная зона площадью 200 га, располагающая готовой промышленной инфраструктурой, вдоль автобана "Западная Европа - Западный Китай". Преимуществами данной индустриальной зоны будут: 12 городов-миллионников России, свободное движение товаров, услуг, капитала, рабочей силы на территории Евразийского экономического союза.</w:t>
      </w:r>
    </w:p>
    <w:p>
      <w:pPr>
        <w:spacing w:after="0"/>
        <w:ind w:left="0"/>
        <w:jc w:val="both"/>
      </w:pPr>
      <w:r>
        <w:rPr>
          <w:rFonts w:ascii="Times New Roman"/>
          <w:b w:val="false"/>
          <w:i w:val="false"/>
          <w:color w:val="000000"/>
          <w:sz w:val="28"/>
        </w:rPr>
        <w:t>
      Специализация индустриальной зоны направлена на развитие обрабатывающей промышленности. 100 % заполняемость индустриальной зоны "Актобе" инвестиционными проектами планируется в 2020 году. Ожидается, что к указанному году на территории индустриальной зоны будет введено в эксплуатацию более 13 инвестиционных проектов.</w:t>
      </w:r>
    </w:p>
    <w:p>
      <w:pPr>
        <w:spacing w:after="0"/>
        <w:ind w:left="0"/>
        <w:jc w:val="both"/>
      </w:pPr>
      <w:r>
        <w:rPr>
          <w:rFonts w:ascii="Times New Roman"/>
          <w:b w:val="false"/>
          <w:i w:val="false"/>
          <w:color w:val="000000"/>
          <w:sz w:val="28"/>
        </w:rPr>
        <w:t>
      В результате размещения вышеуказанных промышленных объектов на территории индустриальной зоны получат развитие производство травмобезопасных покрытий, антифриза, керамогранита и керамической плитки, железобетонных шпал, полиэтиленовых пакетов, биг бэгов из полиэтилена и полипропилена, лакокрасочных материалов, ветрогенераторов, стальных заготовок, стальных прямошовных труб высокочастотной сварки, а также восстановление и реставрация грузовых автомобильных шин, транспортно-логистический центр и газонаполнительная станция и другие.</w:t>
      </w:r>
    </w:p>
    <w:p>
      <w:pPr>
        <w:spacing w:after="0"/>
        <w:ind w:left="0"/>
        <w:jc w:val="both"/>
      </w:pPr>
      <w:r>
        <w:rPr>
          <w:rFonts w:ascii="Times New Roman"/>
          <w:b w:val="false"/>
          <w:i w:val="false"/>
          <w:color w:val="000000"/>
          <w:sz w:val="28"/>
        </w:rPr>
        <w:t>
      К 2030 году, при ожидаемом увеличении грузопотока в связи с развитием транспортного коридора "Западная Европа - Западный Китай" в районе аэропорта города Актобе предполагается создание индустриально-логистического парка "DAMU-Актобе", состоящего из складского терминала, в том числе со складскими площадями напольного хранения, офисными помещениями, а также включающего в себя необходимые объекты придорожного сервиса. Ввиду близости железной дороги, возможности выезда на автомобильные дороги республиканского значения и близости международного транзитного коридора "Западная Европа - Западный Китай" появляется возможность доступности транзитных перевозок всеми видами транспорта основных товарных групп: свежих овощей, фруктов, охлажденных мяса, рыбы, продукции переработки, готовых фасованных товаров, промышленных товаров, товаров повседневного спроса, строительных материалов и других.</w:t>
      </w:r>
    </w:p>
    <w:p>
      <w:pPr>
        <w:spacing w:after="0"/>
        <w:ind w:left="0"/>
        <w:jc w:val="both"/>
      </w:pPr>
      <w:r>
        <w:rPr>
          <w:rFonts w:ascii="Times New Roman"/>
          <w:b w:val="false"/>
          <w:i w:val="false"/>
          <w:color w:val="000000"/>
          <w:sz w:val="28"/>
        </w:rPr>
        <w:t>
      Кластеры</w:t>
      </w:r>
    </w:p>
    <w:p>
      <w:pPr>
        <w:spacing w:after="0"/>
        <w:ind w:left="0"/>
        <w:jc w:val="both"/>
      </w:pPr>
      <w:r>
        <w:rPr>
          <w:rFonts w:ascii="Times New Roman"/>
          <w:b w:val="false"/>
          <w:i w:val="false"/>
          <w:color w:val="000000"/>
          <w:sz w:val="28"/>
        </w:rPr>
        <w:t>
      Учитывая специфику региона, приоритетными видами кластеров должны стать: переработка нефти и газа, горно-металлургический комплекс, химическая промышленность, производство строительных материалов, производство продуктов питания, машиностроение, медицина, транспорт и логистика, электроэнергия для проектов индустриальной зоны "Актобе".</w:t>
      </w:r>
    </w:p>
    <w:p>
      <w:pPr>
        <w:spacing w:after="0"/>
        <w:ind w:left="0"/>
        <w:jc w:val="both"/>
      </w:pPr>
      <w:r>
        <w:rPr>
          <w:rFonts w:ascii="Times New Roman"/>
          <w:b w:val="false"/>
          <w:i w:val="false"/>
          <w:color w:val="000000"/>
          <w:sz w:val="28"/>
        </w:rPr>
        <w:t>
      Первостепенное значение придается развитию регионального кластера "Строительные материалы", где ядром кластера выступают крупные и средние организации, которые практически создали единую цепочку производства стройматериалов, начиная от добычи, переработки до выпуска и сбыта готового строительного материала.</w:t>
      </w:r>
    </w:p>
    <w:p>
      <w:pPr>
        <w:spacing w:after="0"/>
        <w:ind w:left="0"/>
        <w:jc w:val="both"/>
      </w:pPr>
      <w:r>
        <w:rPr>
          <w:rFonts w:ascii="Times New Roman"/>
          <w:b w:val="false"/>
          <w:i w:val="false"/>
          <w:color w:val="000000"/>
          <w:sz w:val="28"/>
        </w:rPr>
        <w:t>
      Развитие строительного кластера предполагается на базе следующих производств: по производству неметаллической минеральной продукции (трубная продукция, конструкции строительные из бетона, силикатные и керамические кирпичи, блоки из ячеистого бетона), по производству готовых металлических изделий.</w:t>
      </w:r>
    </w:p>
    <w:p>
      <w:pPr>
        <w:spacing w:after="0"/>
        <w:ind w:left="0"/>
        <w:jc w:val="both"/>
      </w:pPr>
      <w:r>
        <w:rPr>
          <w:rFonts w:ascii="Times New Roman"/>
          <w:b w:val="false"/>
          <w:i w:val="false"/>
          <w:color w:val="000000"/>
          <w:sz w:val="28"/>
        </w:rPr>
        <w:t>
      Следующей основной составляющей экономики Актюбинской агломерации будет являться кластер нефтегазопереработки, который будет функционировать на базе следующих предприятий: АО "CNPC-Актобемунайгаз", ТОО "Казахойл Актобе", АО "КМК Мунай" и другие.</w:t>
      </w:r>
    </w:p>
    <w:p>
      <w:pPr>
        <w:spacing w:after="0"/>
        <w:ind w:left="0"/>
        <w:jc w:val="both"/>
      </w:pPr>
      <w:r>
        <w:rPr>
          <w:rFonts w:ascii="Times New Roman"/>
          <w:b w:val="false"/>
          <w:i w:val="false"/>
          <w:color w:val="000000"/>
          <w:sz w:val="28"/>
        </w:rPr>
        <w:t>
      Планируется создание кластера по выпуску железнодорожной продукции на базе Актюбинского рельсобалочного завода. Предусматривается строительство завода по сварочным материалам, транспортно-логистического центра.</w:t>
      </w:r>
    </w:p>
    <w:p>
      <w:pPr>
        <w:spacing w:after="0"/>
        <w:ind w:left="0"/>
        <w:jc w:val="both"/>
      </w:pPr>
      <w:r>
        <w:rPr>
          <w:rFonts w:ascii="Times New Roman"/>
          <w:b w:val="false"/>
          <w:i w:val="false"/>
          <w:color w:val="000000"/>
          <w:sz w:val="28"/>
        </w:rPr>
        <w:t>
      В агломерации предполагается создать кластер машиностроения на базе АО "Актюбинский завод нефтяного оборудования" с освоением выпуска новых видов продукции, развитием сервисных услуг на базе мобильного стенда. Производственные мощности позволяют увеличить существующие объемы реализации выпускаемой продукции. АО "Актоберентген" на базе собственных технологических разработок наладит производство рентгеновских аппаратов нового поколения, а также другой продукции медицинского назначения. Будет освоено производство средств малой авиации для обеспечения деятельности как горнодобывающего комплекса (мониторинг состояния путепроводов, проведение аэросъемок), так и нужд региона (предупреждение пожаров, экстренный вызов медицинского персонала).</w:t>
      </w:r>
    </w:p>
    <w:p>
      <w:pPr>
        <w:spacing w:after="0"/>
        <w:ind w:left="0"/>
        <w:jc w:val="both"/>
      </w:pPr>
      <w:r>
        <w:rPr>
          <w:rFonts w:ascii="Times New Roman"/>
          <w:b w:val="false"/>
          <w:i w:val="false"/>
          <w:color w:val="000000"/>
          <w:sz w:val="28"/>
        </w:rPr>
        <w:t>
      Медицинский и фармацевтический кластеры будут развиваться с учетом интеграции медицины, науки, реабилитации и производства и основаны на базе потенциального якорного инвестора Актюбрентген и Западно-Казахстанского государственного медицинского университета имени М. Оспанова. Участниками кластера будут предприятия, по выпуску таблетированных препаратов и капсул. Потенциалом роста будет производство медицинского оборудования, парфюмерно-косметической продукции. К 2020 году в городе Актобе будет реализовано строительство офтальмологической больницы "DARU ZHARYGY", центра позитронно-эмиссионной томографии, Check-up центра.</w:t>
      </w:r>
    </w:p>
    <w:p>
      <w:pPr>
        <w:spacing w:after="0"/>
        <w:ind w:left="0"/>
        <w:jc w:val="both"/>
      </w:pPr>
      <w:r>
        <w:rPr>
          <w:rFonts w:ascii="Times New Roman"/>
          <w:b w:val="false"/>
          <w:i w:val="false"/>
          <w:color w:val="000000"/>
          <w:sz w:val="28"/>
        </w:rPr>
        <w:t>
      Создание медицинского кластера будет способствовать развитию прикладной медицины, фармацевтики, биотехнологии, модернизации медицинской техники, улучшению материально-технического оснащения медучреждений, снижению дефицита врачей, обеспечению трансферта передового международного опыта и технологий.</w:t>
      </w:r>
    </w:p>
    <w:p>
      <w:pPr>
        <w:spacing w:after="0"/>
        <w:ind w:left="0"/>
        <w:jc w:val="both"/>
      </w:pPr>
      <w:r>
        <w:rPr>
          <w:rFonts w:ascii="Times New Roman"/>
          <w:b w:val="false"/>
          <w:i w:val="false"/>
          <w:color w:val="000000"/>
          <w:sz w:val="28"/>
        </w:rPr>
        <w:t>
      Следующим перспективным направлением развития кластерных инициатив является сфера транспортно-логистических услуг и пищевой промышленности.</w:t>
      </w:r>
    </w:p>
    <w:p>
      <w:pPr>
        <w:spacing w:after="0"/>
        <w:ind w:left="0"/>
        <w:jc w:val="both"/>
      </w:pPr>
      <w:r>
        <w:rPr>
          <w:rFonts w:ascii="Times New Roman"/>
          <w:b w:val="false"/>
          <w:i w:val="false"/>
          <w:color w:val="000000"/>
          <w:sz w:val="28"/>
        </w:rPr>
        <w:t>
      На сегодняшний день в городе Актобе функционируют транспортно-логистические центры с мощностью 405 тыс. тонн в год, позволяющие обеспечить технологическое единство транспортно-складского процесса, уменьшить транзитные, транспортные и логистические расходы.</w:t>
      </w:r>
    </w:p>
    <w:p>
      <w:pPr>
        <w:spacing w:after="0"/>
        <w:ind w:left="0"/>
        <w:jc w:val="both"/>
      </w:pPr>
      <w:r>
        <w:rPr>
          <w:rFonts w:ascii="Times New Roman"/>
          <w:b w:val="false"/>
          <w:i w:val="false"/>
          <w:color w:val="000000"/>
          <w:sz w:val="28"/>
        </w:rPr>
        <w:t>
      Мясо-молочные, овощные, зерновые кластеры планируется создать за счет кооперации крестьянских хозяйств в соответствии со специализацией районов. В рамках сельскохозяйственных кластеров предусматриваются производство и переработка мяса, молока, зерновых и овощных продуктов. Процессы кооперации мелких крестьянских хозяйств в более крупные сельхозформирования и превращение личных подсобных хозяйств селян в товарные хозяйства будут одновременно производиться со строительством животноводческих комплексов промышленного типа.</w:t>
      </w:r>
    </w:p>
    <w:p>
      <w:pPr>
        <w:spacing w:after="0"/>
        <w:ind w:left="0"/>
        <w:jc w:val="both"/>
      </w:pPr>
      <w:r>
        <w:rPr>
          <w:rFonts w:ascii="Times New Roman"/>
          <w:b w:val="false"/>
          <w:i w:val="false"/>
          <w:color w:val="000000"/>
          <w:sz w:val="28"/>
        </w:rPr>
        <w:t>
      Развитие животноводческих кластеров планируется за счет создания мясных животноводческих комплексов по откорму скота в сельских округах с богатыми кормовыми ресурсами. Ядром животноводческих кластеров мясного и молочного направлений будут животноводческие комплексы промышленного типа. Ротация поголовья в откормочных комплексах будет осуществляться поставками молодняка мелкими товарными фермами мясного направления из ближайших сельских округов. Перспективно строительство скотной биржи, которая поможет сконцентрировать КРС для откормочных комплексов и скотобоен, а также даст возможность производить экспертную оценку стоимости скота.</w:t>
      </w:r>
    </w:p>
    <w:p>
      <w:pPr>
        <w:spacing w:after="0"/>
        <w:ind w:left="0"/>
        <w:jc w:val="both"/>
      </w:pPr>
      <w:r>
        <w:rPr>
          <w:rFonts w:ascii="Times New Roman"/>
          <w:b w:val="false"/>
          <w:i w:val="false"/>
          <w:color w:val="000000"/>
          <w:sz w:val="28"/>
        </w:rPr>
        <w:t>
      Строительство молочных комплексов промышленного типа (аналогично молочному комплексу ТОО "Айс") будет осуществляться в сельских округах, имеющих благоприятные ресурсные кормовые условия, а также с учетом скоропортящего характера молочных продуктов вблизи мест потребления (города Актобе, Хромтау и Кандыагаш). Обновление поголовья маточного стада будет осуществляться из племенных репродукционных ферм (доля племенного животноводства составит 21 % к 2030 году).</w:t>
      </w:r>
    </w:p>
    <w:p>
      <w:pPr>
        <w:spacing w:after="0"/>
        <w:ind w:left="0"/>
        <w:jc w:val="both"/>
      </w:pPr>
      <w:r>
        <w:rPr>
          <w:rFonts w:ascii="Times New Roman"/>
          <w:b w:val="false"/>
          <w:i w:val="false"/>
          <w:color w:val="000000"/>
          <w:sz w:val="28"/>
        </w:rPr>
        <w:t xml:space="preserve">
      В рамках кластера планируется реализовать строительство новых и расширение действующих продовольственных рынков, строительство птицефабрик, промышленных тепличных хозяйств по выращиванию плодоовощной продукции с использованием современных технологий (замкнутых систем с полным климат-контролем, гидропоникой, технологией экономии воды), а также овощехранилищ. </w:t>
      </w:r>
    </w:p>
    <w:p>
      <w:pPr>
        <w:spacing w:after="0"/>
        <w:ind w:left="0"/>
        <w:jc w:val="both"/>
      </w:pPr>
      <w:r>
        <w:rPr>
          <w:rFonts w:ascii="Times New Roman"/>
          <w:b w:val="false"/>
          <w:i w:val="false"/>
          <w:color w:val="000000"/>
          <w:sz w:val="28"/>
        </w:rPr>
        <w:t>
      Меры адаптирования проекта Smart city с учетом характеристик города Актобе</w:t>
      </w:r>
    </w:p>
    <w:p>
      <w:pPr>
        <w:spacing w:after="0"/>
        <w:ind w:left="0"/>
        <w:jc w:val="both"/>
      </w:pPr>
      <w:r>
        <w:rPr>
          <w:rFonts w:ascii="Times New Roman"/>
          <w:b w:val="false"/>
          <w:i w:val="false"/>
          <w:color w:val="000000"/>
          <w:sz w:val="28"/>
        </w:rPr>
        <w:t>
      При достижении достаточной экономической плотности населения с учетом привлечения передовых знаний и компетенций для укрепления уровня экономического развития территории Актюбинской агломерации в городе Актобе - ядре агломерации возможна реализация концепции Smart city.</w:t>
      </w:r>
    </w:p>
    <w:p>
      <w:pPr>
        <w:spacing w:after="0"/>
        <w:ind w:left="0"/>
        <w:jc w:val="both"/>
      </w:pPr>
      <w:r>
        <w:rPr>
          <w:rFonts w:ascii="Times New Roman"/>
          <w:b w:val="false"/>
          <w:i w:val="false"/>
          <w:color w:val="000000"/>
          <w:sz w:val="28"/>
        </w:rPr>
        <w:t xml:space="preserve">
      Развитие города Актобе как Smart city будет предполагать: </w:t>
      </w:r>
    </w:p>
    <w:p>
      <w:pPr>
        <w:spacing w:after="0"/>
        <w:ind w:left="0"/>
        <w:jc w:val="both"/>
      </w:pPr>
      <w:r>
        <w:rPr>
          <w:rFonts w:ascii="Times New Roman"/>
          <w:b w:val="false"/>
          <w:i w:val="false"/>
          <w:color w:val="000000"/>
          <w:sz w:val="28"/>
        </w:rPr>
        <w:t>
      создание высокоскоростной транспортной инфраструктуры;</w:t>
      </w:r>
    </w:p>
    <w:p>
      <w:pPr>
        <w:spacing w:after="0"/>
        <w:ind w:left="0"/>
        <w:jc w:val="both"/>
      </w:pPr>
      <w:r>
        <w:rPr>
          <w:rFonts w:ascii="Times New Roman"/>
          <w:b w:val="false"/>
          <w:i w:val="false"/>
          <w:color w:val="000000"/>
          <w:sz w:val="28"/>
        </w:rPr>
        <w:t>
      развитие общественного транспорта;</w:t>
      </w:r>
    </w:p>
    <w:p>
      <w:pPr>
        <w:spacing w:after="0"/>
        <w:ind w:left="0"/>
        <w:jc w:val="both"/>
      </w:pPr>
      <w:r>
        <w:rPr>
          <w:rFonts w:ascii="Times New Roman"/>
          <w:b w:val="false"/>
          <w:i w:val="false"/>
          <w:color w:val="000000"/>
          <w:sz w:val="28"/>
        </w:rPr>
        <w:t>
      развитие улично-дорожной сети, основанной на создании единой системы скоростных городских дорог и магистралей городского значения, развитии транспортных коридоров и общественного транспорта;</w:t>
      </w:r>
    </w:p>
    <w:p>
      <w:pPr>
        <w:spacing w:after="0"/>
        <w:ind w:left="0"/>
        <w:jc w:val="both"/>
      </w:pPr>
      <w:r>
        <w:rPr>
          <w:rFonts w:ascii="Times New Roman"/>
          <w:b w:val="false"/>
          <w:i w:val="false"/>
          <w:color w:val="000000"/>
          <w:sz w:val="28"/>
        </w:rPr>
        <w:t>
      соблюдение единых стандартов строительства инфраструктурных объектов;</w:t>
      </w:r>
    </w:p>
    <w:p>
      <w:pPr>
        <w:spacing w:after="0"/>
        <w:ind w:left="0"/>
        <w:jc w:val="both"/>
      </w:pPr>
      <w:r>
        <w:rPr>
          <w:rFonts w:ascii="Times New Roman"/>
          <w:b w:val="false"/>
          <w:i w:val="false"/>
          <w:color w:val="000000"/>
          <w:sz w:val="28"/>
        </w:rPr>
        <w:t>
      формирование единой экологической политики;</w:t>
      </w:r>
    </w:p>
    <w:p>
      <w:pPr>
        <w:spacing w:after="0"/>
        <w:ind w:left="0"/>
        <w:jc w:val="both"/>
      </w:pPr>
      <w:r>
        <w:rPr>
          <w:rFonts w:ascii="Times New Roman"/>
          <w:b w:val="false"/>
          <w:i w:val="false"/>
          <w:color w:val="000000"/>
          <w:sz w:val="28"/>
        </w:rPr>
        <w:t>
      создание и продвижение единого туристического бренда региона;</w:t>
      </w:r>
    </w:p>
    <w:p>
      <w:pPr>
        <w:spacing w:after="0"/>
        <w:ind w:left="0"/>
        <w:jc w:val="both"/>
      </w:pPr>
      <w:r>
        <w:rPr>
          <w:rFonts w:ascii="Times New Roman"/>
          <w:b w:val="false"/>
          <w:i w:val="false"/>
          <w:color w:val="000000"/>
          <w:sz w:val="28"/>
        </w:rPr>
        <w:t>
      развитие единой инновационной инфраструктуры;</w:t>
      </w:r>
    </w:p>
    <w:p>
      <w:pPr>
        <w:spacing w:after="0"/>
        <w:ind w:left="0"/>
        <w:jc w:val="both"/>
      </w:pPr>
      <w:r>
        <w:rPr>
          <w:rFonts w:ascii="Times New Roman"/>
          <w:b w:val="false"/>
          <w:i w:val="false"/>
          <w:color w:val="000000"/>
          <w:sz w:val="28"/>
        </w:rPr>
        <w:t>
      развитие транспортно-логистического центра;</w:t>
      </w:r>
    </w:p>
    <w:p>
      <w:pPr>
        <w:spacing w:after="0"/>
        <w:ind w:left="0"/>
        <w:jc w:val="both"/>
      </w:pPr>
      <w:r>
        <w:rPr>
          <w:rFonts w:ascii="Times New Roman"/>
          <w:b w:val="false"/>
          <w:i w:val="false"/>
          <w:color w:val="000000"/>
          <w:sz w:val="28"/>
        </w:rPr>
        <w:t>
      развитие специальной экономической зоны "Актобе" и индустриальных зон, технопарков, промышленных площадок;</w:t>
      </w:r>
    </w:p>
    <w:p>
      <w:pPr>
        <w:spacing w:after="0"/>
        <w:ind w:left="0"/>
        <w:jc w:val="both"/>
      </w:pPr>
      <w:r>
        <w:rPr>
          <w:rFonts w:ascii="Times New Roman"/>
          <w:b w:val="false"/>
          <w:i w:val="false"/>
          <w:color w:val="000000"/>
          <w:sz w:val="28"/>
        </w:rPr>
        <w:t>
      возможное развитие медицинского и научно-образовательного кластеров.</w:t>
      </w:r>
    </w:p>
    <w:p>
      <w:pPr>
        <w:spacing w:after="0"/>
        <w:ind w:left="0"/>
        <w:jc w:val="both"/>
      </w:pPr>
      <w:r>
        <w:rPr>
          <w:rFonts w:ascii="Times New Roman"/>
          <w:b w:val="false"/>
          <w:i w:val="false"/>
          <w:color w:val="000000"/>
          <w:sz w:val="28"/>
        </w:rPr>
        <w:t>
      Межрегиональные связи Актюбинской агломерации с учетом отраслевой специализации</w:t>
      </w:r>
    </w:p>
    <w:p>
      <w:pPr>
        <w:spacing w:after="0"/>
        <w:ind w:left="0"/>
        <w:jc w:val="both"/>
      </w:pPr>
      <w:r>
        <w:rPr>
          <w:rFonts w:ascii="Times New Roman"/>
          <w:b w:val="false"/>
          <w:i w:val="false"/>
          <w:color w:val="000000"/>
          <w:sz w:val="28"/>
        </w:rPr>
        <w:t>
      На текущий момент отмечаются очень слабые экономические отношения между "городскими узлами" на территории агломерации, за исключением экономических связей с городом Актобе, в рамках которых осуществляется сбыт сельскохозяйственной продукции.</w:t>
      </w:r>
    </w:p>
    <w:p>
      <w:pPr>
        <w:spacing w:after="0"/>
        <w:ind w:left="0"/>
        <w:jc w:val="both"/>
      </w:pPr>
      <w:r>
        <w:rPr>
          <w:rFonts w:ascii="Times New Roman"/>
          <w:b w:val="false"/>
          <w:i w:val="false"/>
          <w:color w:val="000000"/>
          <w:sz w:val="28"/>
        </w:rPr>
        <w:t>
      После реконструкции транспортной инфраструктуры между городами Актобе и Кандыагаш возможно расширение экономических связей между городами Алга и Кандыагаш.</w:t>
      </w:r>
    </w:p>
    <w:p>
      <w:pPr>
        <w:spacing w:after="0"/>
        <w:ind w:left="0"/>
        <w:jc w:val="both"/>
      </w:pPr>
      <w:r>
        <w:rPr>
          <w:rFonts w:ascii="Times New Roman"/>
          <w:b w:val="false"/>
          <w:i w:val="false"/>
          <w:color w:val="000000"/>
          <w:sz w:val="28"/>
        </w:rPr>
        <w:t>
      Высокий потенциал межрегиональных экономических связей с другими регионами показывает поставка продукции агломерации в 10 регионов страны. Структура вывоза товаров представлена продукцией горнодобывающей, пищевой, строительной, нефтяной и легкой промышленности.</w:t>
      </w:r>
    </w:p>
    <w:p>
      <w:pPr>
        <w:spacing w:after="0"/>
        <w:ind w:left="0"/>
        <w:jc w:val="both"/>
      </w:pPr>
      <w:r>
        <w:rPr>
          <w:rFonts w:ascii="Times New Roman"/>
          <w:b w:val="false"/>
          <w:i w:val="false"/>
          <w:color w:val="000000"/>
          <w:sz w:val="28"/>
        </w:rPr>
        <w:t>
      На сегодняшний день товарная структура ввоза представлена более 90 видами продукции сельскохозяйственной отрасли, пищевой отраслью и нефтепродуктами.</w:t>
      </w:r>
    </w:p>
    <w:p>
      <w:pPr>
        <w:spacing w:after="0"/>
        <w:ind w:left="0"/>
        <w:jc w:val="both"/>
      </w:pPr>
      <w:r>
        <w:rPr>
          <w:rFonts w:ascii="Times New Roman"/>
          <w:b w:val="false"/>
          <w:i w:val="false"/>
          <w:color w:val="000000"/>
          <w:sz w:val="28"/>
        </w:rPr>
        <w:t>
      В город Алматы поставляется нефть сырая (природная смесь углеводородов), включая нефть, полученную из минералов битуминозных, на сумму 7006 млн. тенге, его доля составляет 50 %.</w:t>
      </w:r>
    </w:p>
    <w:p>
      <w:pPr>
        <w:spacing w:after="0"/>
        <w:ind w:left="0"/>
        <w:jc w:val="both"/>
      </w:pPr>
      <w:r>
        <w:rPr>
          <w:rFonts w:ascii="Times New Roman"/>
          <w:b w:val="false"/>
          <w:i w:val="false"/>
          <w:color w:val="000000"/>
          <w:sz w:val="28"/>
        </w:rPr>
        <w:t>
      Согласно статистическим данным ввоз промышленной продукции в Актюбинскую область по итогам 2015 года составил 53,8 млрд. тенге, из них основными поставщиками продукции являются Атырауская (33,3 %) и Павлодарская (22,7 %) области, суммарная доля которых составляет 56 % или 29,6 млрд. тенге, наиболее низкий объем поставляемой продукции приходится на Северо-Казахстанскую и Западно-Казахстанскую области, суммарная доля которых составляет 0,12 % или 0,68 млрд. тенге.</w:t>
      </w:r>
    </w:p>
    <w:p>
      <w:pPr>
        <w:spacing w:after="0"/>
        <w:ind w:left="0"/>
        <w:jc w:val="both"/>
      </w:pPr>
      <w:r>
        <w:rPr>
          <w:rFonts w:ascii="Times New Roman"/>
          <w:b w:val="false"/>
          <w:i w:val="false"/>
          <w:color w:val="000000"/>
          <w:sz w:val="28"/>
        </w:rPr>
        <w:t>
      В Актюбинской области имеются 6 предприятий по переработке молока, загруженность которых составляет 4 %, учитывая импорт из Российской Федерации в западный регион. В этой связи, необходимо увеличение мощности животноводческих предприятий по производству молока для повышения рыночной доли в Западном регионе, в частности, Мангистауской и Атырауской областях. Необходимо увеличить долю овощехранилищ и развивать капельное орошение сельскохозяйственной продукции, что позволит охватить как внутренний, так и соседние рынки, где наблюдается дефицит данных товаров в связи с климатическими условиями региона.</w:t>
      </w:r>
    </w:p>
    <w:p>
      <w:pPr>
        <w:spacing w:after="0"/>
        <w:ind w:left="0"/>
        <w:jc w:val="both"/>
      </w:pPr>
      <w:r>
        <w:rPr>
          <w:rFonts w:ascii="Times New Roman"/>
          <w:b w:val="false"/>
          <w:i w:val="false"/>
          <w:color w:val="000000"/>
          <w:sz w:val="28"/>
        </w:rPr>
        <w:t>
      В целом, приоритетными направлениями сотрудничества являются:</w:t>
      </w:r>
    </w:p>
    <w:p>
      <w:pPr>
        <w:spacing w:after="0"/>
        <w:ind w:left="0"/>
        <w:jc w:val="both"/>
      </w:pPr>
      <w:r>
        <w:rPr>
          <w:rFonts w:ascii="Times New Roman"/>
          <w:b w:val="false"/>
          <w:i w:val="false"/>
          <w:color w:val="000000"/>
          <w:sz w:val="28"/>
        </w:rPr>
        <w:t>
      развитие сотрудничества в нефтегазовой и машиностроительной отрасли, в сфере строительства;</w:t>
      </w:r>
    </w:p>
    <w:p>
      <w:pPr>
        <w:spacing w:after="0"/>
        <w:ind w:left="0"/>
        <w:jc w:val="both"/>
      </w:pPr>
      <w:r>
        <w:rPr>
          <w:rFonts w:ascii="Times New Roman"/>
          <w:b w:val="false"/>
          <w:i w:val="false"/>
          <w:color w:val="000000"/>
          <w:sz w:val="28"/>
        </w:rPr>
        <w:t>
      развитие взаимной торговли, социально-экономическое развитие, эффективное использование природных ресурсов, развитие сельского хозяйства и пищевой промышленности, улучшение транспортного сообщения, средств коммуникаций и других объектов инфраструктуры;</w:t>
      </w:r>
    </w:p>
    <w:p>
      <w:pPr>
        <w:spacing w:after="0"/>
        <w:ind w:left="0"/>
        <w:jc w:val="both"/>
      </w:pPr>
      <w:r>
        <w:rPr>
          <w:rFonts w:ascii="Times New Roman"/>
          <w:b w:val="false"/>
          <w:i w:val="false"/>
          <w:color w:val="000000"/>
          <w:sz w:val="28"/>
        </w:rPr>
        <w:t>
      создание и модернизация перерабатывающих производств, ориентированных на выпуск конкурентоспособной продукции.</w:t>
      </w:r>
    </w:p>
    <w:p>
      <w:pPr>
        <w:spacing w:after="0"/>
        <w:ind w:left="0"/>
        <w:jc w:val="both"/>
      </w:pPr>
      <w:r>
        <w:rPr>
          <w:rFonts w:ascii="Times New Roman"/>
          <w:b w:val="false"/>
          <w:i w:val="false"/>
          <w:color w:val="000000"/>
          <w:sz w:val="28"/>
        </w:rPr>
        <w:t>
      Развитие инфраструктуры, транспортной связанности региона, усиление роли города Актобе как города-хаба Западного региона, а также рост показателей перерабатывающих отраслей будут способствовать развитию межрегионального взаимодействия.</w:t>
      </w:r>
    </w:p>
    <w:bookmarkStart w:name="z32" w:id="18"/>
    <w:p>
      <w:pPr>
        <w:spacing w:after="0"/>
        <w:ind w:left="0"/>
        <w:jc w:val="left"/>
      </w:pPr>
      <w:r>
        <w:rPr>
          <w:rFonts w:ascii="Times New Roman"/>
          <w:b/>
          <w:i w:val="false"/>
          <w:color w:val="000000"/>
        </w:rPr>
        <w:t xml:space="preserve"> Меры комплексного развития инженерной инфраструктуры</w:t>
      </w:r>
    </w:p>
    <w:bookmarkEnd w:id="18"/>
    <w:bookmarkStart w:name="z33" w:id="19"/>
    <w:p>
      <w:pPr>
        <w:spacing w:after="0"/>
        <w:ind w:left="0"/>
        <w:jc w:val="both"/>
      </w:pPr>
      <w:r>
        <w:rPr>
          <w:rFonts w:ascii="Times New Roman"/>
          <w:b w:val="false"/>
          <w:i w:val="false"/>
          <w:color w:val="000000"/>
          <w:sz w:val="28"/>
        </w:rPr>
        <w:t>
      Водные ресурсы</w:t>
      </w:r>
    </w:p>
    <w:bookmarkEnd w:id="19"/>
    <w:p>
      <w:pPr>
        <w:spacing w:after="0"/>
        <w:ind w:left="0"/>
        <w:jc w:val="both"/>
      </w:pPr>
      <w:r>
        <w:rPr>
          <w:rFonts w:ascii="Times New Roman"/>
          <w:b w:val="false"/>
          <w:i w:val="false"/>
          <w:color w:val="000000"/>
          <w:sz w:val="28"/>
        </w:rPr>
        <w:t>
      Территория Актюбинской агломерации полностью расположена на территории Жайык-Каспийского гидрографического бассейна.</w:t>
      </w:r>
    </w:p>
    <w:p>
      <w:pPr>
        <w:spacing w:after="0"/>
        <w:ind w:left="0"/>
        <w:jc w:val="both"/>
      </w:pPr>
      <w:r>
        <w:rPr>
          <w:rFonts w:ascii="Times New Roman"/>
          <w:b w:val="false"/>
          <w:i w:val="false"/>
          <w:color w:val="000000"/>
          <w:sz w:val="28"/>
        </w:rPr>
        <w:t>
      На территории формируются реки Илек - левый приток реки Урал, Каргалы - правый приток реки Илек, Жаксы - Каргалы - приток рек Илек и Хобда и прочие небольшие реки.</w:t>
      </w:r>
    </w:p>
    <w:p>
      <w:pPr>
        <w:spacing w:after="0"/>
        <w:ind w:left="0"/>
        <w:jc w:val="both"/>
      </w:pPr>
      <w:r>
        <w:rPr>
          <w:rFonts w:ascii="Times New Roman"/>
          <w:b w:val="false"/>
          <w:i w:val="false"/>
          <w:color w:val="000000"/>
          <w:sz w:val="28"/>
        </w:rPr>
        <w:t>
      Большая часть территории агломерации расположена в бассейне трансграничной реки Илек, западная часть - в бассейне реки Хобда, восточная - реки Орь и ее притоков.</w:t>
      </w:r>
    </w:p>
    <w:p>
      <w:pPr>
        <w:spacing w:after="0"/>
        <w:ind w:left="0"/>
        <w:jc w:val="both"/>
      </w:pPr>
      <w:r>
        <w:rPr>
          <w:rFonts w:ascii="Times New Roman"/>
          <w:b w:val="false"/>
          <w:i w:val="false"/>
          <w:color w:val="000000"/>
          <w:sz w:val="28"/>
        </w:rPr>
        <w:t>
      Водные ресурсы в естественных условиях составляют 1372 млн.м</w:t>
      </w:r>
      <w:r>
        <w:rPr>
          <w:rFonts w:ascii="Times New Roman"/>
          <w:b w:val="false"/>
          <w:i w:val="false"/>
          <w:color w:val="000000"/>
          <w:vertAlign w:val="superscript"/>
        </w:rPr>
        <w:t>3</w:t>
      </w:r>
      <w:r>
        <w:rPr>
          <w:rFonts w:ascii="Times New Roman"/>
          <w:b w:val="false"/>
          <w:i w:val="false"/>
          <w:color w:val="000000"/>
          <w:sz w:val="28"/>
        </w:rPr>
        <w:t>. В среднем на душу населения приходится 2,2 тыс.м</w:t>
      </w:r>
      <w:r>
        <w:rPr>
          <w:rFonts w:ascii="Times New Roman"/>
          <w:b w:val="false"/>
          <w:i w:val="false"/>
          <w:color w:val="000000"/>
          <w:vertAlign w:val="superscript"/>
        </w:rPr>
        <w:t>3</w:t>
      </w:r>
      <w:r>
        <w:rPr>
          <w:rFonts w:ascii="Times New Roman"/>
          <w:b w:val="false"/>
          <w:i w:val="false"/>
          <w:color w:val="000000"/>
          <w:sz w:val="28"/>
        </w:rPr>
        <w:t>/год или 6,03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both"/>
      </w:pPr>
      <w:r>
        <w:rPr>
          <w:rFonts w:ascii="Times New Roman"/>
          <w:b w:val="false"/>
          <w:i w:val="false"/>
          <w:color w:val="000000"/>
          <w:sz w:val="28"/>
        </w:rPr>
        <w:t>
      Среднемировой показатель обеспеченности речным стоком на одного жителя составляет около 8,0 тыс.м</w:t>
      </w:r>
      <w:r>
        <w:rPr>
          <w:rFonts w:ascii="Times New Roman"/>
          <w:b w:val="false"/>
          <w:i w:val="false"/>
          <w:color w:val="000000"/>
          <w:vertAlign w:val="superscript"/>
        </w:rPr>
        <w:t>3</w:t>
      </w:r>
      <w:r>
        <w:rPr>
          <w:rFonts w:ascii="Times New Roman"/>
          <w:b w:val="false"/>
          <w:i w:val="false"/>
          <w:color w:val="000000"/>
          <w:sz w:val="28"/>
        </w:rPr>
        <w:t>/год (1,7 тыс. м</w:t>
      </w:r>
      <w:r>
        <w:rPr>
          <w:rFonts w:ascii="Times New Roman"/>
          <w:b w:val="false"/>
          <w:i w:val="false"/>
          <w:color w:val="000000"/>
          <w:vertAlign w:val="superscript"/>
        </w:rPr>
        <w:t>3</w:t>
      </w:r>
      <w:r>
        <w:rPr>
          <w:rFonts w:ascii="Times New Roman"/>
          <w:b w:val="false"/>
          <w:i w:val="false"/>
          <w:color w:val="000000"/>
          <w:sz w:val="28"/>
        </w:rPr>
        <w:t>/год - критический показатель, ниже которого страна (регион) считаются недостаточно водообеспеченными).</w:t>
      </w:r>
    </w:p>
    <w:p>
      <w:pPr>
        <w:spacing w:after="0"/>
        <w:ind w:left="0"/>
        <w:jc w:val="both"/>
      </w:pPr>
      <w:r>
        <w:rPr>
          <w:rFonts w:ascii="Times New Roman"/>
          <w:b w:val="false"/>
          <w:i w:val="false"/>
          <w:color w:val="000000"/>
          <w:sz w:val="28"/>
        </w:rPr>
        <w:t>
      Сопоставление приведенных показателей по обеспеченности речным стоком со среднемировым показателем позволяет сделать вывод о низкой обеспеченности территории агломерации.</w:t>
      </w:r>
    </w:p>
    <w:p>
      <w:pPr>
        <w:spacing w:after="0"/>
        <w:ind w:left="0"/>
        <w:jc w:val="both"/>
      </w:pPr>
      <w:r>
        <w:rPr>
          <w:rFonts w:ascii="Times New Roman"/>
          <w:b w:val="false"/>
          <w:i w:val="false"/>
          <w:color w:val="000000"/>
          <w:sz w:val="28"/>
        </w:rPr>
        <w:t>
      На территории агломерации по состоянию на 1 января 2016 года разведано 107 месторождений подземных вод, на которых расположено 111 участков. Суммарная величина эксплуатационных запасов составляет 672,4163 тыс. м</w:t>
      </w:r>
      <w:r>
        <w:rPr>
          <w:rFonts w:ascii="Times New Roman"/>
          <w:b w:val="false"/>
          <w:i w:val="false"/>
          <w:color w:val="000000"/>
          <w:vertAlign w:val="superscript"/>
        </w:rPr>
        <w:t>3</w:t>
      </w:r>
      <w:r>
        <w:rPr>
          <w:rFonts w:ascii="Times New Roman"/>
          <w:b w:val="false"/>
          <w:i w:val="false"/>
          <w:color w:val="000000"/>
          <w:sz w:val="28"/>
        </w:rPr>
        <w:t>/сут (245,4319 млн. м</w:t>
      </w:r>
      <w:r>
        <w:rPr>
          <w:rFonts w:ascii="Times New Roman"/>
          <w:b w:val="false"/>
          <w:i w:val="false"/>
          <w:color w:val="000000"/>
          <w:vertAlign w:val="superscript"/>
        </w:rPr>
        <w:t>3</w:t>
      </w:r>
      <w:r>
        <w:rPr>
          <w:rFonts w:ascii="Times New Roman"/>
          <w:b w:val="false"/>
          <w:i w:val="false"/>
          <w:color w:val="000000"/>
          <w:sz w:val="28"/>
        </w:rPr>
        <w:t>/год), в том числе:</w:t>
      </w:r>
    </w:p>
    <w:p>
      <w:pPr>
        <w:spacing w:after="0"/>
        <w:ind w:left="0"/>
        <w:jc w:val="both"/>
      </w:pPr>
      <w:r>
        <w:rPr>
          <w:rFonts w:ascii="Times New Roman"/>
          <w:b w:val="false"/>
          <w:i w:val="false"/>
          <w:color w:val="000000"/>
          <w:sz w:val="28"/>
        </w:rPr>
        <w:t>
      для хозяйственно-питьевого водоснабжения - 440,5893 тыс.3/сут;</w:t>
      </w:r>
    </w:p>
    <w:p>
      <w:pPr>
        <w:spacing w:after="0"/>
        <w:ind w:left="0"/>
        <w:jc w:val="both"/>
      </w:pPr>
      <w:r>
        <w:rPr>
          <w:rFonts w:ascii="Times New Roman"/>
          <w:b w:val="false"/>
          <w:i w:val="false"/>
          <w:color w:val="000000"/>
          <w:sz w:val="28"/>
        </w:rPr>
        <w:t>
      для производственно-технического водоснабжения - 152,4270 тыс.3/сут;</w:t>
      </w:r>
    </w:p>
    <w:p>
      <w:pPr>
        <w:spacing w:after="0"/>
        <w:ind w:left="0"/>
        <w:jc w:val="both"/>
      </w:pPr>
      <w:r>
        <w:rPr>
          <w:rFonts w:ascii="Times New Roman"/>
          <w:b w:val="false"/>
          <w:i w:val="false"/>
          <w:color w:val="000000"/>
          <w:sz w:val="28"/>
        </w:rPr>
        <w:t>
      для хозяйственно-питьевого и производственно-технического водоснабжения - 79,400 тыс.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both"/>
      </w:pPr>
      <w:r>
        <w:rPr>
          <w:rFonts w:ascii="Times New Roman"/>
          <w:b w:val="false"/>
          <w:i w:val="false"/>
          <w:color w:val="000000"/>
          <w:sz w:val="28"/>
        </w:rPr>
        <w:t>
      В среднем на жителя приходится 1,079 м</w:t>
      </w:r>
      <w:r>
        <w:rPr>
          <w:rFonts w:ascii="Times New Roman"/>
          <w:b w:val="false"/>
          <w:i w:val="false"/>
          <w:color w:val="000000"/>
          <w:vertAlign w:val="superscript"/>
        </w:rPr>
        <w:t>3</w:t>
      </w:r>
      <w:r>
        <w:rPr>
          <w:rFonts w:ascii="Times New Roman"/>
          <w:b w:val="false"/>
          <w:i w:val="false"/>
          <w:color w:val="000000"/>
          <w:sz w:val="28"/>
        </w:rPr>
        <w:t>/сут суммарных разведанных запасов, а разведанных для хозяйственно-питьевого водоснабжения - 0,707 м</w:t>
      </w:r>
      <w:r>
        <w:rPr>
          <w:rFonts w:ascii="Times New Roman"/>
          <w:b w:val="false"/>
          <w:i w:val="false"/>
          <w:color w:val="000000"/>
          <w:vertAlign w:val="superscript"/>
        </w:rPr>
        <w:t>3</w:t>
      </w:r>
      <w:r>
        <w:rPr>
          <w:rFonts w:ascii="Times New Roman"/>
          <w:b w:val="false"/>
          <w:i w:val="false"/>
          <w:color w:val="000000"/>
          <w:sz w:val="28"/>
        </w:rPr>
        <w:t>/сут.</w:t>
      </w:r>
    </w:p>
    <w:p>
      <w:pPr>
        <w:spacing w:after="0"/>
        <w:ind w:left="0"/>
        <w:jc w:val="both"/>
      </w:pPr>
      <w:r>
        <w:rPr>
          <w:rFonts w:ascii="Times New Roman"/>
          <w:b w:val="false"/>
          <w:i w:val="false"/>
          <w:color w:val="000000"/>
          <w:sz w:val="28"/>
        </w:rPr>
        <w:t>
      Разведанными запасами подземных вод для хозяйственно-питьевого водоснабжения обеспечены все города, большинство районных центров и все горнорудные и нефтедобывающие предприятия Актюбинской области.</w:t>
      </w:r>
    </w:p>
    <w:p>
      <w:pPr>
        <w:spacing w:after="0"/>
        <w:ind w:left="0"/>
        <w:jc w:val="both"/>
      </w:pPr>
      <w:r>
        <w:rPr>
          <w:rFonts w:ascii="Times New Roman"/>
          <w:b w:val="false"/>
          <w:i w:val="false"/>
          <w:color w:val="000000"/>
          <w:sz w:val="28"/>
        </w:rPr>
        <w:t>
      В общем заборе воды для нужд отраслей экономики агломерации 78,1 % составляют подземные воды с учетом шахтно-рудничных вод. Основной потребитель поверхностных вод - орошаемое земледелие, а подземных вод - хозяйственно-питьевые нужды (городское население).</w:t>
      </w:r>
    </w:p>
    <w:p>
      <w:pPr>
        <w:spacing w:after="0"/>
        <w:ind w:left="0"/>
        <w:jc w:val="both"/>
      </w:pPr>
      <w:r>
        <w:rPr>
          <w:rFonts w:ascii="Times New Roman"/>
          <w:b w:val="false"/>
          <w:i w:val="false"/>
          <w:color w:val="000000"/>
          <w:sz w:val="28"/>
        </w:rPr>
        <w:t>
      В соответствии с произведенными расчетами к 2020 году суммарный забор водных ресурсов отраслями экономики составит 145,720 млн. м</w:t>
      </w:r>
      <w:r>
        <w:rPr>
          <w:rFonts w:ascii="Times New Roman"/>
          <w:b w:val="false"/>
          <w:i w:val="false"/>
          <w:color w:val="000000"/>
          <w:vertAlign w:val="superscript"/>
        </w:rPr>
        <w:t>3</w:t>
      </w:r>
      <w:r>
        <w:rPr>
          <w:rFonts w:ascii="Times New Roman"/>
          <w:b w:val="false"/>
          <w:i w:val="false"/>
          <w:color w:val="000000"/>
          <w:sz w:val="28"/>
        </w:rPr>
        <w:t xml:space="preserve"> и к 2030 году - 241,823 млн. м</w:t>
      </w:r>
      <w:r>
        <w:rPr>
          <w:rFonts w:ascii="Times New Roman"/>
          <w:b w:val="false"/>
          <w:i w:val="false"/>
          <w:color w:val="000000"/>
          <w:vertAlign w:val="superscript"/>
        </w:rPr>
        <w:t>3</w:t>
      </w:r>
      <w:r>
        <w:rPr>
          <w:rFonts w:ascii="Times New Roman"/>
          <w:b w:val="false"/>
          <w:i w:val="false"/>
          <w:color w:val="000000"/>
          <w:sz w:val="28"/>
        </w:rPr>
        <w:t>, в том числе соответственно:</w:t>
      </w:r>
    </w:p>
    <w:p>
      <w:pPr>
        <w:spacing w:after="0"/>
        <w:ind w:left="0"/>
        <w:jc w:val="both"/>
      </w:pPr>
      <w:r>
        <w:rPr>
          <w:rFonts w:ascii="Times New Roman"/>
          <w:b w:val="false"/>
          <w:i w:val="false"/>
          <w:color w:val="000000"/>
          <w:sz w:val="28"/>
        </w:rPr>
        <w:t>
      по городской администрации Актобе - 50,257 млн.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 71,412 млн.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по Алгинскому району - 13,388 млн. м</w:t>
      </w:r>
      <w:r>
        <w:rPr>
          <w:rFonts w:ascii="Times New Roman"/>
          <w:b w:val="false"/>
          <w:i w:val="false"/>
          <w:color w:val="000000"/>
          <w:vertAlign w:val="superscript"/>
        </w:rPr>
        <w:t>3</w:t>
      </w:r>
      <w:r>
        <w:rPr>
          <w:rFonts w:ascii="Times New Roman"/>
          <w:b w:val="false"/>
          <w:i w:val="false"/>
          <w:color w:val="000000"/>
          <w:sz w:val="28"/>
        </w:rPr>
        <w:t xml:space="preserve"> и 20,076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Каргалинскому району - 19,679 млн.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 31,743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Хобдинскому району - 8,368 млн. м</w:t>
      </w:r>
      <w:r>
        <w:rPr>
          <w:rFonts w:ascii="Times New Roman"/>
          <w:b w:val="false"/>
          <w:i w:val="false"/>
          <w:color w:val="000000"/>
          <w:vertAlign w:val="superscript"/>
        </w:rPr>
        <w:t>3</w:t>
      </w:r>
      <w:r>
        <w:rPr>
          <w:rFonts w:ascii="Times New Roman"/>
          <w:b w:val="false"/>
          <w:i w:val="false"/>
          <w:color w:val="000000"/>
          <w:sz w:val="28"/>
        </w:rPr>
        <w:t xml:space="preserve"> и 30,123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Мартукскому району - 17,111 млн.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 25,989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Мугалжарскому району - 20,751 млн. м</w:t>
      </w:r>
      <w:r>
        <w:rPr>
          <w:rFonts w:ascii="Times New Roman"/>
          <w:b w:val="false"/>
          <w:i w:val="false"/>
          <w:color w:val="000000"/>
          <w:vertAlign w:val="superscript"/>
        </w:rPr>
        <w:t>3</w:t>
      </w:r>
      <w:r>
        <w:rPr>
          <w:rFonts w:ascii="Times New Roman"/>
          <w:b w:val="false"/>
          <w:i w:val="false"/>
          <w:color w:val="000000"/>
          <w:sz w:val="28"/>
        </w:rPr>
        <w:t xml:space="preserve"> и 29,122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 Хромтаускому району-16,166 млн. м</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и 33,358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Территория агломерации в целом располагает ресурсами как поверхностных, так и подземных вод, объем которых полностью обеспечивает потребности отраслей экономики на современном уровне и на перспективу.</w:t>
      </w:r>
    </w:p>
    <w:p>
      <w:pPr>
        <w:spacing w:after="0"/>
        <w:ind w:left="0"/>
        <w:jc w:val="both"/>
      </w:pPr>
      <w:r>
        <w:rPr>
          <w:rFonts w:ascii="Times New Roman"/>
          <w:b w:val="false"/>
          <w:i w:val="false"/>
          <w:color w:val="000000"/>
          <w:sz w:val="28"/>
        </w:rPr>
        <w:t>
      Таким образом, не рассматривается вопрос перехода на другие источники.</w:t>
      </w:r>
    </w:p>
    <w:bookmarkStart w:name="z34" w:id="20"/>
    <w:p>
      <w:pPr>
        <w:spacing w:after="0"/>
        <w:ind w:left="0"/>
        <w:jc w:val="both"/>
      </w:pPr>
      <w:r>
        <w:rPr>
          <w:rFonts w:ascii="Times New Roman"/>
          <w:b w:val="false"/>
          <w:i w:val="false"/>
          <w:color w:val="000000"/>
          <w:sz w:val="28"/>
        </w:rPr>
        <w:t>
      Водоснабжение</w:t>
      </w:r>
    </w:p>
    <w:bookmarkEnd w:id="20"/>
    <w:p>
      <w:pPr>
        <w:spacing w:after="0"/>
        <w:ind w:left="0"/>
        <w:jc w:val="both"/>
      </w:pPr>
      <w:r>
        <w:rPr>
          <w:rFonts w:ascii="Times New Roman"/>
          <w:b w:val="false"/>
          <w:i w:val="false"/>
          <w:color w:val="000000"/>
          <w:sz w:val="28"/>
        </w:rPr>
        <w:t>
      Обеспеченность населения городов Актобе, Алга, Хромтау, Кандыагаш услугами централизованного водоснабжения составляет 100 %. В связи с истечением срока службы имеющихся водопроводных сетей и сооружений требуется их замена.</w:t>
      </w:r>
    </w:p>
    <w:p>
      <w:pPr>
        <w:spacing w:after="0"/>
        <w:ind w:left="0"/>
        <w:jc w:val="both"/>
      </w:pPr>
      <w:r>
        <w:rPr>
          <w:rFonts w:ascii="Times New Roman"/>
          <w:b w:val="false"/>
          <w:i w:val="false"/>
          <w:color w:val="000000"/>
          <w:sz w:val="28"/>
        </w:rPr>
        <w:t>
      На современном уровне 79 (53,4 %) сел, в которых проживает 76,9 % населения, охвачены централизованным водоснабжением.</w:t>
      </w:r>
    </w:p>
    <w:p>
      <w:pPr>
        <w:spacing w:after="0"/>
        <w:ind w:left="0"/>
        <w:jc w:val="both"/>
      </w:pPr>
      <w:r>
        <w:rPr>
          <w:rFonts w:ascii="Times New Roman"/>
          <w:b w:val="false"/>
          <w:i w:val="false"/>
          <w:color w:val="000000"/>
          <w:sz w:val="28"/>
        </w:rPr>
        <w:t>
      Децентрализованными источниками (шахтные и трубчатые колодцы, реки, озера и прочие поверхностные водоемы) пользуется водой население 68 сел (33,915 тыс, человек).</w:t>
      </w:r>
    </w:p>
    <w:p>
      <w:pPr>
        <w:spacing w:after="0"/>
        <w:ind w:left="0"/>
        <w:jc w:val="both"/>
      </w:pPr>
      <w:r>
        <w:rPr>
          <w:rFonts w:ascii="Times New Roman"/>
          <w:b w:val="false"/>
          <w:i w:val="false"/>
          <w:color w:val="000000"/>
          <w:sz w:val="28"/>
        </w:rPr>
        <w:t>
      Не во всех селах, охваченных централизованным водоснабжением, имеются внутрипоселковые сети достаточной протяженностью. 27 % населения пользуются водоразборными колонками.</w:t>
      </w:r>
    </w:p>
    <w:bookmarkStart w:name="z35" w:id="21"/>
    <w:p>
      <w:pPr>
        <w:spacing w:after="0"/>
        <w:ind w:left="0"/>
        <w:jc w:val="both"/>
      </w:pPr>
      <w:r>
        <w:rPr>
          <w:rFonts w:ascii="Times New Roman"/>
          <w:b w:val="false"/>
          <w:i w:val="false"/>
          <w:color w:val="000000"/>
          <w:sz w:val="28"/>
        </w:rPr>
        <w:t>
      Водоотведение</w:t>
      </w:r>
    </w:p>
    <w:bookmarkEnd w:id="21"/>
    <w:p>
      <w:pPr>
        <w:spacing w:after="0"/>
        <w:ind w:left="0"/>
        <w:jc w:val="both"/>
      </w:pPr>
      <w:r>
        <w:rPr>
          <w:rFonts w:ascii="Times New Roman"/>
          <w:b w:val="false"/>
          <w:i w:val="false"/>
          <w:color w:val="000000"/>
          <w:sz w:val="28"/>
        </w:rPr>
        <w:t>
      На сегодняшний день из входящих в Актюбинскую агломерацию 112 населенных пунктов централизованным водоотведением обеспечены 14 населенных пунктов, из них: 10 - сельские населенные пункты, 4 - городские населенные пункты, общей численностью населения более 471 тысяча человек.</w:t>
      </w:r>
    </w:p>
    <w:p>
      <w:pPr>
        <w:spacing w:after="0"/>
        <w:ind w:left="0"/>
        <w:jc w:val="both"/>
      </w:pPr>
      <w:r>
        <w:rPr>
          <w:rFonts w:ascii="Times New Roman"/>
          <w:b w:val="false"/>
          <w:i w:val="false"/>
          <w:color w:val="000000"/>
          <w:sz w:val="28"/>
        </w:rPr>
        <w:t>
      Существующие канализационные очистные сооружения города Актобе, построенные в 1980-х годах прошлого столетия, не справляются с очисткой поступающих сточных вод.</w:t>
      </w:r>
    </w:p>
    <w:p>
      <w:pPr>
        <w:spacing w:after="0"/>
        <w:ind w:left="0"/>
        <w:jc w:val="both"/>
      </w:pPr>
      <w:r>
        <w:rPr>
          <w:rFonts w:ascii="Times New Roman"/>
          <w:b w:val="false"/>
          <w:i w:val="false"/>
          <w:color w:val="000000"/>
          <w:sz w:val="28"/>
        </w:rPr>
        <w:t>
      В связи с динамичным развитием промышленности, сельского хозяйства и других видов деятельности на территории области, вопрос обеспечения населения централизованной системой водоотведения является одним из приоритетных.</w:t>
      </w:r>
    </w:p>
    <w:p>
      <w:pPr>
        <w:spacing w:after="0"/>
        <w:ind w:left="0"/>
        <w:jc w:val="both"/>
      </w:pPr>
      <w:r>
        <w:rPr>
          <w:rFonts w:ascii="Times New Roman"/>
          <w:b w:val="false"/>
          <w:i w:val="false"/>
          <w:color w:val="000000"/>
          <w:sz w:val="28"/>
        </w:rPr>
        <w:t>
      Основные меры по развитию водоснабжения и водоотведения включают следующее:</w:t>
      </w:r>
    </w:p>
    <w:p>
      <w:pPr>
        <w:spacing w:after="0"/>
        <w:ind w:left="0"/>
        <w:jc w:val="both"/>
      </w:pPr>
      <w:r>
        <w:rPr>
          <w:rFonts w:ascii="Times New Roman"/>
          <w:b w:val="false"/>
          <w:i w:val="false"/>
          <w:color w:val="000000"/>
          <w:sz w:val="28"/>
        </w:rPr>
        <w:t>
      1) доведение уровня доступа населения к централизованному водоснабжению к 2020 году в городах - 97 %, в сельских населенных пунктах - 62 %, а к 2030 году - 100 %, а также обеспечение устойчивого водоснабжения объектов коммунального хозяйства;</w:t>
      </w:r>
    </w:p>
    <w:p>
      <w:pPr>
        <w:spacing w:after="0"/>
        <w:ind w:left="0"/>
        <w:jc w:val="both"/>
      </w:pPr>
      <w:r>
        <w:rPr>
          <w:rFonts w:ascii="Times New Roman"/>
          <w:b w:val="false"/>
          <w:i w:val="false"/>
          <w:color w:val="000000"/>
          <w:sz w:val="28"/>
        </w:rPr>
        <w:t>
      2) обеспечение населенных пунктов агломерации централизованными системами водоотведения с комплексами очистных сооружений (далее - КОС), в том числе для районных центров Мартук и Кобда. При выборе технологии очистки сточных вод необходимо обеспечить возможность сброса сточных вод в водные объекты в соответствии с действующими Санитарными правилами Республики Казахстан и предусмотреть необходимость использования очищенных сточных вод для поливных целей (зеленых насаждений, некоторых технических сельскохозяйственных культур) и в оборотных циклах промышленных предприятий;</w:t>
      </w:r>
    </w:p>
    <w:p>
      <w:pPr>
        <w:spacing w:after="0"/>
        <w:ind w:left="0"/>
        <w:jc w:val="both"/>
      </w:pPr>
      <w:r>
        <w:rPr>
          <w:rFonts w:ascii="Times New Roman"/>
          <w:b w:val="false"/>
          <w:i w:val="false"/>
          <w:color w:val="000000"/>
          <w:sz w:val="28"/>
        </w:rPr>
        <w:t>
      3) реконструкция, модернизация водопроводных очистных сооружений с истекшим сроком амортизации с применением современных методов очистки и обеззараживания;</w:t>
      </w:r>
    </w:p>
    <w:p>
      <w:pPr>
        <w:spacing w:after="0"/>
        <w:ind w:left="0"/>
        <w:jc w:val="both"/>
      </w:pPr>
      <w:r>
        <w:rPr>
          <w:rFonts w:ascii="Times New Roman"/>
          <w:b w:val="false"/>
          <w:i w:val="false"/>
          <w:color w:val="000000"/>
          <w:sz w:val="28"/>
        </w:rPr>
        <w:t>
      4) выполнение переоценки месторождений подземных вод;</w:t>
      </w:r>
    </w:p>
    <w:p>
      <w:pPr>
        <w:spacing w:after="0"/>
        <w:ind w:left="0"/>
        <w:jc w:val="both"/>
      </w:pPr>
      <w:r>
        <w:rPr>
          <w:rFonts w:ascii="Times New Roman"/>
          <w:b w:val="false"/>
          <w:i w:val="false"/>
          <w:color w:val="000000"/>
          <w:sz w:val="28"/>
        </w:rPr>
        <w:t>
      5) увеличение объема оборотного, замкнутого и последовательного водоснабжения на предприятиях на основе новейших достижений и технологий;</w:t>
      </w:r>
    </w:p>
    <w:p>
      <w:pPr>
        <w:spacing w:after="0"/>
        <w:ind w:left="0"/>
        <w:jc w:val="both"/>
      </w:pPr>
      <w:r>
        <w:rPr>
          <w:rFonts w:ascii="Times New Roman"/>
          <w:b w:val="false"/>
          <w:i w:val="false"/>
          <w:color w:val="000000"/>
          <w:sz w:val="28"/>
        </w:rPr>
        <w:t>
      6) перевод промышленного водоснабжения на техническую воду (на предприятиях, где возможно применение технической воды);</w:t>
      </w:r>
    </w:p>
    <w:p>
      <w:pPr>
        <w:spacing w:after="0"/>
        <w:ind w:left="0"/>
        <w:jc w:val="both"/>
      </w:pPr>
      <w:r>
        <w:rPr>
          <w:rFonts w:ascii="Times New Roman"/>
          <w:b w:val="false"/>
          <w:i w:val="false"/>
          <w:color w:val="000000"/>
          <w:sz w:val="28"/>
        </w:rPr>
        <w:t>
      7) оснащение водохозяйственных систем новейшими средствами водоизмерения, водоучета и водорегулирования;</w:t>
      </w:r>
    </w:p>
    <w:p>
      <w:pPr>
        <w:spacing w:after="0"/>
        <w:ind w:left="0"/>
        <w:jc w:val="both"/>
      </w:pPr>
      <w:r>
        <w:rPr>
          <w:rFonts w:ascii="Times New Roman"/>
          <w:b w:val="false"/>
          <w:i w:val="false"/>
          <w:color w:val="000000"/>
          <w:sz w:val="28"/>
        </w:rPr>
        <w:t>
      8) повышение эффективности использования воды, включая экономическое стимулирование внедрения прогрессивных водосберегающих технологий;</w:t>
      </w:r>
    </w:p>
    <w:p>
      <w:pPr>
        <w:spacing w:after="0"/>
        <w:ind w:left="0"/>
        <w:jc w:val="both"/>
      </w:pPr>
      <w:r>
        <w:rPr>
          <w:rFonts w:ascii="Times New Roman"/>
          <w:b w:val="false"/>
          <w:i w:val="false"/>
          <w:color w:val="000000"/>
          <w:sz w:val="28"/>
        </w:rPr>
        <w:t>
      9) реконструкция и замена канализационных сетей и сооружений с истекшим сроком амортизации;</w:t>
      </w:r>
    </w:p>
    <w:p>
      <w:pPr>
        <w:spacing w:after="0"/>
        <w:ind w:left="0"/>
        <w:jc w:val="both"/>
      </w:pPr>
      <w:r>
        <w:rPr>
          <w:rFonts w:ascii="Times New Roman"/>
          <w:b w:val="false"/>
          <w:i w:val="false"/>
          <w:color w:val="000000"/>
          <w:sz w:val="28"/>
        </w:rPr>
        <w:t>
      10) реконструкция, модернизация КОС с применением современных методов очистки сточных вод и обработки осадков, в том числе модернизация КОС города Актобе и реконструкция КОС городов Алга, Кандыагаш, Хромтау и села Бадамша;</w:t>
      </w:r>
    </w:p>
    <w:p>
      <w:pPr>
        <w:spacing w:after="0"/>
        <w:ind w:left="0"/>
        <w:jc w:val="both"/>
      </w:pPr>
      <w:r>
        <w:rPr>
          <w:rFonts w:ascii="Times New Roman"/>
          <w:b w:val="false"/>
          <w:i w:val="false"/>
          <w:color w:val="000000"/>
          <w:sz w:val="28"/>
        </w:rPr>
        <w:t>
      11) рассмотреть возможность развития сетей и сооружений водоотведения в рамках Программы развития регионов до 2020 года, в том числе: сел Ушкудык, Маржанбулак, Тамды, Кайнар Алгинского района, Петропавловка, Шамши Калдаякова, Кос-Истек Каргалинского района, Жайсан (Яйсан), Каратогай, Саржансай, Родниковка, Сарыжар (Хлебодаровка) Мартукского района, Аккемер, Сагашили Мугалжарского района и Дон, Акжар Хромтауского района, а также строительства объектов систем водоотведения в 18 населенных пунктах, которые находятся в черте городской агломерации;</w:t>
      </w:r>
    </w:p>
    <w:p>
      <w:pPr>
        <w:spacing w:after="0"/>
        <w:ind w:left="0"/>
        <w:jc w:val="both"/>
      </w:pPr>
      <w:r>
        <w:rPr>
          <w:rFonts w:ascii="Times New Roman"/>
          <w:b w:val="false"/>
          <w:i w:val="false"/>
          <w:color w:val="000000"/>
          <w:sz w:val="28"/>
        </w:rPr>
        <w:t>
      12) строительство сетей и сооружений водопровода к населенным пунктам, не имеющим централизованного водоснабжения, в том числе в качестве приоритетных проектов - строительство централизованной системы водоснабжения в 15 населенных пунктах, вошедших в зону интенсивного агломерирования (сел Нурбулак (Шибаевка), Ерназар, Каракудык, Кайындысай, Талдысай, Жеруйык, Аксазды, Магаджан, Акшат, Белогорка, Беккул баба (Красносельское), Ольке, 39 разъезд, Орлеу);</w:t>
      </w:r>
    </w:p>
    <w:p>
      <w:pPr>
        <w:spacing w:after="0"/>
        <w:ind w:left="0"/>
        <w:jc w:val="both"/>
      </w:pPr>
      <w:r>
        <w:rPr>
          <w:rFonts w:ascii="Times New Roman"/>
          <w:b w:val="false"/>
          <w:i w:val="false"/>
          <w:color w:val="000000"/>
          <w:sz w:val="28"/>
        </w:rPr>
        <w:t>
      13) регулирование речного стока (орошение, водоснабжение, противопаводковые мероприятия и прочее).</w:t>
      </w:r>
    </w:p>
    <w:bookmarkStart w:name="z36" w:id="22"/>
    <w:p>
      <w:pPr>
        <w:spacing w:after="0"/>
        <w:ind w:left="0"/>
        <w:jc w:val="both"/>
      </w:pPr>
      <w:r>
        <w:rPr>
          <w:rFonts w:ascii="Times New Roman"/>
          <w:b w:val="false"/>
          <w:i w:val="false"/>
          <w:color w:val="000000"/>
          <w:sz w:val="28"/>
        </w:rPr>
        <w:t>
      Электроснабжение</w:t>
      </w:r>
    </w:p>
    <w:bookmarkEnd w:id="22"/>
    <w:p>
      <w:pPr>
        <w:spacing w:after="0"/>
        <w:ind w:left="0"/>
        <w:jc w:val="both"/>
      </w:pPr>
      <w:r>
        <w:rPr>
          <w:rFonts w:ascii="Times New Roman"/>
          <w:b w:val="false"/>
          <w:i w:val="false"/>
          <w:color w:val="000000"/>
          <w:sz w:val="28"/>
        </w:rPr>
        <w:t>
      В перспективе развитие электростанций Актюбинской агломерации предусматривается за счет выполнения реконструкции и модернизации оборудования, а также строительства новых источников. Потребность в электроэнергии на 2020 год составит 5,2 млрд. кВт.ч, и 6,3 млрд. кВт.ч - к 2030 году.</w:t>
      </w:r>
    </w:p>
    <w:p>
      <w:pPr>
        <w:spacing w:after="0"/>
        <w:ind w:left="0"/>
        <w:jc w:val="both"/>
      </w:pPr>
      <w:r>
        <w:rPr>
          <w:rFonts w:ascii="Times New Roman"/>
          <w:b w:val="false"/>
          <w:i w:val="false"/>
          <w:color w:val="000000"/>
          <w:sz w:val="28"/>
        </w:rPr>
        <w:t xml:space="preserve">
      Для обеспечения покрытия прогнозируемых нагрузок города Актобе предполагаются строительство и реконструкция электрических сетей, в том числе строительство подстанций (далее - ПС) 220 кВ "Батыс", ПС "Стекольный завод", захода-выхода воздушных линий (далее - BJI) 110 кВ "Актюбинская - 41 разъезд", BJI 110 кВ "Заречная - Акжар", реконструкция ПС "Илекская", BJI 110 кВ "Актюбинская - 41 разъезд", ПС 110/35/10 кВ. </w:t>
      </w:r>
    </w:p>
    <w:p>
      <w:pPr>
        <w:spacing w:after="0"/>
        <w:ind w:left="0"/>
        <w:jc w:val="both"/>
      </w:pPr>
      <w:r>
        <w:rPr>
          <w:rFonts w:ascii="Times New Roman"/>
          <w:b w:val="false"/>
          <w:i w:val="false"/>
          <w:color w:val="000000"/>
          <w:sz w:val="28"/>
        </w:rPr>
        <w:t>
      При этом, учитывая активную застройку новых жилых массивов, при строительстве ПС "Батыс" 220 кВ, предлагается предусмотреть мощность трансформатора 125 мВА (проектом города предусмотрены трансфооматоры мощностью 40 мВА). Линию для ПС "Батыс" ВЛ-220 кВ построить путем врезки в существующую ВЛ-220 кВ Ульке-Чилисай.</w:t>
      </w:r>
    </w:p>
    <w:p>
      <w:pPr>
        <w:spacing w:after="0"/>
        <w:ind w:left="0"/>
        <w:jc w:val="both"/>
      </w:pPr>
      <w:r>
        <w:rPr>
          <w:rFonts w:ascii="Times New Roman"/>
          <w:b w:val="false"/>
          <w:i w:val="false"/>
          <w:color w:val="000000"/>
          <w:sz w:val="28"/>
        </w:rPr>
        <w:t>
      В перспективе до 2030 года предполагаются реконструкция и строительство электрических сетей города Актобе, в том числе реконструкция ПС 220 кВ "Главная понизительная подстанция-2", ПС 35/10 кВ "Жилгородок", сооружение двух новых ПС "Главная понизительная подстанция-1" и "Главная понизительная под станция-2", участка ВЛ 110 кВ "Стекольный завод - 41-й разъезд" и создание кольца 110 кВ вокруг города.</w:t>
      </w:r>
    </w:p>
    <w:p>
      <w:pPr>
        <w:spacing w:after="0"/>
        <w:ind w:left="0"/>
        <w:jc w:val="both"/>
      </w:pPr>
      <w:r>
        <w:rPr>
          <w:rFonts w:ascii="Times New Roman"/>
          <w:b w:val="false"/>
          <w:i w:val="false"/>
          <w:color w:val="000000"/>
          <w:sz w:val="28"/>
        </w:rPr>
        <w:t>
      Для обеспечения качественного и надежного электроснабжения потребителей районов, входящих в Актюбинскую агломерацию, также предлагается выполнить реконструкцию и новое строительство, в том числе:</w:t>
      </w:r>
    </w:p>
    <w:p>
      <w:pPr>
        <w:spacing w:after="0"/>
        <w:ind w:left="0"/>
        <w:jc w:val="both"/>
      </w:pPr>
      <w:r>
        <w:rPr>
          <w:rFonts w:ascii="Times New Roman"/>
          <w:b w:val="false"/>
          <w:i w:val="false"/>
          <w:color w:val="000000"/>
          <w:sz w:val="28"/>
        </w:rPr>
        <w:t>
      1) по Алгинскому району - реконструкция ПС 110 кВ "Алга", строительство ПС 220/6 кВ с присоединением к ВЛ 220 кВ к открытому распределительному устройству 220 кВ ПС "Кимперсай", по согласованию с АО "KEGOK", на ПС "Кимперсай" нет свободного места для ячейки 220 кВ, в этой связи необходимо расширение ОРУ-220 кВ (заказное оборудование по согласованию с АО "KEGOK");</w:t>
      </w:r>
    </w:p>
    <w:p>
      <w:pPr>
        <w:spacing w:after="0"/>
        <w:ind w:left="0"/>
        <w:jc w:val="both"/>
      </w:pPr>
      <w:r>
        <w:rPr>
          <w:rFonts w:ascii="Times New Roman"/>
          <w:b w:val="false"/>
          <w:i w:val="false"/>
          <w:color w:val="000000"/>
          <w:sz w:val="28"/>
        </w:rPr>
        <w:t>
      2) по Мугалжарскому району предусматривается строительство ПС 35/6 "Каолин", ПС 35/6 кВ "Химическая", ВЛ 110 кВ "Юбилейная - Чилисай", ПС 110/6 кВ "Алгабас".</w:t>
      </w:r>
    </w:p>
    <w:p>
      <w:pPr>
        <w:spacing w:after="0"/>
        <w:ind w:left="0"/>
        <w:jc w:val="both"/>
      </w:pPr>
      <w:r>
        <w:rPr>
          <w:rFonts w:ascii="Times New Roman"/>
          <w:b w:val="false"/>
          <w:i w:val="false"/>
          <w:color w:val="000000"/>
          <w:sz w:val="28"/>
        </w:rPr>
        <w:t>
      При строительстве новых объектов и подключении их к существующим подстанциям необходимо учитывать развитие сетей электроснабжения и согласование с АО "KEGOK":</w:t>
      </w:r>
    </w:p>
    <w:p>
      <w:pPr>
        <w:spacing w:after="0"/>
        <w:ind w:left="0"/>
        <w:jc w:val="both"/>
      </w:pPr>
      <w:r>
        <w:rPr>
          <w:rFonts w:ascii="Times New Roman"/>
          <w:b w:val="false"/>
          <w:i w:val="false"/>
          <w:color w:val="000000"/>
          <w:sz w:val="28"/>
        </w:rPr>
        <w:t>
      1) по Мартукскому району предусматривается строительство ПС 35/6 кВ "Кумсай", с заходом на ВЛ 110 кВ "Каратугай - Мартук", газотурбинной станции в городе Кандыагаш;</w:t>
      </w:r>
    </w:p>
    <w:p>
      <w:pPr>
        <w:spacing w:after="0"/>
        <w:ind w:left="0"/>
        <w:jc w:val="both"/>
      </w:pPr>
      <w:r>
        <w:rPr>
          <w:rFonts w:ascii="Times New Roman"/>
          <w:b w:val="false"/>
          <w:i w:val="false"/>
          <w:color w:val="000000"/>
          <w:sz w:val="28"/>
        </w:rPr>
        <w:t>
      2) по Каргалинскому району предусматриваются реконструкция ПС 35/10 кВ "Кос-Истек" с сооружением двух одноцепных ВЛ 110 кВ "Кимперсай - Кос-Истек", а также строительство ветровой электростанции в селе Бадамша мощностью 48 МВт с последующим расширением до 96 МВт;</w:t>
      </w:r>
    </w:p>
    <w:p>
      <w:pPr>
        <w:spacing w:after="0"/>
        <w:ind w:left="0"/>
        <w:jc w:val="both"/>
      </w:pPr>
      <w:r>
        <w:rPr>
          <w:rFonts w:ascii="Times New Roman"/>
          <w:b w:val="false"/>
          <w:i w:val="false"/>
          <w:color w:val="000000"/>
          <w:sz w:val="28"/>
        </w:rPr>
        <w:t>
      3) по Хобдинскому району в виду отсутствия промышленных предприятий и собственного энергоисточника необходимо рассмотреть возможность развития возобновляемых источников энергии для развития малого и среднего бизнеса в аграрном секторе;</w:t>
      </w:r>
    </w:p>
    <w:p>
      <w:pPr>
        <w:spacing w:after="0"/>
        <w:ind w:left="0"/>
        <w:jc w:val="both"/>
      </w:pPr>
      <w:r>
        <w:rPr>
          <w:rFonts w:ascii="Times New Roman"/>
          <w:b w:val="false"/>
          <w:i w:val="false"/>
          <w:color w:val="000000"/>
          <w:sz w:val="28"/>
        </w:rPr>
        <w:t>
      4) для усиления электрических сетей Хромтауского района предлагаются перевод BЛ-110 кВ "Кимперсай - Донское-3" на напряжение 220 кВ (выполнена в габаритах 220 кВ), строительство второй новой линии ВЛ 220кВ, установка автотрансформаторов 220/110 2x63 MB, а также реконструкция ОРУ-110 кВ ПС "Донское-2". Обеспечение электроэнергией в перспективе возможно за счет строительства ПС 110/6 кВ "Лиманное".</w:t>
      </w:r>
    </w:p>
    <w:p>
      <w:pPr>
        <w:spacing w:after="0"/>
        <w:ind w:left="0"/>
        <w:jc w:val="both"/>
      </w:pPr>
      <w:r>
        <w:rPr>
          <w:rFonts w:ascii="Times New Roman"/>
          <w:b w:val="false"/>
          <w:i w:val="false"/>
          <w:color w:val="000000"/>
          <w:sz w:val="28"/>
        </w:rPr>
        <w:t>
      Для надежности питания сетей Донского ГОК предлагается реконструкция сетей внешнего электроснабжения в соответствии со "Схемой внешнего электроснабжения Донского ГОКа на перспективу" по согласованию с АО "KEGOK".</w:t>
      </w:r>
    </w:p>
    <w:p>
      <w:pPr>
        <w:spacing w:after="0"/>
        <w:ind w:left="0"/>
        <w:jc w:val="both"/>
      </w:pPr>
      <w:r>
        <w:rPr>
          <w:rFonts w:ascii="Times New Roman"/>
          <w:b w:val="false"/>
          <w:i w:val="false"/>
          <w:color w:val="000000"/>
          <w:sz w:val="28"/>
        </w:rPr>
        <w:t>
      В настоящее время осуществляется разработка технико-экономического обоснования покрытия нагрузок Донского ГОК, в котором рассматриваются несколько вариантов с учетом развития производственных мощностей Донского ГОК в перспективе на 15 лет.</w:t>
      </w:r>
    </w:p>
    <w:bookmarkStart w:name="z37" w:id="23"/>
    <w:p>
      <w:pPr>
        <w:spacing w:after="0"/>
        <w:ind w:left="0"/>
        <w:jc w:val="both"/>
      </w:pPr>
      <w:r>
        <w:rPr>
          <w:rFonts w:ascii="Times New Roman"/>
          <w:b w:val="false"/>
          <w:i w:val="false"/>
          <w:color w:val="000000"/>
          <w:sz w:val="28"/>
        </w:rPr>
        <w:t>
      Теплоснабжение</w:t>
      </w:r>
    </w:p>
    <w:bookmarkEnd w:id="23"/>
    <w:p>
      <w:pPr>
        <w:spacing w:after="0"/>
        <w:ind w:left="0"/>
        <w:jc w:val="both"/>
      </w:pPr>
      <w:r>
        <w:rPr>
          <w:rFonts w:ascii="Times New Roman"/>
          <w:b w:val="false"/>
          <w:i w:val="false"/>
          <w:color w:val="000000"/>
          <w:sz w:val="28"/>
        </w:rPr>
        <w:t>
      Оценка прогнозных уровней тепловой нагрузки и теплопотребления по жилой и общественной застройке в разрезе, районов и крупных городов Актюбинской агломерации выполнена на основании параметров для метеостанций соответствующих городов, установленных СниП РК 2.04-21-2010 Энергопотребление и тепловая защита гражданских зданий".</w:t>
      </w:r>
    </w:p>
    <w:p>
      <w:pPr>
        <w:spacing w:after="0"/>
        <w:ind w:left="0"/>
        <w:jc w:val="both"/>
      </w:pPr>
      <w:r>
        <w:rPr>
          <w:rFonts w:ascii="Times New Roman"/>
          <w:b w:val="false"/>
          <w:i w:val="false"/>
          <w:color w:val="000000"/>
          <w:sz w:val="28"/>
        </w:rPr>
        <w:t xml:space="preserve">
      Оценка потребности в теплоэнергии выполнена на основании данных по объему существующей застройки, динамики роста численности населения, целевых показателей по обеспеченности жильем. </w:t>
      </w:r>
    </w:p>
    <w:p>
      <w:pPr>
        <w:spacing w:after="0"/>
        <w:ind w:left="0"/>
        <w:jc w:val="both"/>
      </w:pPr>
      <w:r>
        <w:rPr>
          <w:rFonts w:ascii="Times New Roman"/>
          <w:b w:val="false"/>
          <w:i w:val="false"/>
          <w:color w:val="000000"/>
          <w:sz w:val="28"/>
        </w:rPr>
        <w:t>
      Тепловые потоки на отопление, вентиляцию и горячее водоснабжение определены расчетным методом по укрупненным удельным нормам теплопотребления, согласно действующего в Республике Казахстан пособия к МСН 4.02-02-2004 "Тепловые сети" и СН РК 3.01-01-2013 "Градостроительство. Планировка и застройка городских и сельских населенных пунктов".</w:t>
      </w:r>
    </w:p>
    <w:p>
      <w:pPr>
        <w:spacing w:after="0"/>
        <w:ind w:left="0"/>
        <w:jc w:val="both"/>
      </w:pPr>
      <w:r>
        <w:rPr>
          <w:rFonts w:ascii="Times New Roman"/>
          <w:b w:val="false"/>
          <w:i w:val="false"/>
          <w:color w:val="000000"/>
          <w:sz w:val="28"/>
        </w:rPr>
        <w:t>
      Прогноз изменения теплопотребления по жилой и общественной застройке в разрезе рассматриваемых районов в период до 2030 года приведен в таблице 6.</w:t>
      </w:r>
    </w:p>
    <w:bookmarkStart w:name="z38" w:id="24"/>
    <w:p>
      <w:pPr>
        <w:spacing w:after="0"/>
        <w:ind w:left="0"/>
        <w:jc w:val="both"/>
      </w:pPr>
      <w:r>
        <w:rPr>
          <w:rFonts w:ascii="Times New Roman"/>
          <w:b w:val="false"/>
          <w:i w:val="false"/>
          <w:color w:val="000000"/>
          <w:sz w:val="28"/>
        </w:rPr>
        <w:t xml:space="preserve">
      Таблица 6 – Прогноз изменения теплопотребления по жилой и общественной застройке </w:t>
      </w:r>
    </w:p>
    <w:bookmarkEnd w:id="24"/>
    <w:p>
      <w:pPr>
        <w:spacing w:after="0"/>
        <w:ind w:left="0"/>
        <w:jc w:val="both"/>
      </w:pPr>
      <w:r>
        <w:rPr>
          <w:rFonts w:ascii="Times New Roman"/>
          <w:b w:val="false"/>
          <w:i w:val="false"/>
          <w:color w:val="000000"/>
          <w:sz w:val="28"/>
        </w:rPr>
        <w:t>
      тыс. Гкал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4467"/>
        <w:gridCol w:w="4467"/>
      </w:tblGrid>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тепла всего, в том числе: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отопление жилых и общественных зданий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вентиляцию</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ГВС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bl>
    <w:p>
      <w:pPr>
        <w:spacing w:after="0"/>
        <w:ind w:left="0"/>
        <w:jc w:val="both"/>
      </w:pPr>
      <w:r>
        <w:rPr>
          <w:rFonts w:ascii="Times New Roman"/>
          <w:b w:val="false"/>
          <w:i w:val="false"/>
          <w:color w:val="000000"/>
          <w:sz w:val="28"/>
        </w:rPr>
        <w:t>
      Для создания комфортных условий проживания населения агломерации теплоснабжение районных центров предусматривается от децентрализованных источников (до 20 Гкал/ч).</w:t>
      </w:r>
    </w:p>
    <w:p>
      <w:pPr>
        <w:spacing w:after="0"/>
        <w:ind w:left="0"/>
        <w:jc w:val="both"/>
      </w:pPr>
      <w:r>
        <w:rPr>
          <w:rFonts w:ascii="Times New Roman"/>
          <w:b w:val="false"/>
          <w:i w:val="false"/>
          <w:color w:val="000000"/>
          <w:sz w:val="28"/>
        </w:rPr>
        <w:t>
      В соответствии с рекомендациями СН РК 3.01-02-2012 "Планировка и застройка районов индивидуального жилищного строительства" теплоснабжение индивидуальной жилой застройки, как правило, следует предусматривать децентрализованным с использованием теплоагрегатов заводского изготовления и систем водяного отопления.</w:t>
      </w:r>
    </w:p>
    <w:p>
      <w:pPr>
        <w:spacing w:after="0"/>
        <w:ind w:left="0"/>
        <w:jc w:val="both"/>
      </w:pPr>
      <w:r>
        <w:rPr>
          <w:rFonts w:ascii="Times New Roman"/>
          <w:b w:val="false"/>
          <w:i w:val="false"/>
          <w:color w:val="000000"/>
          <w:sz w:val="28"/>
        </w:rPr>
        <w:t xml:space="preserve">
      Теплоснабжение населенных пунктов районов Актюбинской агломерации в перспективе сохранится от децентрализованных источников, в том числе от районных котельных мощностью до 20 Гкал/ч. </w:t>
      </w:r>
    </w:p>
    <w:p>
      <w:pPr>
        <w:spacing w:after="0"/>
        <w:ind w:left="0"/>
        <w:jc w:val="both"/>
      </w:pPr>
      <w:r>
        <w:rPr>
          <w:rFonts w:ascii="Times New Roman"/>
          <w:b w:val="false"/>
          <w:i w:val="false"/>
          <w:color w:val="000000"/>
          <w:sz w:val="28"/>
        </w:rPr>
        <w:t>
      Газоснабжение</w:t>
      </w:r>
    </w:p>
    <w:p>
      <w:pPr>
        <w:spacing w:after="0"/>
        <w:ind w:left="0"/>
        <w:jc w:val="both"/>
      </w:pPr>
      <w:r>
        <w:rPr>
          <w:rFonts w:ascii="Times New Roman"/>
          <w:b w:val="false"/>
          <w:i w:val="false"/>
          <w:color w:val="000000"/>
          <w:sz w:val="28"/>
        </w:rPr>
        <w:t>
      Газификация населенных пунктов является одной из актуальных задач в процессе улучшения жилищно-коммунальных условии проживания населения.</w:t>
      </w:r>
    </w:p>
    <w:p>
      <w:pPr>
        <w:spacing w:after="0"/>
        <w:ind w:left="0"/>
        <w:jc w:val="both"/>
      </w:pPr>
      <w:r>
        <w:rPr>
          <w:rFonts w:ascii="Times New Roman"/>
          <w:b w:val="false"/>
          <w:i w:val="false"/>
          <w:color w:val="000000"/>
          <w:sz w:val="28"/>
        </w:rPr>
        <w:t>
      Газоснабжение области осуществляется от газовых магистралей "Бухара-Урал" и "Жанажол-Актобе". В рамках Меморандума с АО "КазТрансГаз" в области проводятся работы по газификации населенных пунктов области. К первоочередному обеспечению газоснабжением подлежат районные центры, сельские населенные пункты, входящие в зону агломерации, и села с высоким потенциалом развития.</w:t>
      </w:r>
    </w:p>
    <w:p>
      <w:pPr>
        <w:spacing w:after="0"/>
        <w:ind w:left="0"/>
        <w:jc w:val="both"/>
      </w:pPr>
      <w:r>
        <w:rPr>
          <w:rFonts w:ascii="Times New Roman"/>
          <w:b w:val="false"/>
          <w:i w:val="false"/>
          <w:color w:val="000000"/>
          <w:sz w:val="28"/>
        </w:rPr>
        <w:t>
      Для обеспечения возрастающих объемов потребления природного газа предлагается строительство межгородских и межпоселковых газопроводов, а также рассмотреть возможность строительства новой нитки газопровода протяженностью 161 км от МГ "Бухара - Урал" до АГРС-300 в период до 2030 года.</w:t>
      </w:r>
    </w:p>
    <w:p>
      <w:pPr>
        <w:spacing w:after="0"/>
        <w:ind w:left="0"/>
        <w:jc w:val="both"/>
      </w:pPr>
      <w:r>
        <w:rPr>
          <w:rFonts w:ascii="Times New Roman"/>
          <w:b w:val="false"/>
          <w:i w:val="false"/>
          <w:color w:val="000000"/>
          <w:sz w:val="28"/>
        </w:rPr>
        <w:t>
      К 2020 году будут газифицированы населенные пункты - села Коктогай, Тиккайын, Акай, Карахобда Алгинского района, село им. Имангали Билтабанова, Жанаталап, Жарсай, Терисаккан Хобдинского района, село Вознесеновка, Веренка Мартукского района, село Темир-мост Мугалжарского района, село Жазык Хромтауского района.</w:t>
      </w:r>
    </w:p>
    <w:p>
      <w:pPr>
        <w:spacing w:after="0"/>
        <w:ind w:left="0"/>
        <w:jc w:val="both"/>
      </w:pPr>
      <w:r>
        <w:rPr>
          <w:rFonts w:ascii="Times New Roman"/>
          <w:b w:val="false"/>
          <w:i w:val="false"/>
          <w:color w:val="000000"/>
          <w:sz w:val="28"/>
        </w:rPr>
        <w:t>
      В период до 2030 года предлагается газификация следующих населенных пунктов - сел Жеруйык, Сарыхобда, Еркинкуш, Талдысай Алгинского района, Ащылысай, Акколь, Велиховка Каргалинского района, Косоткель Хобдинского района, Кумсай, Байторысай, Дмитриевка, Покровка, Полтавка, Хазретовка, Кокпекти, Каратаусай, Первомайка Мартукского района, Коктобе, Жарык, Елек, Котибар Мугалжарского района, Тассай, Кокпекти Хромтауского района.</w:t>
      </w:r>
    </w:p>
    <w:p>
      <w:pPr>
        <w:spacing w:after="0"/>
        <w:ind w:left="0"/>
        <w:jc w:val="both"/>
      </w:pPr>
      <w:r>
        <w:rPr>
          <w:rFonts w:ascii="Times New Roman"/>
          <w:b w:val="false"/>
          <w:i w:val="false"/>
          <w:color w:val="000000"/>
          <w:sz w:val="28"/>
        </w:rPr>
        <w:t>
      К 2030 году уровень газификации населенных пунктов агломерации достигнет 89,3 %.</w:t>
      </w:r>
    </w:p>
    <w:bookmarkStart w:name="z39" w:id="25"/>
    <w:p>
      <w:pPr>
        <w:spacing w:after="0"/>
        <w:ind w:left="0"/>
        <w:jc w:val="both"/>
      </w:pPr>
      <w:r>
        <w:rPr>
          <w:rFonts w:ascii="Times New Roman"/>
          <w:b w:val="false"/>
          <w:i w:val="false"/>
          <w:color w:val="000000"/>
          <w:sz w:val="28"/>
        </w:rPr>
        <w:t>
      Телекоммуникация и связь</w:t>
      </w:r>
    </w:p>
    <w:bookmarkEnd w:id="25"/>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"Цифровой Казахстан" предусмотрены показатели по ожидаемому экономическому росту в целом и в отраслях экономики, в том числе:</w:t>
      </w:r>
    </w:p>
    <w:p>
      <w:pPr>
        <w:spacing w:after="0"/>
        <w:ind w:left="0"/>
        <w:jc w:val="both"/>
      </w:pPr>
      <w:r>
        <w:rPr>
          <w:rFonts w:ascii="Times New Roman"/>
          <w:b w:val="false"/>
          <w:i w:val="false"/>
          <w:color w:val="000000"/>
          <w:sz w:val="28"/>
        </w:rPr>
        <w:t>
      1) доведение уровня цифровой грамотности населения до 80 % к 2020 году и 83% к 2022 году;</w:t>
      </w:r>
    </w:p>
    <w:p>
      <w:pPr>
        <w:spacing w:after="0"/>
        <w:ind w:left="0"/>
        <w:jc w:val="both"/>
      </w:pPr>
      <w:r>
        <w:rPr>
          <w:rFonts w:ascii="Times New Roman"/>
          <w:b w:val="false"/>
          <w:i w:val="false"/>
          <w:color w:val="000000"/>
          <w:sz w:val="28"/>
        </w:rPr>
        <w:t>
      2) вхождение города Актобе в один из глобальных рейтингов "умных городов" до 2020 года;</w:t>
      </w:r>
    </w:p>
    <w:p>
      <w:pPr>
        <w:spacing w:after="0"/>
        <w:ind w:left="0"/>
        <w:jc w:val="both"/>
      </w:pPr>
      <w:r>
        <w:rPr>
          <w:rFonts w:ascii="Times New Roman"/>
          <w:b w:val="false"/>
          <w:i w:val="false"/>
          <w:color w:val="000000"/>
          <w:sz w:val="28"/>
        </w:rPr>
        <w:t>
      3) доведение доли школ, внедривших обучение основам программирования с начальной школы, до 13,5 % к 2020 году и 40,6% к 2022 году;</w:t>
      </w:r>
    </w:p>
    <w:p>
      <w:pPr>
        <w:spacing w:after="0"/>
        <w:ind w:left="0"/>
        <w:jc w:val="both"/>
      </w:pPr>
      <w:r>
        <w:rPr>
          <w:rFonts w:ascii="Times New Roman"/>
          <w:b w:val="false"/>
          <w:i w:val="false"/>
          <w:color w:val="000000"/>
          <w:sz w:val="28"/>
        </w:rPr>
        <w:t>
      4) доведение доли профессиональных кадров, прошедших обучение цифровой грамотности, до 0,66 % к 2020 году и 1,1 % к 2022 году.</w:t>
      </w:r>
    </w:p>
    <w:p>
      <w:pPr>
        <w:spacing w:after="0"/>
        <w:ind w:left="0"/>
        <w:jc w:val="both"/>
      </w:pPr>
      <w:r>
        <w:rPr>
          <w:rFonts w:ascii="Times New Roman"/>
          <w:b w:val="false"/>
          <w:i w:val="false"/>
          <w:color w:val="000000"/>
          <w:sz w:val="28"/>
        </w:rPr>
        <w:t>
      Комплексное развитие инженерной инфраструктуры на территории агломерации позволит обеспечить необходимую потребность бизнеса и населения.</w:t>
      </w:r>
    </w:p>
    <w:bookmarkStart w:name="z40" w:id="26"/>
    <w:p>
      <w:pPr>
        <w:spacing w:after="0"/>
        <w:ind w:left="0"/>
        <w:jc w:val="left"/>
      </w:pPr>
      <w:r>
        <w:rPr>
          <w:rFonts w:ascii="Times New Roman"/>
          <w:b/>
          <w:i w:val="false"/>
          <w:color w:val="000000"/>
        </w:rPr>
        <w:t xml:space="preserve"> Меры комплексного развития транспортной инфраструктуры</w:t>
      </w:r>
    </w:p>
    <w:bookmarkEnd w:id="26"/>
    <w:p>
      <w:pPr>
        <w:spacing w:after="0"/>
        <w:ind w:left="0"/>
        <w:jc w:val="both"/>
      </w:pPr>
      <w:r>
        <w:rPr>
          <w:rFonts w:ascii="Times New Roman"/>
          <w:b w:val="false"/>
          <w:i w:val="false"/>
          <w:color w:val="000000"/>
          <w:sz w:val="28"/>
        </w:rPr>
        <w:t>
      Оптимизация транспортной сети является одним из направлений комплексного развития территории агломерации. Основные меры комплексного развития транспортной инфраструктуры направлены на создание единой транспортно-логистической системы агломерационного значения.</w:t>
      </w:r>
    </w:p>
    <w:p>
      <w:pPr>
        <w:spacing w:after="0"/>
        <w:ind w:left="0"/>
        <w:jc w:val="both"/>
      </w:pPr>
      <w:r>
        <w:rPr>
          <w:rFonts w:ascii="Times New Roman"/>
          <w:b w:val="false"/>
          <w:i w:val="false"/>
          <w:color w:val="000000"/>
          <w:sz w:val="28"/>
        </w:rPr>
        <w:t>
      Развитие инфраструктуры железнодорожного транспорта предполагает разгрузки города-ядра Актобе и совершенствование транспортного каркаса территории агломерации. Так, к 2020 году предлагается создание транспортно-пересадочного узла (далее - ТПУ) на базе железнодорожного вокзала Актобе.</w:t>
      </w:r>
    </w:p>
    <w:p>
      <w:pPr>
        <w:spacing w:after="0"/>
        <w:ind w:left="0"/>
        <w:jc w:val="both"/>
      </w:pPr>
      <w:r>
        <w:rPr>
          <w:rFonts w:ascii="Times New Roman"/>
          <w:b w:val="false"/>
          <w:i w:val="false"/>
          <w:color w:val="000000"/>
          <w:sz w:val="28"/>
        </w:rPr>
        <w:t>
      К 2030 году предлагаются:</w:t>
      </w:r>
    </w:p>
    <w:p>
      <w:pPr>
        <w:spacing w:after="0"/>
        <w:ind w:left="0"/>
        <w:jc w:val="both"/>
      </w:pPr>
      <w:r>
        <w:rPr>
          <w:rFonts w:ascii="Times New Roman"/>
          <w:b w:val="false"/>
          <w:i w:val="false"/>
          <w:color w:val="000000"/>
          <w:sz w:val="28"/>
        </w:rPr>
        <w:t>
      1) строительство западной обводной электрифицированной железнодорожной линии в обход узла Актобе сообщением "Бестамак - Курайлы";</w:t>
      </w:r>
    </w:p>
    <w:p>
      <w:pPr>
        <w:spacing w:after="0"/>
        <w:ind w:left="0"/>
        <w:jc w:val="both"/>
      </w:pPr>
      <w:r>
        <w:rPr>
          <w:rFonts w:ascii="Times New Roman"/>
          <w:b w:val="false"/>
          <w:i w:val="false"/>
          <w:color w:val="000000"/>
          <w:sz w:val="28"/>
        </w:rPr>
        <w:t>
      2) строительство электрифицированной железнодорожной линии "Бестамак (Актобе) - Хромтау";</w:t>
      </w:r>
    </w:p>
    <w:p>
      <w:pPr>
        <w:spacing w:after="0"/>
        <w:ind w:left="0"/>
        <w:jc w:val="both"/>
      </w:pPr>
      <w:r>
        <w:rPr>
          <w:rFonts w:ascii="Times New Roman"/>
          <w:b w:val="false"/>
          <w:i w:val="false"/>
          <w:color w:val="000000"/>
          <w:sz w:val="28"/>
        </w:rPr>
        <w:t>
      3) электрификация существующих железнодорожных участков "Актобе - Кандыагаш", "Хромтау - Кандыагаш" и "Актобе - Мартук";</w:t>
      </w:r>
    </w:p>
    <w:p>
      <w:pPr>
        <w:spacing w:after="0"/>
        <w:ind w:left="0"/>
        <w:jc w:val="both"/>
      </w:pPr>
      <w:r>
        <w:rPr>
          <w:rFonts w:ascii="Times New Roman"/>
          <w:b w:val="false"/>
          <w:i w:val="false"/>
          <w:color w:val="000000"/>
          <w:sz w:val="28"/>
        </w:rPr>
        <w:t>
      4) модернизация железнодорожных вокзалов на территории Актюбинской агломерации в городах Кандыагаш, Хромтау, Алга и селах Мартук, Жайсаи, Тамды, Темир, Бестамак, Каратогай.</w:t>
      </w:r>
    </w:p>
    <w:p>
      <w:pPr>
        <w:spacing w:after="0"/>
        <w:ind w:left="0"/>
        <w:jc w:val="both"/>
      </w:pPr>
      <w:r>
        <w:rPr>
          <w:rFonts w:ascii="Times New Roman"/>
          <w:b w:val="false"/>
          <w:i w:val="false"/>
          <w:color w:val="000000"/>
          <w:sz w:val="28"/>
        </w:rPr>
        <w:t>
      Развитие инфраструктуры автомобильного транспорта предусматривает формирование оптимальной дорожной сети, обеспечивающей эффективную связанность территорий, а также развитие внутренних и внешних транспортных связей агломерации качественными автодорогами.</w:t>
      </w:r>
    </w:p>
    <w:p>
      <w:pPr>
        <w:spacing w:after="0"/>
        <w:ind w:left="0"/>
        <w:jc w:val="both"/>
      </w:pPr>
      <w:r>
        <w:rPr>
          <w:rFonts w:ascii="Times New Roman"/>
          <w:b w:val="false"/>
          <w:i w:val="false"/>
          <w:color w:val="000000"/>
          <w:sz w:val="28"/>
        </w:rPr>
        <w:t>
      К 2020 году предлагаются:</w:t>
      </w:r>
    </w:p>
    <w:p>
      <w:pPr>
        <w:spacing w:after="0"/>
        <w:ind w:left="0"/>
        <w:jc w:val="both"/>
      </w:pPr>
      <w:r>
        <w:rPr>
          <w:rFonts w:ascii="Times New Roman"/>
          <w:b w:val="false"/>
          <w:i w:val="false"/>
          <w:color w:val="000000"/>
          <w:sz w:val="28"/>
        </w:rPr>
        <w:t>
      1) реконструкция и проектно-изыскательские работы коридора "Центр - Запад" сообщением "Астана - Актобе - Макат - Бейнеу - Актау" с выходом на Астрахань, через Атырау" на участке "Кандыагаш - Макат";</w:t>
      </w:r>
    </w:p>
    <w:p>
      <w:pPr>
        <w:spacing w:after="0"/>
        <w:ind w:left="0"/>
        <w:jc w:val="both"/>
      </w:pPr>
      <w:r>
        <w:rPr>
          <w:rFonts w:ascii="Times New Roman"/>
          <w:b w:val="false"/>
          <w:i w:val="false"/>
          <w:color w:val="000000"/>
          <w:sz w:val="28"/>
        </w:rPr>
        <w:t>
      2) реконструкция автомобильной дороги республиканского значения сообщением "Актобе - Атырау - граница Российской Федерации (на Астрахань)" на участке "Актобе - Кандыагаш";</w:t>
      </w:r>
    </w:p>
    <w:p>
      <w:pPr>
        <w:spacing w:after="0"/>
        <w:ind w:left="0"/>
        <w:jc w:val="both"/>
      </w:pPr>
      <w:r>
        <w:rPr>
          <w:rFonts w:ascii="Times New Roman"/>
          <w:b w:val="false"/>
          <w:i w:val="false"/>
          <w:color w:val="000000"/>
          <w:sz w:val="28"/>
        </w:rPr>
        <w:t>
      3) реконструкция автомобильной дороги "Южный обход города Актобе";</w:t>
      </w:r>
    </w:p>
    <w:p>
      <w:pPr>
        <w:spacing w:after="0"/>
        <w:ind w:left="0"/>
        <w:jc w:val="both"/>
      </w:pPr>
      <w:r>
        <w:rPr>
          <w:rFonts w:ascii="Times New Roman"/>
          <w:b w:val="false"/>
          <w:i w:val="false"/>
          <w:color w:val="000000"/>
          <w:sz w:val="28"/>
        </w:rPr>
        <w:t>
      4) ремонт автомобильной дороги республиканского значения "Актобе - Орск";</w:t>
      </w:r>
    </w:p>
    <w:p>
      <w:pPr>
        <w:spacing w:after="0"/>
        <w:ind w:left="0"/>
        <w:jc w:val="both"/>
      </w:pPr>
      <w:r>
        <w:rPr>
          <w:rFonts w:ascii="Times New Roman"/>
          <w:b w:val="false"/>
          <w:i w:val="false"/>
          <w:color w:val="000000"/>
          <w:sz w:val="28"/>
        </w:rPr>
        <w:t>
      5) проработка вопроса проведения мероприятий по улучшению пропускной способности улично-дорожной сети на основных магистралях и выездных трассах города Актобе.</w:t>
      </w:r>
    </w:p>
    <w:p>
      <w:pPr>
        <w:spacing w:after="0"/>
        <w:ind w:left="0"/>
        <w:jc w:val="both"/>
      </w:pPr>
      <w:r>
        <w:rPr>
          <w:rFonts w:ascii="Times New Roman"/>
          <w:b w:val="false"/>
          <w:i w:val="false"/>
          <w:color w:val="000000"/>
          <w:sz w:val="28"/>
        </w:rPr>
        <w:t>
      К 2030 году предлагаются:</w:t>
      </w:r>
    </w:p>
    <w:p>
      <w:pPr>
        <w:spacing w:after="0"/>
        <w:ind w:left="0"/>
        <w:jc w:val="both"/>
      </w:pPr>
      <w:r>
        <w:rPr>
          <w:rFonts w:ascii="Times New Roman"/>
          <w:b w:val="false"/>
          <w:i w:val="false"/>
          <w:color w:val="000000"/>
          <w:sz w:val="28"/>
        </w:rPr>
        <w:t>
      1) строительство автомобильной дороги "Западный обход города Актобе";</w:t>
      </w:r>
    </w:p>
    <w:p>
      <w:pPr>
        <w:spacing w:after="0"/>
        <w:ind w:left="0"/>
        <w:jc w:val="both"/>
      </w:pPr>
      <w:r>
        <w:rPr>
          <w:rFonts w:ascii="Times New Roman"/>
          <w:b w:val="false"/>
          <w:i w:val="false"/>
          <w:color w:val="000000"/>
          <w:sz w:val="28"/>
        </w:rPr>
        <w:t>
      2) строительство автомобильной дороги "Большой южный обход города Актобе";</w:t>
      </w:r>
    </w:p>
    <w:p>
      <w:pPr>
        <w:spacing w:after="0"/>
        <w:ind w:left="0"/>
        <w:jc w:val="both"/>
      </w:pPr>
      <w:r>
        <w:rPr>
          <w:rFonts w:ascii="Times New Roman"/>
          <w:b w:val="false"/>
          <w:i w:val="false"/>
          <w:color w:val="000000"/>
          <w:sz w:val="28"/>
        </w:rPr>
        <w:t>
      3) реконструкция автомобильной дороги республиканского значения сообщением "Актобе - граница Российской Федерации (на Орск)";</w:t>
      </w:r>
    </w:p>
    <w:p>
      <w:pPr>
        <w:spacing w:after="0"/>
        <w:ind w:left="0"/>
        <w:jc w:val="both"/>
      </w:pPr>
      <w:r>
        <w:rPr>
          <w:rFonts w:ascii="Times New Roman"/>
          <w:b w:val="false"/>
          <w:i w:val="false"/>
          <w:color w:val="000000"/>
          <w:sz w:val="28"/>
        </w:rPr>
        <w:t>
      4) реконструкция автомобильных дорог областного значения:</w:t>
      </w:r>
    </w:p>
    <w:p>
      <w:pPr>
        <w:spacing w:after="0"/>
        <w:ind w:left="0"/>
        <w:jc w:val="both"/>
      </w:pPr>
      <w:r>
        <w:rPr>
          <w:rFonts w:ascii="Times New Roman"/>
          <w:b w:val="false"/>
          <w:i w:val="false"/>
          <w:color w:val="000000"/>
          <w:sz w:val="28"/>
        </w:rPr>
        <w:t>
      "Актобе - Болгарка - Шубаркудук", "Актобе - Родниковка - Мартук", "Кобда - Мартук", "Донское - Бадамша - А-25 "Актобе - Орск", "А-25 Актобе - Орск" - Петропавловка - Хазретовка";</w:t>
      </w:r>
    </w:p>
    <w:p>
      <w:pPr>
        <w:spacing w:after="0"/>
        <w:ind w:left="0"/>
        <w:jc w:val="both"/>
      </w:pPr>
      <w:r>
        <w:rPr>
          <w:rFonts w:ascii="Times New Roman"/>
          <w:b w:val="false"/>
          <w:i w:val="false"/>
          <w:color w:val="000000"/>
          <w:sz w:val="28"/>
        </w:rPr>
        <w:t>
      5) капитальный ремонт автомобильных дорог районного значения:</w:t>
      </w:r>
    </w:p>
    <w:p>
      <w:pPr>
        <w:spacing w:after="0"/>
        <w:ind w:left="0"/>
        <w:jc w:val="both"/>
      </w:pPr>
      <w:r>
        <w:rPr>
          <w:rFonts w:ascii="Times New Roman"/>
          <w:b w:val="false"/>
          <w:i w:val="false"/>
          <w:color w:val="000000"/>
          <w:sz w:val="28"/>
        </w:rPr>
        <w:t>
      "Богословка - Алга - Токмансай", "Подъезд к селу Маржанбулак", "Подъезд к селу Акай", "Подъезд к селу Кемпирсай", "Кобда – Имангали Билтабанова", "Кобда - Талдысай", "Кобда - Терисаккан", "Кобда - Жанаталап", "Кобда - Бестау", "Мартук - Дмитриевка - Полтавка", "Вознесеновка - Жанажол - "Мартук - Полтавка", "Мартук - Полтавка" - Шевченко - Борте", "Мартук - Киялы", "Подъезд к селу Мартук", "Кандыагаш - Жарык", "Подъезд к городу Кандыагаш", "Подъезд к селу Талдысай", "Аккемер - Котибар - Илек - Коктобе", "Подъезд к селу Тассай", "Подъезд к селу Абай".</w:t>
      </w:r>
    </w:p>
    <w:p>
      <w:pPr>
        <w:spacing w:after="0"/>
        <w:ind w:left="0"/>
        <w:jc w:val="both"/>
      </w:pPr>
      <w:r>
        <w:rPr>
          <w:rFonts w:ascii="Times New Roman"/>
          <w:b w:val="false"/>
          <w:i w:val="false"/>
          <w:color w:val="000000"/>
          <w:sz w:val="28"/>
        </w:rPr>
        <w:t>
      В целях повышения мобильности населения и развития пассажирского общественного транспорта в границах Актюбинской агломерации к 2020 году предлагаются:</w:t>
      </w:r>
    </w:p>
    <w:p>
      <w:pPr>
        <w:spacing w:after="0"/>
        <w:ind w:left="0"/>
        <w:jc w:val="both"/>
      </w:pPr>
      <w:r>
        <w:rPr>
          <w:rFonts w:ascii="Times New Roman"/>
          <w:b w:val="false"/>
          <w:i w:val="false"/>
          <w:color w:val="000000"/>
          <w:sz w:val="28"/>
        </w:rPr>
        <w:t>
      1) строительство 1 автостанции в селе Кобда;</w:t>
      </w:r>
    </w:p>
    <w:p>
      <w:pPr>
        <w:spacing w:after="0"/>
        <w:ind w:left="0"/>
        <w:jc w:val="both"/>
      </w:pPr>
      <w:r>
        <w:rPr>
          <w:rFonts w:ascii="Times New Roman"/>
          <w:b w:val="false"/>
          <w:i w:val="false"/>
          <w:color w:val="000000"/>
          <w:sz w:val="28"/>
        </w:rPr>
        <w:t>
      2) строительство 1 пункта обслуживания пассажиров в селе Бадамша;</w:t>
      </w:r>
    </w:p>
    <w:p>
      <w:pPr>
        <w:spacing w:after="0"/>
        <w:ind w:left="0"/>
        <w:jc w:val="both"/>
      </w:pPr>
      <w:r>
        <w:rPr>
          <w:rFonts w:ascii="Times New Roman"/>
          <w:b w:val="false"/>
          <w:i w:val="false"/>
          <w:color w:val="000000"/>
          <w:sz w:val="28"/>
        </w:rPr>
        <w:t>
      3) строительство 18 стоянок такси (по 3 стоянки в 6-ти районных центрах, входящих в зону агломерации).</w:t>
      </w:r>
    </w:p>
    <w:p>
      <w:pPr>
        <w:spacing w:after="0"/>
        <w:ind w:left="0"/>
        <w:jc w:val="both"/>
      </w:pPr>
      <w:r>
        <w:rPr>
          <w:rFonts w:ascii="Times New Roman"/>
          <w:b w:val="false"/>
          <w:i w:val="false"/>
          <w:color w:val="000000"/>
          <w:sz w:val="28"/>
        </w:rPr>
        <w:t>
      Для внедрения современных высокоэффективных транспортных систем пассажирского транспорта к 2030 году предлагаются:</w:t>
      </w:r>
    </w:p>
    <w:p>
      <w:pPr>
        <w:spacing w:after="0"/>
        <w:ind w:left="0"/>
        <w:jc w:val="both"/>
      </w:pPr>
      <w:r>
        <w:rPr>
          <w:rFonts w:ascii="Times New Roman"/>
          <w:b w:val="false"/>
          <w:i w:val="false"/>
          <w:color w:val="000000"/>
          <w:sz w:val="28"/>
        </w:rPr>
        <w:t>
      1) строительство и реконструкция автостанций в районных центрах агломерации в городах Кандыагаш, Хромтау, Алга и селах Мартук, Бадамша;</w:t>
      </w:r>
    </w:p>
    <w:p>
      <w:pPr>
        <w:spacing w:after="0"/>
        <w:ind w:left="0"/>
        <w:jc w:val="both"/>
      </w:pPr>
      <w:r>
        <w:rPr>
          <w:rFonts w:ascii="Times New Roman"/>
          <w:b w:val="false"/>
          <w:i w:val="false"/>
          <w:color w:val="000000"/>
          <w:sz w:val="28"/>
        </w:rPr>
        <w:t>
      2) строительство 7-ми ТПУ на основных направлениях из центра агломерации: "Бестамак" (Атырау - Кандыагаш), "Ольке" (Костанай - Хромтау), "Маржанбулак" (Уральск - Кобда), "Курайлы" (Оренбург - Мартук), "Петропавловка" (на Орск), "Ушкудык" (Болгарка - Шубаркудук) и "Акшат" (Родниковка - Мартук);</w:t>
      </w:r>
    </w:p>
    <w:p>
      <w:pPr>
        <w:spacing w:after="0"/>
        <w:ind w:left="0"/>
        <w:jc w:val="both"/>
      </w:pPr>
      <w:r>
        <w:rPr>
          <w:rFonts w:ascii="Times New Roman"/>
          <w:b w:val="false"/>
          <w:i w:val="false"/>
          <w:color w:val="000000"/>
          <w:sz w:val="28"/>
        </w:rPr>
        <w:t>
      3) строительство линий систем скоростных автобусных перевозок с последующим переводом в линию легко-рельсового транспорта по маршруту "Город - Пригород" (из города Актобе по направлениям: Бестамак, Курайлы, Маржанбулак, Ольке, Петропавловка, Ушкудык, Акшат).</w:t>
      </w:r>
    </w:p>
    <w:p>
      <w:pPr>
        <w:spacing w:after="0"/>
        <w:ind w:left="0"/>
        <w:jc w:val="both"/>
      </w:pPr>
      <w:r>
        <w:rPr>
          <w:rFonts w:ascii="Times New Roman"/>
          <w:b w:val="false"/>
          <w:i w:val="false"/>
          <w:color w:val="000000"/>
          <w:sz w:val="28"/>
        </w:rPr>
        <w:t>
      В развитии инфраструктуры воздушного транспорта до 2020 года проработать вопрос по подготовке проектно-сметной документации по развороту искусственной взлетно-посадочной полосы действующего международного аэропорта города Актобе на 68 градусов, что позволит обеспечить безопасность полетов и возможность территориального развития города в юго-западном и северо-восточном направлениях.</w:t>
      </w:r>
    </w:p>
    <w:p>
      <w:pPr>
        <w:spacing w:after="0"/>
        <w:ind w:left="0"/>
        <w:jc w:val="both"/>
      </w:pPr>
      <w:r>
        <w:rPr>
          <w:rFonts w:ascii="Times New Roman"/>
          <w:b w:val="false"/>
          <w:i w:val="false"/>
          <w:color w:val="000000"/>
          <w:sz w:val="28"/>
        </w:rPr>
        <w:t>
      Для развития инфраструктуры объектов логистики предлагаются:</w:t>
      </w:r>
    </w:p>
    <w:p>
      <w:pPr>
        <w:spacing w:after="0"/>
        <w:ind w:left="0"/>
        <w:jc w:val="both"/>
      </w:pPr>
      <w:r>
        <w:rPr>
          <w:rFonts w:ascii="Times New Roman"/>
          <w:b w:val="false"/>
          <w:i w:val="false"/>
          <w:color w:val="000000"/>
          <w:sz w:val="28"/>
        </w:rPr>
        <w:t>
      к 2020 году - строительство 5-ти транспортно-логистических центров;</w:t>
      </w:r>
    </w:p>
    <w:p>
      <w:pPr>
        <w:spacing w:after="0"/>
        <w:ind w:left="0"/>
        <w:jc w:val="both"/>
      </w:pPr>
      <w:r>
        <w:rPr>
          <w:rFonts w:ascii="Times New Roman"/>
          <w:b w:val="false"/>
          <w:i w:val="false"/>
          <w:color w:val="000000"/>
          <w:sz w:val="28"/>
        </w:rPr>
        <w:t>
      к 2030 году - строительство 10-ти транспортно-логистических центров по итерационному принципу с учетом инвестиционной привлекательности.</w:t>
      </w:r>
    </w:p>
    <w:p>
      <w:pPr>
        <w:spacing w:after="0"/>
        <w:ind w:left="0"/>
        <w:jc w:val="both"/>
      </w:pPr>
      <w:r>
        <w:rPr>
          <w:rFonts w:ascii="Times New Roman"/>
          <w:b w:val="false"/>
          <w:i w:val="false"/>
          <w:color w:val="000000"/>
          <w:sz w:val="28"/>
        </w:rPr>
        <w:t>
      Развитие инфраструктуры транспортной логистики будет способствовать созданию высокоэффективной транспортно-логистической системы, как Актюбинской агломерации, так и региона, а также ее интеграции в международную транспортную систему.</w:t>
      </w:r>
    </w:p>
    <w:bookmarkStart w:name="z41" w:id="27"/>
    <w:p>
      <w:pPr>
        <w:spacing w:after="0"/>
        <w:ind w:left="0"/>
        <w:jc w:val="left"/>
      </w:pPr>
      <w:r>
        <w:rPr>
          <w:rFonts w:ascii="Times New Roman"/>
          <w:b/>
          <w:i w:val="false"/>
          <w:color w:val="000000"/>
        </w:rPr>
        <w:t xml:space="preserve"> Меры комплексного развития социальной инфраструктуры</w:t>
      </w:r>
    </w:p>
    <w:bookmarkEnd w:id="27"/>
    <w:p>
      <w:pPr>
        <w:spacing w:after="0"/>
        <w:ind w:left="0"/>
        <w:jc w:val="both"/>
      </w:pPr>
      <w:r>
        <w:rPr>
          <w:rFonts w:ascii="Times New Roman"/>
          <w:b w:val="false"/>
          <w:i w:val="false"/>
          <w:color w:val="000000"/>
          <w:sz w:val="28"/>
        </w:rPr>
        <w:t>
      На территории Актюбинской агломерации определились следующие центры обслуживания:</w:t>
      </w:r>
    </w:p>
    <w:p>
      <w:pPr>
        <w:spacing w:after="0"/>
        <w:ind w:left="0"/>
        <w:jc w:val="both"/>
      </w:pPr>
      <w:r>
        <w:rPr>
          <w:rFonts w:ascii="Times New Roman"/>
          <w:b w:val="false"/>
          <w:i w:val="false"/>
          <w:color w:val="000000"/>
          <w:sz w:val="28"/>
        </w:rPr>
        <w:t>
      в городе Актобе формируются межрегиональный (ядро агломерации) и региональный (областной центр) уровни;</w:t>
      </w:r>
    </w:p>
    <w:p>
      <w:pPr>
        <w:spacing w:after="0"/>
        <w:ind w:left="0"/>
        <w:jc w:val="both"/>
      </w:pPr>
      <w:r>
        <w:rPr>
          <w:rFonts w:ascii="Times New Roman"/>
          <w:b w:val="false"/>
          <w:i w:val="false"/>
          <w:color w:val="000000"/>
          <w:sz w:val="28"/>
        </w:rPr>
        <w:t>
      в моно- и малых городах Хромтау, Алга, Кандыагаш формируются межрайонный и районный (районный центр) уровни;</w:t>
      </w:r>
    </w:p>
    <w:p>
      <w:pPr>
        <w:spacing w:after="0"/>
        <w:ind w:left="0"/>
        <w:jc w:val="both"/>
      </w:pPr>
      <w:r>
        <w:rPr>
          <w:rFonts w:ascii="Times New Roman"/>
          <w:b w:val="false"/>
          <w:i w:val="false"/>
          <w:color w:val="000000"/>
          <w:sz w:val="28"/>
        </w:rPr>
        <w:t>
      в других населенных пунктах, наделенных статусом районного центра Бадамша, Мартук, Кобда, формируется районный уровень;</w:t>
      </w:r>
    </w:p>
    <w:p>
      <w:pPr>
        <w:spacing w:after="0"/>
        <w:ind w:left="0"/>
        <w:jc w:val="both"/>
      </w:pPr>
      <w:r>
        <w:rPr>
          <w:rFonts w:ascii="Times New Roman"/>
          <w:b w:val="false"/>
          <w:i w:val="false"/>
          <w:color w:val="000000"/>
          <w:sz w:val="28"/>
        </w:rPr>
        <w:t>
      в центрах сельских округов (47) и опорных СНП (8) образовывается местный уровень;</w:t>
      </w:r>
    </w:p>
    <w:p>
      <w:pPr>
        <w:spacing w:after="0"/>
        <w:ind w:left="0"/>
        <w:jc w:val="both"/>
      </w:pPr>
      <w:r>
        <w:rPr>
          <w:rFonts w:ascii="Times New Roman"/>
          <w:b w:val="false"/>
          <w:i w:val="false"/>
          <w:color w:val="000000"/>
          <w:sz w:val="28"/>
        </w:rPr>
        <w:t>
      в населенных пунктах сельских округов образовывается поселенческий уровень, всего в зоне перспективного агломерирования 108 СНП.</w:t>
      </w:r>
    </w:p>
    <w:p>
      <w:pPr>
        <w:spacing w:after="0"/>
        <w:ind w:left="0"/>
        <w:jc w:val="both"/>
      </w:pPr>
      <w:r>
        <w:rPr>
          <w:rFonts w:ascii="Times New Roman"/>
          <w:b w:val="false"/>
          <w:i w:val="false"/>
          <w:color w:val="000000"/>
          <w:sz w:val="28"/>
        </w:rPr>
        <w:t>
      Каждому поселению в зависимости от его статуса предлагается определенный набор учреждений обслуживания:</w:t>
      </w:r>
    </w:p>
    <w:p>
      <w:pPr>
        <w:spacing w:after="0"/>
        <w:ind w:left="0"/>
        <w:jc w:val="both"/>
      </w:pPr>
      <w:r>
        <w:rPr>
          <w:rFonts w:ascii="Times New Roman"/>
          <w:b w:val="false"/>
          <w:i w:val="false"/>
          <w:color w:val="000000"/>
          <w:sz w:val="28"/>
        </w:rPr>
        <w:t>
      для межрегионального и регионального уровня (полный комплекс объектов повседневного, периодического, эпизодического обслуживания);</w:t>
      </w:r>
    </w:p>
    <w:p>
      <w:pPr>
        <w:spacing w:after="0"/>
        <w:ind w:left="0"/>
        <w:jc w:val="both"/>
      </w:pPr>
      <w:r>
        <w:rPr>
          <w:rFonts w:ascii="Times New Roman"/>
          <w:b w:val="false"/>
          <w:i w:val="false"/>
          <w:color w:val="000000"/>
          <w:sz w:val="28"/>
        </w:rPr>
        <w:t>
      для межрайонного уровня (полный комплекс объектов повседневного, периодического, отдельные объекты эпизодического обслуживания);</w:t>
      </w:r>
    </w:p>
    <w:p>
      <w:pPr>
        <w:spacing w:after="0"/>
        <w:ind w:left="0"/>
        <w:jc w:val="both"/>
      </w:pPr>
      <w:r>
        <w:rPr>
          <w:rFonts w:ascii="Times New Roman"/>
          <w:b w:val="false"/>
          <w:i w:val="false"/>
          <w:color w:val="000000"/>
          <w:sz w:val="28"/>
        </w:rPr>
        <w:t>
      для районного уровня (полный комплекс объектов повседневного, периодического обслуживания);</w:t>
      </w:r>
    </w:p>
    <w:p>
      <w:pPr>
        <w:spacing w:after="0"/>
        <w:ind w:left="0"/>
        <w:jc w:val="both"/>
      </w:pPr>
      <w:r>
        <w:rPr>
          <w:rFonts w:ascii="Times New Roman"/>
          <w:b w:val="false"/>
          <w:i w:val="false"/>
          <w:color w:val="000000"/>
          <w:sz w:val="28"/>
        </w:rPr>
        <w:t>
      для местного уровня (полный комплекс учреждений повседневного и отдельные объекты периодического обслуживания);</w:t>
      </w:r>
    </w:p>
    <w:p>
      <w:pPr>
        <w:spacing w:after="0"/>
        <w:ind w:left="0"/>
        <w:jc w:val="both"/>
      </w:pPr>
      <w:r>
        <w:rPr>
          <w:rFonts w:ascii="Times New Roman"/>
          <w:b w:val="false"/>
          <w:i w:val="false"/>
          <w:color w:val="000000"/>
          <w:sz w:val="28"/>
        </w:rPr>
        <w:t>
      для поселенческого уровня (учреждения повседневного обслуживания).</w:t>
      </w:r>
    </w:p>
    <w:p>
      <w:pPr>
        <w:spacing w:after="0"/>
        <w:ind w:left="0"/>
        <w:jc w:val="both"/>
      </w:pPr>
      <w:r>
        <w:rPr>
          <w:rFonts w:ascii="Times New Roman"/>
          <w:b w:val="false"/>
          <w:i w:val="false"/>
          <w:color w:val="000000"/>
          <w:sz w:val="28"/>
        </w:rPr>
        <w:t>
      В рамках проекта представлена нормативная потребность в объектах социальной сферы агломерации, выполненная дифференцированным путем на основе анализа существующего положения, прогнозной численности населения и ее демографической структуры в соответствии с СП РК 3.01-101-2013 "Градостроительство. Планировка и застройка городских и сельских населенных пунктов". При этом рассмотрение вопросов по обеспечению населения агломерации объектами социальной инфраструктуры необходимо с учетом бюджетных возможностей и на основе государственно-частного партнерства.</w:t>
      </w:r>
    </w:p>
    <w:p>
      <w:pPr>
        <w:spacing w:after="0"/>
        <w:ind w:left="0"/>
        <w:jc w:val="both"/>
      </w:pPr>
      <w:r>
        <w:rPr>
          <w:rFonts w:ascii="Times New Roman"/>
          <w:b w:val="false"/>
          <w:i w:val="false"/>
          <w:color w:val="000000"/>
          <w:sz w:val="28"/>
        </w:rPr>
        <w:t>
      На начало 2017-2018 учебного года в Актюбинской агломерации функционировали 274 дошкольные организации или 52 % дошкольных организаций Актюбинской области. Охват детей возрастной группы 3-6 лет составлял 95,6 %.</w:t>
      </w:r>
    </w:p>
    <w:p>
      <w:pPr>
        <w:spacing w:after="0"/>
        <w:ind w:left="0"/>
        <w:jc w:val="both"/>
      </w:pPr>
      <w:r>
        <w:rPr>
          <w:rFonts w:ascii="Times New Roman"/>
          <w:b w:val="false"/>
          <w:i w:val="false"/>
          <w:color w:val="000000"/>
          <w:sz w:val="28"/>
        </w:rPr>
        <w:t>
      Полный охват детей дошкольного возраста дошкольным образованием будет достигнут к 2019 году. Согласно нормативной потребности целесообразна проработка вопроса доведения количества мест в дошкольных организациях агломерации к концу 2020 года до 48,4 тысяч, а к концу 2030 года - до 84,7 тысяч мест.</w:t>
      </w:r>
    </w:p>
    <w:p>
      <w:pPr>
        <w:spacing w:after="0"/>
        <w:ind w:left="0"/>
        <w:jc w:val="both"/>
      </w:pPr>
      <w:r>
        <w:rPr>
          <w:rFonts w:ascii="Times New Roman"/>
          <w:b w:val="false"/>
          <w:i w:val="false"/>
          <w:color w:val="000000"/>
          <w:sz w:val="28"/>
        </w:rPr>
        <w:t xml:space="preserve">
      На начало 2017-2018 учебного года в агломерации действовали 189 дневных государственных общеобразовательных школ (45 % школ Актюбинской области), контингент учащихся составил 92,2 тысяч человек. С учетом нормативной потребности к концу 2020 года целесообразна проработка вопроса доведения числа ученических мест общеобразовательных школ до 103,9 тысяч, а к концу 2030 года до 141,5 тысяч. </w:t>
      </w:r>
    </w:p>
    <w:p>
      <w:pPr>
        <w:spacing w:after="0"/>
        <w:ind w:left="0"/>
        <w:jc w:val="both"/>
      </w:pPr>
      <w:r>
        <w:rPr>
          <w:rFonts w:ascii="Times New Roman"/>
          <w:b w:val="false"/>
          <w:i w:val="false"/>
          <w:color w:val="000000"/>
          <w:sz w:val="28"/>
        </w:rPr>
        <w:t>
      По данным местных исполнительных органов на начало 2017 года в границах Актюбинской агломерации функционировали 35 медицинских организаций, оказывающих стационарную помощь мощностью 3,66 тысяч коек, обеспеченность на 10 тысяч человек населения - 57,7 коек и 133 амбулаторно-поликлинических организаций, включая врачебные амбулатории, фельдшерско-акушерские пункты, медицинские пункты и частные врачебные кабинеты мощностью 10713 посещений в смену, обеспеченность на 10 тысяч человек населения -169,0 посещений в смену.</w:t>
      </w:r>
    </w:p>
    <w:p>
      <w:pPr>
        <w:spacing w:after="0"/>
        <w:ind w:left="0"/>
        <w:jc w:val="both"/>
      </w:pPr>
      <w:r>
        <w:rPr>
          <w:rFonts w:ascii="Times New Roman"/>
          <w:b w:val="false"/>
          <w:i w:val="false"/>
          <w:color w:val="000000"/>
          <w:sz w:val="28"/>
        </w:rPr>
        <w:t>
      Изменения в системе здравоохранения позволили повысить эффективность использования коечного фонда. Сокращение коечного фонда в Казахстане стало возможно с начала действия Единой национальной системы здравоохранения.</w:t>
      </w:r>
    </w:p>
    <w:p>
      <w:pPr>
        <w:spacing w:after="0"/>
        <w:ind w:left="0"/>
        <w:jc w:val="both"/>
      </w:pPr>
      <w:r>
        <w:rPr>
          <w:rFonts w:ascii="Times New Roman"/>
          <w:b w:val="false"/>
          <w:i w:val="false"/>
          <w:color w:val="000000"/>
          <w:sz w:val="28"/>
        </w:rPr>
        <w:t xml:space="preserve">
      К концу 2030 года предусматривается незначительное снижение коечного фонда. Сокращение коечного фонда возможно путем развития таких направлений как стационары на дому и дневные стационары. </w:t>
      </w:r>
    </w:p>
    <w:p>
      <w:pPr>
        <w:spacing w:after="0"/>
        <w:ind w:left="0"/>
        <w:jc w:val="both"/>
      </w:pPr>
      <w:r>
        <w:rPr>
          <w:rFonts w:ascii="Times New Roman"/>
          <w:b w:val="false"/>
          <w:i w:val="false"/>
          <w:color w:val="000000"/>
          <w:sz w:val="28"/>
        </w:rPr>
        <w:t>
      По данным Министерства труда и социальной защиты населения Республики Казахстан на начало 2017 года в агломерации действовали 1 медико-социальное учреждение для престарелых и инвалидов на 310 мест (контингент - 264 человека), 1 медико-социальное учреждение для инвалидов с психоневрологическими заболеваниями на 400 мест (контингент - 400 человек).</w:t>
      </w:r>
    </w:p>
    <w:p>
      <w:pPr>
        <w:spacing w:after="0"/>
        <w:ind w:left="0"/>
        <w:jc w:val="both"/>
      </w:pPr>
      <w:r>
        <w:rPr>
          <w:rFonts w:ascii="Times New Roman"/>
          <w:b w:val="false"/>
          <w:i w:val="false"/>
          <w:color w:val="000000"/>
          <w:sz w:val="28"/>
        </w:rPr>
        <w:t>
      К 2030 году целесообразно рассмотреть вопрос возможности строительства малокомплектных домов-интернатов проектной мощностью не более 50 мест и развития альтернативных форм социального обслуживания в виде отделений дневного пребывания мощностью от 10 до 50 койко-мест.</w:t>
      </w:r>
    </w:p>
    <w:p>
      <w:pPr>
        <w:spacing w:after="0"/>
        <w:ind w:left="0"/>
        <w:jc w:val="both"/>
      </w:pPr>
      <w:r>
        <w:rPr>
          <w:rFonts w:ascii="Times New Roman"/>
          <w:b w:val="false"/>
          <w:i w:val="false"/>
          <w:color w:val="000000"/>
          <w:sz w:val="28"/>
        </w:rPr>
        <w:t>
      Жилищный фонд агломерации по данным местных исполнительных органов на начало 2017 года составил 11,8 млн. кв. м общей площади жилья (73,2 % жилищного фонда Актюбинской области). В городской местности насчитывалось 9,8 млн. кв. м жилья (82,8 % жилищного фонда агломерации). Обеспеченность населения Актюбинской агломерации жильем составляла 21,0 кв. м на человека, в городских поселениях - 22,2, в сельских - 16,4 кв. м на человека.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"Нұрлы жер", утвержденной постановлением Правительства Республики Казахстан от 31 декабря 2016 года № 922, для решения проблемы дефицита доступного жилья увеличиваются объемы строительства арендного жилья, как наиболее перспективного и доступного инструмента.</w:t>
      </w:r>
    </w:p>
    <w:p>
      <w:pPr>
        <w:spacing w:after="0"/>
        <w:ind w:left="0"/>
        <w:jc w:val="both"/>
      </w:pPr>
      <w:r>
        <w:rPr>
          <w:rFonts w:ascii="Times New Roman"/>
          <w:b w:val="false"/>
          <w:i w:val="false"/>
          <w:color w:val="000000"/>
          <w:sz w:val="28"/>
        </w:rPr>
        <w:t>
      К концу 2020 года жилищный фонд Актюбинской агломерации предлагается довести до 14,2 млн. кв. м, а к концу 2030 года - 26,1 млн. кв. м. При этом обеспеченность населения жильем к 2020 году составит 22,6, а к концу 2030 года - 27,7 кв. м на человека.</w:t>
      </w:r>
    </w:p>
    <w:p>
      <w:pPr>
        <w:spacing w:after="0"/>
        <w:ind w:left="0"/>
        <w:jc w:val="both"/>
      </w:pPr>
      <w:r>
        <w:rPr>
          <w:rFonts w:ascii="Times New Roman"/>
          <w:b w:val="false"/>
          <w:i w:val="false"/>
          <w:color w:val="000000"/>
          <w:sz w:val="28"/>
        </w:rPr>
        <w:t>
      По данным местных исполнительных органов на начало 2017 года в Актюбинской агломерации функционировали 2 театра на 0,6 тыс. мест, 2 кинотеатра с 8 кинозалами на 1,4 тыс. мест, 80 учреждений клубного типа на 11,5 тыс. мест, 98 библиотек с библиотечным фондом 3,4 млн. единиц хранения.</w:t>
      </w:r>
    </w:p>
    <w:p>
      <w:pPr>
        <w:spacing w:after="0"/>
        <w:ind w:left="0"/>
        <w:jc w:val="both"/>
      </w:pPr>
      <w:r>
        <w:rPr>
          <w:rFonts w:ascii="Times New Roman"/>
          <w:b w:val="false"/>
          <w:i w:val="false"/>
          <w:color w:val="000000"/>
          <w:sz w:val="28"/>
        </w:rPr>
        <w:t>
      К концу 2030 года нормативная потребность мест театров агломерации составит 2,4 тысяч, кинотеатров - 5,4 тысяч, учреждений клубного типа - 37,8 тысяч, библиотек - 3,6 млн. томов хранения.</w:t>
      </w:r>
    </w:p>
    <w:p>
      <w:pPr>
        <w:spacing w:after="0"/>
        <w:ind w:left="0"/>
        <w:jc w:val="both"/>
      </w:pPr>
      <w:r>
        <w:rPr>
          <w:rFonts w:ascii="Times New Roman"/>
          <w:b w:val="false"/>
          <w:i w:val="false"/>
          <w:color w:val="000000"/>
          <w:sz w:val="28"/>
        </w:rPr>
        <w:t>
      Развитие сети физкультурно-спортивных сооружений агломерации (на всех уровнях обслуживания) как в городской, так и сельской местности позволит увеличить охват населения, занимающегося физической культурой и спортом, с 27 % (по итогам 2017 года) до 30% к 2020 году.</w:t>
      </w:r>
    </w:p>
    <w:p>
      <w:pPr>
        <w:spacing w:after="0"/>
        <w:ind w:left="0"/>
        <w:jc w:val="both"/>
      </w:pPr>
      <w:r>
        <w:rPr>
          <w:rFonts w:ascii="Times New Roman"/>
          <w:b w:val="false"/>
          <w:i w:val="false"/>
          <w:color w:val="000000"/>
          <w:sz w:val="28"/>
        </w:rPr>
        <w:t>
      На начало 2017 года на территории Актюбинской агломерации функционировали 74 спортивных зала общего пользования (17,2 тысяч кв.м площади пола) и 9 бассейнов общего пользования (3,8 тысяч кв.м зеркала воды).</w:t>
      </w:r>
    </w:p>
    <w:p>
      <w:pPr>
        <w:spacing w:after="0"/>
        <w:ind w:left="0"/>
        <w:jc w:val="both"/>
      </w:pPr>
      <w:r>
        <w:rPr>
          <w:rFonts w:ascii="Times New Roman"/>
          <w:b w:val="false"/>
          <w:i w:val="false"/>
          <w:color w:val="000000"/>
          <w:sz w:val="28"/>
        </w:rPr>
        <w:t>
      К концу промежуточного (2020 год) срока проектирования площадь спортивных залов общего пользования составит 19,4 тысяч кв.м площади пола, бассейнов - 5,2 тысяч кв.м площади зеркала воды.</w:t>
      </w:r>
    </w:p>
    <w:p>
      <w:pPr>
        <w:spacing w:after="0"/>
        <w:ind w:left="0"/>
        <w:jc w:val="both"/>
      </w:pPr>
      <w:r>
        <w:rPr>
          <w:rFonts w:ascii="Times New Roman"/>
          <w:b w:val="false"/>
          <w:i w:val="false"/>
          <w:color w:val="000000"/>
          <w:sz w:val="28"/>
        </w:rPr>
        <w:t>
      К концу расчетного срока проектирования (2030 год) нормативная площадь спортивных залов общего пользования планируется довести до 46,8 тысяч кв.м площади пола, бассейнов - 13,3 тысяч кв.м площади зеркала воды.</w:t>
      </w:r>
    </w:p>
    <w:p>
      <w:pPr>
        <w:spacing w:after="0"/>
        <w:ind w:left="0"/>
        <w:jc w:val="both"/>
      </w:pPr>
      <w:r>
        <w:rPr>
          <w:rFonts w:ascii="Times New Roman"/>
          <w:b w:val="false"/>
          <w:i w:val="false"/>
          <w:color w:val="000000"/>
          <w:sz w:val="28"/>
        </w:rPr>
        <w:t>
      Уровень обеспеченности населения Актюбинской агломерации объектами социальной сферы достигнет нормативных показателей к концу 2030 года.</w:t>
      </w:r>
    </w:p>
    <w:bookmarkStart w:name="z42" w:id="28"/>
    <w:p>
      <w:pPr>
        <w:spacing w:after="0"/>
        <w:ind w:left="0"/>
        <w:jc w:val="left"/>
      </w:pPr>
      <w:r>
        <w:rPr>
          <w:rFonts w:ascii="Times New Roman"/>
          <w:b/>
          <w:i w:val="false"/>
          <w:color w:val="000000"/>
        </w:rPr>
        <w:t xml:space="preserve"> Меры комплексного развития рекреационной инфраструктуры</w:t>
      </w:r>
    </w:p>
    <w:bookmarkEnd w:id="28"/>
    <w:p>
      <w:pPr>
        <w:spacing w:after="0"/>
        <w:ind w:left="0"/>
        <w:jc w:val="both"/>
      </w:pPr>
      <w:r>
        <w:rPr>
          <w:rFonts w:ascii="Times New Roman"/>
          <w:b w:val="false"/>
          <w:i w:val="false"/>
          <w:color w:val="000000"/>
          <w:sz w:val="28"/>
        </w:rPr>
        <w:t>
      Территория Актюбинской агломерации богата недрами и имеет большой экономический потенциал для дальнейшего развития. Территориальное расположение Актюбинской агломерации обеспечивает развитие стратегических отраслевых направлений, так как имеет выход на приграничные территории Оренбургской области Российской Федерации и Каракалпакии, находящейся в составе Узбекистана, граничит с шестью областями Казахстана, в том числе и с Мангистауской областью, что обеспечивает Актюбинскую агломерацию выходом к Каспийскому морю.</w:t>
      </w:r>
    </w:p>
    <w:p>
      <w:pPr>
        <w:spacing w:after="0"/>
        <w:ind w:left="0"/>
        <w:jc w:val="both"/>
      </w:pPr>
      <w:r>
        <w:rPr>
          <w:rFonts w:ascii="Times New Roman"/>
          <w:b w:val="false"/>
          <w:i w:val="false"/>
          <w:color w:val="000000"/>
          <w:sz w:val="28"/>
        </w:rPr>
        <w:t>
      Природный ландшафт в основном равнинный с плавно переходящими холмами. Основными водными ресурсами агломерации являются реки Илек, Сазды, Кобда, Каргалы, Теризбутак, имеются водохранилища, самое большое из них Актюбинское.</w:t>
      </w:r>
    </w:p>
    <w:p>
      <w:pPr>
        <w:spacing w:after="0"/>
        <w:ind w:left="0"/>
        <w:jc w:val="both"/>
      </w:pPr>
      <w:r>
        <w:rPr>
          <w:rFonts w:ascii="Times New Roman"/>
          <w:b w:val="false"/>
          <w:i w:val="false"/>
          <w:color w:val="000000"/>
          <w:sz w:val="28"/>
        </w:rPr>
        <w:t>
      Территориальное расположение, рельеф местности, водные ресурсы, историко-культурные объекты агломерации способствуют развитию некоторых видов туризма с наименьшей капиталоемкостью.</w:t>
      </w:r>
    </w:p>
    <w:p>
      <w:pPr>
        <w:spacing w:after="0"/>
        <w:ind w:left="0"/>
        <w:jc w:val="both"/>
      </w:pPr>
      <w:r>
        <w:rPr>
          <w:rFonts w:ascii="Times New Roman"/>
          <w:b w:val="false"/>
          <w:i w:val="false"/>
          <w:color w:val="000000"/>
          <w:sz w:val="28"/>
        </w:rPr>
        <w:t>
      Согласно данным Комитета по статистике Министерства национальной экономики Республики Казахстан в 2016 году доля Актюбинской агломерации в общем объеме оказанных услуг объектами размещения по республике составила 2 %. В сравнении с 2015 годом количество объектов размещения в Актюбинской агломерации увеличилось на 24 % и составило 67 единиц, а количество обслуженных посетителей уменьшилось на 1,2 % и составило 76066 человек.</w:t>
      </w:r>
    </w:p>
    <w:p>
      <w:pPr>
        <w:spacing w:after="0"/>
        <w:ind w:left="0"/>
        <w:jc w:val="both"/>
      </w:pPr>
      <w:r>
        <w:rPr>
          <w:rFonts w:ascii="Times New Roman"/>
          <w:b w:val="false"/>
          <w:i w:val="false"/>
          <w:color w:val="000000"/>
          <w:sz w:val="28"/>
        </w:rPr>
        <w:t>
      Объем услуг, оказанных объектами размещения, увеличился на 6 % и составил 1473,2 млн. тенге. По агломерации основную долю объема оказанных услуг предоставляют город Актобе - 93,3 %, затем Хромтауский (5,6 %), Мугалжарский (0,8 %), Каргалинский (0,1 %), Хобдинский (0,1 %), Алгинский (0,02 %) и Мартукский (0,02 %) районы.</w:t>
      </w:r>
    </w:p>
    <w:p>
      <w:pPr>
        <w:spacing w:after="0"/>
        <w:ind w:left="0"/>
        <w:jc w:val="both"/>
      </w:pPr>
      <w:r>
        <w:rPr>
          <w:rFonts w:ascii="Times New Roman"/>
          <w:b w:val="false"/>
          <w:i w:val="false"/>
          <w:color w:val="000000"/>
          <w:sz w:val="28"/>
        </w:rPr>
        <w:t>
      Малое количество объектов, соответствующих международным стандартам в агломерации, отражается на привлекательности региона. В агломерации зарегистрирована одна 4-х звездочная гостиница, 3 гостиницы имеют 3 звезды, 2-м гостиницам присвоены категории одной и двух звезд. Гостиницы с присвоенными категориями сосредоточены в городской администрации Актобе. 91 % в структуре объектов размещения агломерации отнесены к объектам без категорий и прочим местам размещения.</w:t>
      </w:r>
    </w:p>
    <w:p>
      <w:pPr>
        <w:spacing w:after="0"/>
        <w:ind w:left="0"/>
        <w:jc w:val="both"/>
      </w:pPr>
      <w:r>
        <w:rPr>
          <w:rFonts w:ascii="Times New Roman"/>
          <w:b w:val="false"/>
          <w:i w:val="false"/>
          <w:color w:val="000000"/>
          <w:sz w:val="28"/>
        </w:rPr>
        <w:t>
      К существующим факторам, сдерживающим темп развития туристской отрасли в Актюбинской агломерации, можно отнести следующие:</w:t>
      </w:r>
    </w:p>
    <w:p>
      <w:pPr>
        <w:spacing w:after="0"/>
        <w:ind w:left="0"/>
        <w:jc w:val="both"/>
      </w:pPr>
      <w:r>
        <w:rPr>
          <w:rFonts w:ascii="Times New Roman"/>
          <w:b w:val="false"/>
          <w:i w:val="false"/>
          <w:color w:val="000000"/>
          <w:sz w:val="28"/>
        </w:rPr>
        <w:t>
      недостаточное развитие инженерной, транспортной, туристской инфраструктуры в местах туризма, труднодоступность туристских объектов;</w:t>
      </w:r>
    </w:p>
    <w:p>
      <w:pPr>
        <w:spacing w:after="0"/>
        <w:ind w:left="0"/>
        <w:jc w:val="both"/>
      </w:pPr>
      <w:r>
        <w:rPr>
          <w:rFonts w:ascii="Times New Roman"/>
          <w:b w:val="false"/>
          <w:i w:val="false"/>
          <w:color w:val="000000"/>
          <w:sz w:val="28"/>
        </w:rPr>
        <w:t>
      невысокий уровень сервиса, несоответствие объектов придорожного сервиса категориям Национального стандарта Республики Казахстан;</w:t>
      </w:r>
    </w:p>
    <w:p>
      <w:pPr>
        <w:spacing w:after="0"/>
        <w:ind w:left="0"/>
        <w:jc w:val="both"/>
      </w:pPr>
      <w:r>
        <w:rPr>
          <w:rFonts w:ascii="Times New Roman"/>
          <w:b w:val="false"/>
          <w:i w:val="false"/>
          <w:color w:val="000000"/>
          <w:sz w:val="28"/>
        </w:rPr>
        <w:t>
      малое количество квалифицированных специалистов в туристской отрасли;</w:t>
      </w:r>
    </w:p>
    <w:p>
      <w:pPr>
        <w:spacing w:after="0"/>
        <w:ind w:left="0"/>
        <w:jc w:val="both"/>
      </w:pPr>
      <w:r>
        <w:rPr>
          <w:rFonts w:ascii="Times New Roman"/>
          <w:b w:val="false"/>
          <w:i w:val="false"/>
          <w:color w:val="000000"/>
          <w:sz w:val="28"/>
        </w:rPr>
        <w:t>
      слабую узнаваемость и недостаточное продвижение отечественного туристского продукта;</w:t>
      </w:r>
    </w:p>
    <w:p>
      <w:pPr>
        <w:spacing w:after="0"/>
        <w:ind w:left="0"/>
        <w:jc w:val="both"/>
      </w:pPr>
      <w:r>
        <w:rPr>
          <w:rFonts w:ascii="Times New Roman"/>
          <w:b w:val="false"/>
          <w:i w:val="false"/>
          <w:color w:val="000000"/>
          <w:sz w:val="28"/>
        </w:rPr>
        <w:t xml:space="preserve">
      низкий уровень инвестиционной активности; </w:t>
      </w:r>
    </w:p>
    <w:p>
      <w:pPr>
        <w:spacing w:after="0"/>
        <w:ind w:left="0"/>
        <w:jc w:val="both"/>
      </w:pPr>
      <w:r>
        <w:rPr>
          <w:rFonts w:ascii="Times New Roman"/>
          <w:b w:val="false"/>
          <w:i w:val="false"/>
          <w:color w:val="000000"/>
          <w:sz w:val="28"/>
        </w:rPr>
        <w:t>
      сезонность функционирования туристских объектов.</w:t>
      </w:r>
    </w:p>
    <w:p>
      <w:pPr>
        <w:spacing w:after="0"/>
        <w:ind w:left="0"/>
        <w:jc w:val="both"/>
      </w:pPr>
      <w:r>
        <w:rPr>
          <w:rFonts w:ascii="Times New Roman"/>
          <w:b w:val="false"/>
          <w:i w:val="false"/>
          <w:color w:val="000000"/>
          <w:sz w:val="28"/>
        </w:rPr>
        <w:t>
      В целях развития туристской отрасли на территории агломерации необходимо разработать комплекс мер по следующим видам туризма:</w:t>
      </w:r>
    </w:p>
    <w:p>
      <w:pPr>
        <w:spacing w:after="0"/>
        <w:ind w:left="0"/>
        <w:jc w:val="both"/>
      </w:pPr>
      <w:r>
        <w:rPr>
          <w:rFonts w:ascii="Times New Roman"/>
          <w:b w:val="false"/>
          <w:i w:val="false"/>
          <w:color w:val="000000"/>
          <w:sz w:val="28"/>
        </w:rPr>
        <w:t>
      Экологический и пляжный туризм</w:t>
      </w:r>
    </w:p>
    <w:p>
      <w:pPr>
        <w:spacing w:after="0"/>
        <w:ind w:left="0"/>
        <w:jc w:val="both"/>
      </w:pPr>
      <w:r>
        <w:rPr>
          <w:rFonts w:ascii="Times New Roman"/>
          <w:b w:val="false"/>
          <w:i w:val="false"/>
          <w:color w:val="000000"/>
          <w:sz w:val="28"/>
        </w:rPr>
        <w:t>
      Развитие экологического туризма предлагается на территории государственных природных заказников: "Эбита" в Каргалинском районе, "Оркаш" и Кокжиде-Кумжарган, тяготеющей к границе Актюбинской агломерации в Мугалжарском районе, а также в реликтовых лесах села Шевченко Мартукского района, где произрастает третичный папоротник.</w:t>
      </w:r>
    </w:p>
    <w:p>
      <w:pPr>
        <w:spacing w:after="0"/>
        <w:ind w:left="0"/>
        <w:jc w:val="both"/>
      </w:pPr>
      <w:r>
        <w:rPr>
          <w:rFonts w:ascii="Times New Roman"/>
          <w:b w:val="false"/>
          <w:i w:val="false"/>
          <w:color w:val="000000"/>
          <w:sz w:val="28"/>
        </w:rPr>
        <w:t>
      Экологический туризм в заказниках можно совместить с другими видами туризма: велосипедным, пешим, конным, культурно-познавательным, орнитологическим и другими видами.</w:t>
      </w:r>
    </w:p>
    <w:p>
      <w:pPr>
        <w:spacing w:after="0"/>
        <w:ind w:left="0"/>
        <w:jc w:val="both"/>
      </w:pPr>
      <w:r>
        <w:rPr>
          <w:rFonts w:ascii="Times New Roman"/>
          <w:b w:val="false"/>
          <w:i w:val="false"/>
          <w:color w:val="000000"/>
          <w:sz w:val="28"/>
        </w:rPr>
        <w:t xml:space="preserve">
      Объектом туристского показа может стать в период с мая по июнь Волчий водопад, самый крупный из имеющихся в районе, расположенный на реке Актюба в 10 километрах от Ащылысая и автотрассы Актобе - Орск. </w:t>
      </w:r>
    </w:p>
    <w:p>
      <w:pPr>
        <w:spacing w:after="0"/>
        <w:ind w:left="0"/>
        <w:jc w:val="both"/>
      </w:pPr>
      <w:r>
        <w:rPr>
          <w:rFonts w:ascii="Times New Roman"/>
          <w:b w:val="false"/>
          <w:i w:val="false"/>
          <w:color w:val="000000"/>
          <w:sz w:val="28"/>
        </w:rPr>
        <w:t>
      Развитие рекреационной инфраструктуры следует разместить в городе Актобе и прилегающих лесопарковых зонах:</w:t>
      </w:r>
    </w:p>
    <w:p>
      <w:pPr>
        <w:spacing w:after="0"/>
        <w:ind w:left="0"/>
        <w:jc w:val="both"/>
      </w:pPr>
      <w:r>
        <w:rPr>
          <w:rFonts w:ascii="Times New Roman"/>
          <w:b w:val="false"/>
          <w:i w:val="false"/>
          <w:color w:val="000000"/>
          <w:sz w:val="28"/>
        </w:rPr>
        <w:t>
      Батыс - вблизи Саздинской рекреационно-ландшафтной зоны;</w:t>
      </w:r>
    </w:p>
    <w:p>
      <w:pPr>
        <w:spacing w:after="0"/>
        <w:ind w:left="0"/>
        <w:jc w:val="both"/>
      </w:pPr>
      <w:r>
        <w:rPr>
          <w:rFonts w:ascii="Times New Roman"/>
          <w:b w:val="false"/>
          <w:i w:val="false"/>
          <w:color w:val="000000"/>
          <w:sz w:val="28"/>
        </w:rPr>
        <w:t>
      Сазды - около Саздинского водохранилища;</w:t>
      </w:r>
    </w:p>
    <w:p>
      <w:pPr>
        <w:spacing w:after="0"/>
        <w:ind w:left="0"/>
        <w:jc w:val="both"/>
      </w:pPr>
      <w:r>
        <w:rPr>
          <w:rFonts w:ascii="Times New Roman"/>
          <w:b w:val="false"/>
          <w:i w:val="false"/>
          <w:color w:val="000000"/>
          <w:sz w:val="28"/>
        </w:rPr>
        <w:t>
      Жасыл тобе - вблизи базы отдыха "GreenLand";</w:t>
      </w:r>
    </w:p>
    <w:p>
      <w:pPr>
        <w:spacing w:after="0"/>
        <w:ind w:left="0"/>
        <w:jc w:val="both"/>
      </w:pPr>
      <w:r>
        <w:rPr>
          <w:rFonts w:ascii="Times New Roman"/>
          <w:b w:val="false"/>
          <w:i w:val="false"/>
          <w:color w:val="000000"/>
          <w:sz w:val="28"/>
        </w:rPr>
        <w:t>
      Демалыс - неподалеку от Прибрежного парка;</w:t>
      </w:r>
    </w:p>
    <w:p>
      <w:pPr>
        <w:spacing w:after="0"/>
        <w:ind w:left="0"/>
        <w:jc w:val="both"/>
      </w:pPr>
      <w:r>
        <w:rPr>
          <w:rFonts w:ascii="Times New Roman"/>
          <w:b w:val="false"/>
          <w:i w:val="false"/>
          <w:color w:val="000000"/>
          <w:sz w:val="28"/>
        </w:rPr>
        <w:t>
      Природный парк Жыланды, расположенный слева от Оранжереи;</w:t>
      </w:r>
    </w:p>
    <w:p>
      <w:pPr>
        <w:spacing w:after="0"/>
        <w:ind w:left="0"/>
        <w:jc w:val="both"/>
      </w:pPr>
      <w:r>
        <w:rPr>
          <w:rFonts w:ascii="Times New Roman"/>
          <w:b w:val="false"/>
          <w:i w:val="false"/>
          <w:color w:val="000000"/>
          <w:sz w:val="28"/>
        </w:rPr>
        <w:t>
      Природный парк Акжар, размещенный рядом с поселком Акжар;</w:t>
      </w:r>
    </w:p>
    <w:p>
      <w:pPr>
        <w:spacing w:after="0"/>
        <w:ind w:left="0"/>
        <w:jc w:val="both"/>
      </w:pPr>
      <w:r>
        <w:rPr>
          <w:rFonts w:ascii="Times New Roman"/>
          <w:b w:val="false"/>
          <w:i w:val="false"/>
          <w:color w:val="000000"/>
          <w:sz w:val="28"/>
        </w:rPr>
        <w:t>
      Лесопарк Каргалы - слева от поселка Пригородный;</w:t>
      </w:r>
    </w:p>
    <w:p>
      <w:pPr>
        <w:spacing w:after="0"/>
        <w:ind w:left="0"/>
        <w:jc w:val="both"/>
      </w:pPr>
      <w:r>
        <w:rPr>
          <w:rFonts w:ascii="Times New Roman"/>
          <w:b w:val="false"/>
          <w:i w:val="false"/>
          <w:color w:val="000000"/>
          <w:sz w:val="28"/>
        </w:rPr>
        <w:t>
      Природный парк, находящийся между трассой М32 "Шымкент - Самара" и рекой Каргалы.</w:t>
      </w:r>
    </w:p>
    <w:p>
      <w:pPr>
        <w:spacing w:after="0"/>
        <w:ind w:left="0"/>
        <w:jc w:val="both"/>
      </w:pPr>
      <w:r>
        <w:rPr>
          <w:rFonts w:ascii="Times New Roman"/>
          <w:b w:val="false"/>
          <w:i w:val="false"/>
          <w:color w:val="000000"/>
          <w:sz w:val="28"/>
        </w:rPr>
        <w:t>
      Для усиления привлекательности данных территорий целесообразно рассмотреть вопрос размещения этнографических комплексов (этно-аулов) на следующих территориях лесопарков: Жасыл тобе, Сазды и на прибрежной территории Актюбинского водохранилища.</w:t>
      </w:r>
    </w:p>
    <w:p>
      <w:pPr>
        <w:spacing w:after="0"/>
        <w:ind w:left="0"/>
        <w:jc w:val="both"/>
      </w:pPr>
      <w:r>
        <w:rPr>
          <w:rFonts w:ascii="Times New Roman"/>
          <w:b w:val="false"/>
          <w:i w:val="false"/>
          <w:color w:val="000000"/>
          <w:sz w:val="28"/>
        </w:rPr>
        <w:t>
      В целях развития экологического туризма предлагается проведение следующих мероприятий:</w:t>
      </w:r>
    </w:p>
    <w:p>
      <w:pPr>
        <w:spacing w:after="0"/>
        <w:ind w:left="0"/>
        <w:jc w:val="both"/>
      </w:pPr>
      <w:r>
        <w:rPr>
          <w:rFonts w:ascii="Times New Roman"/>
          <w:b w:val="false"/>
          <w:i w:val="false"/>
          <w:color w:val="000000"/>
          <w:sz w:val="28"/>
        </w:rPr>
        <w:t>
      1) разработка комплекса мер по привлечению отечественных и иностранных инвесторов для развития инфраструктуры туризма, реконструкции и строительства туристских объектов;</w:t>
      </w:r>
    </w:p>
    <w:p>
      <w:pPr>
        <w:spacing w:after="0"/>
        <w:ind w:left="0"/>
        <w:jc w:val="both"/>
      </w:pPr>
      <w:r>
        <w:rPr>
          <w:rFonts w:ascii="Times New Roman"/>
          <w:b w:val="false"/>
          <w:i w:val="false"/>
          <w:color w:val="000000"/>
          <w:sz w:val="28"/>
        </w:rPr>
        <w:t>
      2) формирование специальной базы данных по природным и историко-культурным достопримечательностям, маршрутам и турам;</w:t>
      </w:r>
    </w:p>
    <w:p>
      <w:pPr>
        <w:spacing w:after="0"/>
        <w:ind w:left="0"/>
        <w:jc w:val="both"/>
      </w:pPr>
      <w:r>
        <w:rPr>
          <w:rFonts w:ascii="Times New Roman"/>
          <w:b w:val="false"/>
          <w:i w:val="false"/>
          <w:color w:val="000000"/>
          <w:sz w:val="28"/>
        </w:rPr>
        <w:t>
      3) размещение указателей на туристских маршрутах на трех языках (казахский, русский, английский) и другие;</w:t>
      </w:r>
    </w:p>
    <w:p>
      <w:pPr>
        <w:spacing w:after="0"/>
        <w:ind w:left="0"/>
        <w:jc w:val="both"/>
      </w:pPr>
      <w:r>
        <w:rPr>
          <w:rFonts w:ascii="Times New Roman"/>
          <w:b w:val="false"/>
          <w:i w:val="false"/>
          <w:color w:val="000000"/>
          <w:sz w:val="28"/>
        </w:rPr>
        <w:t>
      4) рекламно-информационное обеспечение и продвижение экологического туризма на внутренние и внешние рынки на сайтах государственных органов и организаций, обеспечивающих формирование инвестиционного имиджа Казахстана на трех языках (казахский, русский, английский) и другие.</w:t>
      </w:r>
    </w:p>
    <w:p>
      <w:pPr>
        <w:spacing w:after="0"/>
        <w:ind w:left="0"/>
        <w:jc w:val="both"/>
      </w:pPr>
      <w:r>
        <w:rPr>
          <w:rFonts w:ascii="Times New Roman"/>
          <w:b w:val="false"/>
          <w:i w:val="false"/>
          <w:color w:val="000000"/>
          <w:sz w:val="28"/>
        </w:rPr>
        <w:t>
      В рамках организации пляжного вида туризма и обеспечения местного населения и гостей агломерации кратковременным отдыхом следует проработать вопрос развития рекреационной инфраструктуры на 31 пляжном участке.</w:t>
      </w:r>
    </w:p>
    <w:p>
      <w:pPr>
        <w:spacing w:after="0"/>
        <w:ind w:left="0"/>
        <w:jc w:val="both"/>
      </w:pPr>
      <w:r>
        <w:rPr>
          <w:rFonts w:ascii="Times New Roman"/>
          <w:b w:val="false"/>
          <w:i w:val="false"/>
          <w:color w:val="000000"/>
          <w:sz w:val="28"/>
        </w:rPr>
        <w:t>
      Предлагается реализовать мероприятия по улучшению качества дорог, созданию организованных пляжей, водных станций с малогабаритными водными транспортными средствами (гидроциклы, байдарки, катамараны, лодки).</w:t>
      </w:r>
    </w:p>
    <w:p>
      <w:pPr>
        <w:spacing w:after="0"/>
        <w:ind w:left="0"/>
        <w:jc w:val="both"/>
      </w:pPr>
      <w:r>
        <w:rPr>
          <w:rFonts w:ascii="Times New Roman"/>
          <w:b w:val="false"/>
          <w:i w:val="false"/>
          <w:color w:val="000000"/>
          <w:sz w:val="28"/>
        </w:rPr>
        <w:t xml:space="preserve">
      Для развития туристской инфраструктуры и повышения занятости местного населения следует использовать меры государственной поддержки Единой программы поддержки и развития бизнеса "Дорожная карта бизнеса 2020" 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both"/>
      </w:pPr>
      <w:r>
        <w:rPr>
          <w:rFonts w:ascii="Times New Roman"/>
          <w:b w:val="false"/>
          <w:i w:val="false"/>
          <w:color w:val="000000"/>
          <w:sz w:val="28"/>
        </w:rPr>
        <w:t>
      Детско-юношеский туризм</w:t>
      </w:r>
    </w:p>
    <w:p>
      <w:pPr>
        <w:spacing w:after="0"/>
        <w:ind w:left="0"/>
        <w:jc w:val="both"/>
      </w:pPr>
      <w:r>
        <w:rPr>
          <w:rFonts w:ascii="Times New Roman"/>
          <w:b w:val="false"/>
          <w:i w:val="false"/>
          <w:color w:val="000000"/>
          <w:sz w:val="28"/>
        </w:rPr>
        <w:t>
      Развитие детско-юношеского туризма и краеведения является одной из главных задач государства по обеспечению детей дополнительным образованием, привитию детям культуры здорового образа жизни, формированию у школьников духовно-нравственных ценностей Общенациональной патриотической идеи "Мәңгілік Ел".</w:t>
      </w:r>
    </w:p>
    <w:p>
      <w:pPr>
        <w:spacing w:after="0"/>
        <w:ind w:left="0"/>
        <w:jc w:val="both"/>
      </w:pPr>
      <w:r>
        <w:rPr>
          <w:rFonts w:ascii="Times New Roman"/>
          <w:b w:val="false"/>
          <w:i w:val="false"/>
          <w:color w:val="000000"/>
          <w:sz w:val="28"/>
        </w:rPr>
        <w:t>
      В 2016 году на территории агломерации функционировало две станции юных туристов и натуралистов, в которых было занято дополнительным образованием 1350 детей или 1 % от общей численности детей от 6 до 18 лет (131741 человек). В станции юных туристов - 720 детей, в станции юных натуралистов - 630 детей, в сравнении с 2015 годом количество детей, занятых дополнительным образованием, увеличилось на 26 %.</w:t>
      </w:r>
    </w:p>
    <w:p>
      <w:pPr>
        <w:spacing w:after="0"/>
        <w:ind w:left="0"/>
        <w:jc w:val="both"/>
      </w:pPr>
      <w:r>
        <w:rPr>
          <w:rFonts w:ascii="Times New Roman"/>
          <w:b w:val="false"/>
          <w:i w:val="false"/>
          <w:color w:val="000000"/>
          <w:sz w:val="28"/>
        </w:rPr>
        <w:t>
      Учитывая наличие туристско-рекреационного потенциала, предлагается в рамках местного государственного управления рассмотреть возможность проведения мероприятий по развитию детско-юношеского туризма на территории агломерации:</w:t>
      </w:r>
    </w:p>
    <w:p>
      <w:pPr>
        <w:spacing w:after="0"/>
        <w:ind w:left="0"/>
        <w:jc w:val="both"/>
      </w:pPr>
      <w:r>
        <w:rPr>
          <w:rFonts w:ascii="Times New Roman"/>
          <w:b w:val="false"/>
          <w:i w:val="false"/>
          <w:color w:val="000000"/>
          <w:sz w:val="28"/>
        </w:rPr>
        <w:t>
      1) увеличение доли детей, занятых дополнительным образованием;</w:t>
      </w:r>
    </w:p>
    <w:p>
      <w:pPr>
        <w:spacing w:after="0"/>
        <w:ind w:left="0"/>
        <w:jc w:val="both"/>
      </w:pPr>
      <w:r>
        <w:rPr>
          <w:rFonts w:ascii="Times New Roman"/>
          <w:b w:val="false"/>
          <w:i w:val="false"/>
          <w:color w:val="000000"/>
          <w:sz w:val="28"/>
        </w:rPr>
        <w:t>
      2) повышение уровня знаний молодежи о родном крае, Казахстане;</w:t>
      </w:r>
    </w:p>
    <w:p>
      <w:pPr>
        <w:spacing w:after="0"/>
        <w:ind w:left="0"/>
        <w:jc w:val="both"/>
      </w:pPr>
      <w:r>
        <w:rPr>
          <w:rFonts w:ascii="Times New Roman"/>
          <w:b w:val="false"/>
          <w:i w:val="false"/>
          <w:color w:val="000000"/>
          <w:sz w:val="28"/>
        </w:rPr>
        <w:t>
      3) организация туристских молодежных походов по историко-культурным, природным объектам на территории Актюбинской агломерации для повышения творческой активности молодежи;</w:t>
      </w:r>
    </w:p>
    <w:p>
      <w:pPr>
        <w:spacing w:after="0"/>
        <w:ind w:left="0"/>
        <w:jc w:val="both"/>
      </w:pPr>
      <w:r>
        <w:rPr>
          <w:rFonts w:ascii="Times New Roman"/>
          <w:b w:val="false"/>
          <w:i w:val="false"/>
          <w:color w:val="000000"/>
          <w:sz w:val="28"/>
        </w:rPr>
        <w:t>
      4) регулярное проведение школьных спартакиад, областных, республиканских слетов по туристскому многоборью;</w:t>
      </w:r>
    </w:p>
    <w:p>
      <w:pPr>
        <w:spacing w:after="0"/>
        <w:ind w:left="0"/>
        <w:jc w:val="both"/>
      </w:pPr>
      <w:r>
        <w:rPr>
          <w:rFonts w:ascii="Times New Roman"/>
          <w:b w:val="false"/>
          <w:i w:val="false"/>
          <w:color w:val="000000"/>
          <w:sz w:val="28"/>
        </w:rPr>
        <w:t>
      5) создание условий, льгот для доступности посещения спортивно-оздоровительных и туристских объектов;</w:t>
      </w:r>
    </w:p>
    <w:p>
      <w:pPr>
        <w:spacing w:after="0"/>
        <w:ind w:left="0"/>
        <w:jc w:val="both"/>
      </w:pPr>
      <w:r>
        <w:rPr>
          <w:rFonts w:ascii="Times New Roman"/>
          <w:b w:val="false"/>
          <w:i w:val="false"/>
          <w:color w:val="000000"/>
          <w:sz w:val="28"/>
        </w:rPr>
        <w:t>
      6) организация на территории природных заказников командных походов, соревнований, обучение ориентировке на местности.</w:t>
      </w:r>
    </w:p>
    <w:p>
      <w:pPr>
        <w:spacing w:after="0"/>
        <w:ind w:left="0"/>
        <w:jc w:val="both"/>
      </w:pPr>
      <w:r>
        <w:rPr>
          <w:rFonts w:ascii="Times New Roman"/>
          <w:b w:val="false"/>
          <w:i w:val="false"/>
          <w:color w:val="000000"/>
          <w:sz w:val="28"/>
        </w:rPr>
        <w:t>
      Культурно-познавательный туризм</w:t>
      </w:r>
    </w:p>
    <w:p>
      <w:pPr>
        <w:spacing w:after="0"/>
        <w:ind w:left="0"/>
        <w:jc w:val="both"/>
      </w:pPr>
      <w:r>
        <w:rPr>
          <w:rFonts w:ascii="Times New Roman"/>
          <w:b w:val="false"/>
          <w:i w:val="false"/>
          <w:color w:val="000000"/>
          <w:sz w:val="28"/>
        </w:rPr>
        <w:t>
      Сосредоточение культурно-исторических и природных объектов, а также локализация исторических памятников в прилегающей к агломерации территории создали предпосылки для формирования культурно-познавательных туров:</w:t>
      </w:r>
    </w:p>
    <w:p>
      <w:pPr>
        <w:spacing w:after="0"/>
        <w:ind w:left="0"/>
        <w:jc w:val="both"/>
      </w:pPr>
      <w:r>
        <w:rPr>
          <w:rFonts w:ascii="Times New Roman"/>
          <w:b w:val="false"/>
          <w:i w:val="false"/>
          <w:color w:val="000000"/>
          <w:sz w:val="28"/>
        </w:rPr>
        <w:t>
      город Актобе - пруды крестьянского хозяйства "Ардагым" (село Кос-Истек) - мавзолей Кызылтам (село Кос-Истек) – Каргалинское водохранилище (село Кос-Истек) - заказник "Эбита" (село Акжайык);</w:t>
      </w:r>
    </w:p>
    <w:p>
      <w:pPr>
        <w:spacing w:after="0"/>
        <w:ind w:left="0"/>
        <w:jc w:val="both"/>
      </w:pPr>
      <w:r>
        <w:rPr>
          <w:rFonts w:ascii="Times New Roman"/>
          <w:b w:val="false"/>
          <w:i w:val="false"/>
          <w:color w:val="000000"/>
          <w:sz w:val="28"/>
        </w:rPr>
        <w:t>
      город Актобе - мемориальный комплекс Есет батыра (село Бестамак), памятник участникам ВОВ (село Аккемер) - мавзолей-монумент Котибар батыр Басенулы (село Аккемер);</w:t>
      </w:r>
    </w:p>
    <w:p>
      <w:pPr>
        <w:spacing w:after="0"/>
        <w:ind w:left="0"/>
        <w:jc w:val="both"/>
      </w:pPr>
      <w:r>
        <w:rPr>
          <w:rFonts w:ascii="Times New Roman"/>
          <w:b w:val="false"/>
          <w:i w:val="false"/>
          <w:color w:val="000000"/>
          <w:sz w:val="28"/>
        </w:rPr>
        <w:t>
      город Актобе - памятник Герою Советского союза А. Молдагуловой, мечеть Шакен Ишан (село Маржанбулак), могильники Байтак I-II эпоха раннего железа (села Косоткель - Байтак) - мавзолей Абат-Байтак (село Кобда);</w:t>
      </w:r>
    </w:p>
    <w:p>
      <w:pPr>
        <w:spacing w:after="0"/>
        <w:ind w:left="0"/>
        <w:jc w:val="both"/>
      </w:pPr>
      <w:r>
        <w:rPr>
          <w:rFonts w:ascii="Times New Roman"/>
          <w:b w:val="false"/>
          <w:i w:val="false"/>
          <w:color w:val="000000"/>
          <w:sz w:val="28"/>
        </w:rPr>
        <w:t>
      город Актобе - могильник (село Каратогай) - Мартукский районный историко-краеведческий музей (село Мартук) - могильники Казанка I – III эпоха раннего железа (село Казан) - некрополь Байтурасай до нашей эры XVI-VI века (село Байторысай) - некрополь Шевченко (село Шевченко) - реликтовый лес (село Шевченко);</w:t>
      </w:r>
    </w:p>
    <w:p>
      <w:pPr>
        <w:spacing w:after="0"/>
        <w:ind w:left="0"/>
        <w:jc w:val="both"/>
      </w:pPr>
      <w:r>
        <w:rPr>
          <w:rFonts w:ascii="Times New Roman"/>
          <w:b w:val="false"/>
          <w:i w:val="false"/>
          <w:color w:val="000000"/>
          <w:sz w:val="28"/>
        </w:rPr>
        <w:t>
      Беккул баба (аул Беккул баба) - Оисылкара (35 км юго-восточнее города Хромтау), Айдарлыаша (45 км от города Хромтау) - поселение Сарымырза до нашей эры XIV - XI века (село Абай) - памятник-обелиск рабочим металлургам (город Хромтау), памятник-обелиск погибшим в годы Великой Отечественной Войны.</w:t>
      </w:r>
    </w:p>
    <w:p>
      <w:pPr>
        <w:spacing w:after="0"/>
        <w:ind w:left="0"/>
        <w:jc w:val="both"/>
      </w:pPr>
      <w:r>
        <w:rPr>
          <w:rFonts w:ascii="Times New Roman"/>
          <w:b w:val="false"/>
          <w:i w:val="false"/>
          <w:color w:val="000000"/>
          <w:sz w:val="28"/>
        </w:rPr>
        <w:t>
      Для развития туризма в агломерации важным компонентом должен быть ориентир на развитие краткосрочных культурно-событийных мероприятий: турниры рестораторов в Актюбинской агломерации, фестивали, выставки различной тематики с участием зарубежных стран, спортивные мероприятия.</w:t>
      </w:r>
    </w:p>
    <w:p>
      <w:pPr>
        <w:spacing w:after="0"/>
        <w:ind w:left="0"/>
        <w:jc w:val="both"/>
      </w:pPr>
      <w:r>
        <w:rPr>
          <w:rFonts w:ascii="Times New Roman"/>
          <w:b w:val="false"/>
          <w:i w:val="false"/>
          <w:color w:val="000000"/>
          <w:sz w:val="28"/>
        </w:rPr>
        <w:t>
      Международный транспортный коридор "Западная Европа – Западный Китай" вдоль трассы Великого Шелкового пути позволит повысить уровень сети объектов придорожного сервиса, инженерной инфраструктуры.</w:t>
      </w:r>
    </w:p>
    <w:p>
      <w:pPr>
        <w:spacing w:after="0"/>
        <w:ind w:left="0"/>
        <w:jc w:val="both"/>
      </w:pPr>
      <w:r>
        <w:rPr>
          <w:rFonts w:ascii="Times New Roman"/>
          <w:b w:val="false"/>
          <w:i w:val="false"/>
          <w:color w:val="000000"/>
          <w:sz w:val="28"/>
        </w:rPr>
        <w:t>
      Возрождение международного трансконтинентального проекта на Великом шелковом пути весьма актуально для активизации межкультурных коммуникаций. Посещение историко-культурных объектов, природных территорий, музеев изменит сознание заинтересованных туристов о стране, предоставит возможность оценить неутраченные духовные ценности, национальное ремесло, традиции.</w:t>
      </w:r>
    </w:p>
    <w:p>
      <w:pPr>
        <w:spacing w:after="0"/>
        <w:ind w:left="0"/>
        <w:jc w:val="both"/>
      </w:pPr>
      <w:r>
        <w:rPr>
          <w:rFonts w:ascii="Times New Roman"/>
          <w:b w:val="false"/>
          <w:i w:val="false"/>
          <w:color w:val="000000"/>
          <w:sz w:val="28"/>
        </w:rPr>
        <w:t>
      Для развития культурно-познавательного туризма и сохранения исторического наследия целесообразно развить инструмент государственно-частного партнерства в части предоставления в пользование памятников истории и культуры физическим и юридическим лицам для осуществления научных, культурно-просветительских, туристических целей.</w:t>
      </w:r>
    </w:p>
    <w:p>
      <w:pPr>
        <w:spacing w:after="0"/>
        <w:ind w:left="0"/>
        <w:jc w:val="both"/>
      </w:pPr>
      <w:r>
        <w:rPr>
          <w:rFonts w:ascii="Times New Roman"/>
          <w:b w:val="false"/>
          <w:i w:val="false"/>
          <w:color w:val="000000"/>
          <w:sz w:val="28"/>
        </w:rPr>
        <w:t xml:space="preserve">
      Медицинский туризм </w:t>
      </w:r>
    </w:p>
    <w:p>
      <w:pPr>
        <w:spacing w:after="0"/>
        <w:ind w:left="0"/>
        <w:jc w:val="both"/>
      </w:pPr>
      <w:r>
        <w:rPr>
          <w:rFonts w:ascii="Times New Roman"/>
          <w:b w:val="false"/>
          <w:i w:val="false"/>
          <w:color w:val="000000"/>
          <w:sz w:val="28"/>
        </w:rPr>
        <w:t>
      Медицинский туризм занял одну из лидирующих позиций среди других видов туризма и активно пропагандируется во всем мире. В Актюбинской агломерации зарегистрировано 2 санаторных учреждения: "Юкон" в городе Актобе и "Шипагер" в городе Алга. Предлагается проработать вопрос реконструкции действующих санаториев с увеличением количества койко-мест и расширением спектра услуг.</w:t>
      </w:r>
    </w:p>
    <w:p>
      <w:pPr>
        <w:spacing w:after="0"/>
        <w:ind w:left="0"/>
        <w:jc w:val="both"/>
      </w:pPr>
      <w:r>
        <w:rPr>
          <w:rFonts w:ascii="Times New Roman"/>
          <w:b w:val="false"/>
          <w:i w:val="false"/>
          <w:color w:val="000000"/>
          <w:sz w:val="28"/>
        </w:rPr>
        <w:t>
      С учетом запасов бальнеологической группы подземных вод существует потенциал организации нового санаторно-курортного объекта на базе месторождений:</w:t>
      </w:r>
    </w:p>
    <w:p>
      <w:pPr>
        <w:spacing w:after="0"/>
        <w:ind w:left="0"/>
        <w:jc w:val="both"/>
      </w:pPr>
      <w:r>
        <w:rPr>
          <w:rFonts w:ascii="Times New Roman"/>
          <w:b w:val="false"/>
          <w:i w:val="false"/>
          <w:color w:val="000000"/>
          <w:sz w:val="28"/>
        </w:rPr>
        <w:t>
      в 15 км на северо-восток от города Актобе на месторождении Жыланском, скважина № 15;</w:t>
      </w:r>
    </w:p>
    <w:p>
      <w:pPr>
        <w:spacing w:after="0"/>
        <w:ind w:left="0"/>
        <w:jc w:val="both"/>
      </w:pPr>
      <w:r>
        <w:rPr>
          <w:rFonts w:ascii="Times New Roman"/>
          <w:b w:val="false"/>
          <w:i w:val="false"/>
          <w:color w:val="000000"/>
          <w:sz w:val="28"/>
        </w:rPr>
        <w:t>
      в 25 км восточнее города Актобе на месторождении Белогорское, скважина 4-Э.</w:t>
      </w:r>
    </w:p>
    <w:p>
      <w:pPr>
        <w:spacing w:after="0"/>
        <w:ind w:left="0"/>
        <w:jc w:val="both"/>
      </w:pPr>
      <w:r>
        <w:rPr>
          <w:rFonts w:ascii="Times New Roman"/>
          <w:b w:val="false"/>
          <w:i w:val="false"/>
          <w:color w:val="000000"/>
          <w:sz w:val="28"/>
        </w:rPr>
        <w:t>
      Для обеспечения привлекательности предлагаемого санаторно-курортного объекта следует предусмотреть в дополнение к лечебным процедурам всесезонные мероприятия с разнообразными развлечениями на любую возрастную категорию людей. На территории объекта рекомендуется предусмотреть несколько ресторанов с национальной кухней зарубежных стран, мастер-классы от шеф-поваров, что позволит лечебно-оздоровительный туризм соединить с гастрономическим видом туризма.</w:t>
      </w:r>
    </w:p>
    <w:p>
      <w:pPr>
        <w:spacing w:after="0"/>
        <w:ind w:left="0"/>
        <w:jc w:val="both"/>
      </w:pPr>
      <w:r>
        <w:rPr>
          <w:rFonts w:ascii="Times New Roman"/>
          <w:b w:val="false"/>
          <w:i w:val="false"/>
          <w:color w:val="000000"/>
          <w:sz w:val="28"/>
        </w:rPr>
        <w:t>
      Созданию нового санаторно-курортного объекта способствуют перспективы формирования города первого уровня - Актобе, как центра Западного региона и одновременно города-хаба международного уровня с увеличением логистического потенциала.</w:t>
      </w:r>
    </w:p>
    <w:p>
      <w:pPr>
        <w:spacing w:after="0"/>
        <w:ind w:left="0"/>
        <w:jc w:val="both"/>
      </w:pPr>
      <w:r>
        <w:rPr>
          <w:rFonts w:ascii="Times New Roman"/>
          <w:b w:val="false"/>
          <w:i w:val="false"/>
          <w:color w:val="000000"/>
          <w:sz w:val="28"/>
        </w:rPr>
        <w:t>
      Спортивно-приключенческий туризм</w:t>
      </w:r>
    </w:p>
    <w:p>
      <w:pPr>
        <w:spacing w:after="0"/>
        <w:ind w:left="0"/>
        <w:jc w:val="both"/>
      </w:pPr>
      <w:r>
        <w:rPr>
          <w:rFonts w:ascii="Times New Roman"/>
          <w:b w:val="false"/>
          <w:i w:val="false"/>
          <w:color w:val="000000"/>
          <w:sz w:val="28"/>
        </w:rPr>
        <w:t>
      Перспективным видом туризма, способным получить быстрое развитие и популярность, является спортивно-приключенческий туризм. Данный вид не требует развитой инфраструктуры и крупных финансовых затрат, оставаясь при этом востребованным и рентабельным.</w:t>
      </w:r>
    </w:p>
    <w:p>
      <w:pPr>
        <w:spacing w:after="0"/>
        <w:ind w:left="0"/>
        <w:jc w:val="both"/>
      </w:pPr>
      <w:r>
        <w:rPr>
          <w:rFonts w:ascii="Times New Roman"/>
          <w:b w:val="false"/>
          <w:i w:val="false"/>
          <w:color w:val="000000"/>
          <w:sz w:val="28"/>
        </w:rPr>
        <w:t>
      Ландшафт Каргалинского и Мартукского района способствует развитию лыжного вида спорта, дельтапланеризма, сноукайтинга, велосипедного туризма (кросс-кантри), автомототуризма.</w:t>
      </w:r>
    </w:p>
    <w:p>
      <w:pPr>
        <w:spacing w:after="0"/>
        <w:ind w:left="0"/>
        <w:jc w:val="both"/>
      </w:pPr>
      <w:r>
        <w:rPr>
          <w:rFonts w:ascii="Times New Roman"/>
          <w:b w:val="false"/>
          <w:i w:val="false"/>
          <w:color w:val="000000"/>
          <w:sz w:val="28"/>
        </w:rPr>
        <w:t>
      Развитию конного вида туризма способствует деятельность ипподрома в Каргалинском сельском округе города Актобе. Следует рассмотреть вопрос создания ипподромов в селе Имангали Билтабанова Хобдинского района и селе Мартук Мартукского района. Целесообразно рассмотреть вопрос по проведению на ипподромах курсов иппотерапии.</w:t>
      </w:r>
    </w:p>
    <w:p>
      <w:pPr>
        <w:spacing w:after="0"/>
        <w:ind w:left="0"/>
        <w:jc w:val="both"/>
      </w:pPr>
      <w:r>
        <w:rPr>
          <w:rFonts w:ascii="Times New Roman"/>
          <w:b w:val="false"/>
          <w:i w:val="false"/>
          <w:color w:val="000000"/>
          <w:sz w:val="28"/>
        </w:rPr>
        <w:t>
      Одним из популярных видов отдыха являются любительская рыбалка и охота. Субъектам туристской деятельности целесообразно расширить перечень предоставляемых услуг, включив дополнительные услуги по организации рыболовных и охотничьих туров: трансфер до точки размещения, размещение, питание, выезд и организация мероприятия.</w:t>
      </w:r>
    </w:p>
    <w:p>
      <w:pPr>
        <w:spacing w:after="0"/>
        <w:ind w:left="0"/>
        <w:jc w:val="both"/>
      </w:pPr>
      <w:r>
        <w:rPr>
          <w:rFonts w:ascii="Times New Roman"/>
          <w:b w:val="false"/>
          <w:i w:val="false"/>
          <w:color w:val="000000"/>
          <w:sz w:val="28"/>
        </w:rPr>
        <w:t>
      Проблемой действующих охотничьих хозяйств агломерации является их низкая узнаваемость. Для осуществления активного развития любительской (спортивной) охоты и привлечения большего числа туристов предлагается создать сайты с указанием данных сосредоточения охотничьего хозяйства вплоть до населенных пунктов и контакты центрального офиса, координаты, схемы проезда, методы охоты, виды обитающих животных, сезоны охоты, трансфер, услуги проводника, переводчика, обработку трофея, получение разрешения на транспортировку трофея.</w:t>
      </w:r>
    </w:p>
    <w:p>
      <w:pPr>
        <w:spacing w:after="0"/>
        <w:ind w:left="0"/>
        <w:jc w:val="both"/>
      </w:pPr>
      <w:r>
        <w:rPr>
          <w:rFonts w:ascii="Times New Roman"/>
          <w:b w:val="false"/>
          <w:i w:val="false"/>
          <w:color w:val="000000"/>
          <w:sz w:val="28"/>
        </w:rPr>
        <w:t>
      Формирование туристского продукта на базе использования туристских ресурсов, активное участие государственного сектора в развитии рекреационной инфраструктуры обеспечат становление туристкой отрасли в Актюбинской агломерации и повысят уровень ее узнаваемости и привлекательности.</w:t>
      </w:r>
    </w:p>
    <w:bookmarkStart w:name="z43" w:id="29"/>
    <w:p>
      <w:pPr>
        <w:spacing w:after="0"/>
        <w:ind w:left="0"/>
        <w:jc w:val="left"/>
      </w:pPr>
      <w:r>
        <w:rPr>
          <w:rFonts w:ascii="Times New Roman"/>
          <w:b/>
          <w:i w:val="false"/>
          <w:color w:val="000000"/>
        </w:rPr>
        <w:t xml:space="preserve"> 4. Меры по рациональному природопользованию, обеспечению ресурсами, охране окружающей среды</w:t>
      </w:r>
    </w:p>
    <w:bookmarkEnd w:id="29"/>
    <w:p>
      <w:pPr>
        <w:spacing w:after="0"/>
        <w:ind w:left="0"/>
        <w:jc w:val="both"/>
      </w:pPr>
      <w:r>
        <w:rPr>
          <w:rFonts w:ascii="Times New Roman"/>
          <w:b w:val="false"/>
          <w:i w:val="false"/>
          <w:color w:val="000000"/>
          <w:sz w:val="28"/>
        </w:rPr>
        <w:t xml:space="preserve">
      Актюбинская агломерация, как промышленно развитый регион, испытывает определенное воздействие на компоненты окружающей среды. </w:t>
      </w:r>
    </w:p>
    <w:p>
      <w:pPr>
        <w:spacing w:after="0"/>
        <w:ind w:left="0"/>
        <w:jc w:val="both"/>
      </w:pPr>
      <w:r>
        <w:rPr>
          <w:rFonts w:ascii="Times New Roman"/>
          <w:b w:val="false"/>
          <w:i w:val="false"/>
          <w:color w:val="000000"/>
          <w:sz w:val="28"/>
        </w:rPr>
        <w:t>
      Неблагоприятная экологическая ситуация складывается из многих многолетних проблем, в числе которых загрязнение реки Илек и подземных вод бором и хромом, негативное влияние промышленного и топливно-энергетического комплекса, накопление производственных и бытовых отходов, деградация растительного и животного мира.</w:t>
      </w:r>
    </w:p>
    <w:p>
      <w:pPr>
        <w:spacing w:after="0"/>
        <w:ind w:left="0"/>
        <w:jc w:val="both"/>
      </w:pPr>
      <w:r>
        <w:rPr>
          <w:rFonts w:ascii="Times New Roman"/>
          <w:b w:val="false"/>
          <w:i w:val="false"/>
          <w:color w:val="000000"/>
          <w:sz w:val="28"/>
        </w:rPr>
        <w:t>
      Южная часть территории испытывает влияние последствий Аральского кризиса. Кроме того, промышленное и сельскохозяйственное производство при несоблюдении экологических требований оказывает негативное влияние на все природные компоненты и здоровье населения.</w:t>
      </w:r>
    </w:p>
    <w:p>
      <w:pPr>
        <w:spacing w:after="0"/>
        <w:ind w:left="0"/>
        <w:jc w:val="both"/>
      </w:pPr>
      <w:r>
        <w:rPr>
          <w:rFonts w:ascii="Times New Roman"/>
          <w:b w:val="false"/>
          <w:i w:val="false"/>
          <w:color w:val="000000"/>
          <w:sz w:val="28"/>
        </w:rPr>
        <w:t>
      В пределах агломерации в зоне интенсивного и активного агломерирования расположены такие крупные предприятия как Актюбинский завод хромовых соединений, Актюбинский ферросплавный завод, Донской ГОК АО ТНК "Казхром", АО "Актобе ТЭЦ", АО "Акбулак", входящие в десятку основных загрязнителей области.</w:t>
      </w:r>
    </w:p>
    <w:p>
      <w:pPr>
        <w:spacing w:after="0"/>
        <w:ind w:left="0"/>
        <w:jc w:val="both"/>
      </w:pPr>
      <w:r>
        <w:rPr>
          <w:rFonts w:ascii="Times New Roman"/>
          <w:b w:val="false"/>
          <w:i w:val="false"/>
          <w:color w:val="000000"/>
          <w:sz w:val="28"/>
        </w:rPr>
        <w:t>
      Для территории актуальна проблема накопления твердых бытовых отходов (более 75,0 % отходов, образующихся по области, приходится на населенные пункты агломерации). Переработка отходов частично налажена в областном центре, вместе с тем перерабатывается не более 1,5 от объема образования. Для размещения отходов не хватает полигонов твердых бытовых отходов (далее - ТБО), отвечающих современным требованиям, за исключением городов Актобе, Алга и Хромтау.</w:t>
      </w:r>
    </w:p>
    <w:p>
      <w:pPr>
        <w:spacing w:after="0"/>
        <w:ind w:left="0"/>
        <w:jc w:val="both"/>
      </w:pPr>
      <w:r>
        <w:rPr>
          <w:rFonts w:ascii="Times New Roman"/>
          <w:b w:val="false"/>
          <w:i w:val="false"/>
          <w:color w:val="000000"/>
          <w:sz w:val="28"/>
        </w:rPr>
        <w:t>
      Приоритетными направлениями в сфере охраны окружающей среды и рационального использования природных ресурсов на территории агломерации являются:</w:t>
      </w:r>
    </w:p>
    <w:p>
      <w:pPr>
        <w:spacing w:after="0"/>
        <w:ind w:left="0"/>
        <w:jc w:val="both"/>
      </w:pPr>
      <w:r>
        <w:rPr>
          <w:rFonts w:ascii="Times New Roman"/>
          <w:b w:val="false"/>
          <w:i w:val="false"/>
          <w:color w:val="000000"/>
          <w:sz w:val="28"/>
        </w:rPr>
        <w:t>
      предотвращение загрязнения атмосферного воздуха выбросами загрязняющих веществ от промышленности и автотранспорта;</w:t>
      </w:r>
    </w:p>
    <w:p>
      <w:pPr>
        <w:spacing w:after="0"/>
        <w:ind w:left="0"/>
        <w:jc w:val="both"/>
      </w:pPr>
      <w:r>
        <w:rPr>
          <w:rFonts w:ascii="Times New Roman"/>
          <w:b w:val="false"/>
          <w:i w:val="false"/>
          <w:color w:val="000000"/>
          <w:sz w:val="28"/>
        </w:rPr>
        <w:t>
      обеспечение радиационной безопасности окружающей среды;</w:t>
      </w:r>
    </w:p>
    <w:p>
      <w:pPr>
        <w:spacing w:after="0"/>
        <w:ind w:left="0"/>
        <w:jc w:val="both"/>
      </w:pPr>
      <w:r>
        <w:rPr>
          <w:rFonts w:ascii="Times New Roman"/>
          <w:b w:val="false"/>
          <w:i w:val="false"/>
          <w:color w:val="000000"/>
          <w:sz w:val="28"/>
        </w:rPr>
        <w:t>
      предотвращение загрязнения, охрана и рациональное использование водных ресурсов;</w:t>
      </w:r>
    </w:p>
    <w:p>
      <w:pPr>
        <w:spacing w:after="0"/>
        <w:ind w:left="0"/>
        <w:jc w:val="both"/>
      </w:pPr>
      <w:r>
        <w:rPr>
          <w:rFonts w:ascii="Times New Roman"/>
          <w:b w:val="false"/>
          <w:i w:val="false"/>
          <w:color w:val="000000"/>
          <w:sz w:val="28"/>
        </w:rPr>
        <w:t xml:space="preserve">
      охрана и рациональное использование земельных ресурсов; </w:t>
      </w:r>
    </w:p>
    <w:p>
      <w:pPr>
        <w:spacing w:after="0"/>
        <w:ind w:left="0"/>
        <w:jc w:val="both"/>
      </w:pPr>
      <w:r>
        <w:rPr>
          <w:rFonts w:ascii="Times New Roman"/>
          <w:b w:val="false"/>
          <w:i w:val="false"/>
          <w:color w:val="000000"/>
          <w:sz w:val="28"/>
        </w:rPr>
        <w:t>
      управление отходами производства и потребления;</w:t>
      </w:r>
    </w:p>
    <w:p>
      <w:pPr>
        <w:spacing w:after="0"/>
        <w:ind w:left="0"/>
        <w:jc w:val="both"/>
      </w:pPr>
      <w:r>
        <w:rPr>
          <w:rFonts w:ascii="Times New Roman"/>
          <w:b w:val="false"/>
          <w:i w:val="false"/>
          <w:color w:val="000000"/>
          <w:sz w:val="28"/>
        </w:rPr>
        <w:t>
      охрана биоразнообразия и особо охраняемых природных территории;</w:t>
      </w:r>
    </w:p>
    <w:p>
      <w:pPr>
        <w:spacing w:after="0"/>
        <w:ind w:left="0"/>
        <w:jc w:val="both"/>
      </w:pPr>
      <w:r>
        <w:rPr>
          <w:rFonts w:ascii="Times New Roman"/>
          <w:b w:val="false"/>
          <w:i w:val="false"/>
          <w:color w:val="000000"/>
          <w:sz w:val="28"/>
        </w:rPr>
        <w:t>
      развитие природно-экологического каркаса территории агломерации;</w:t>
      </w:r>
    </w:p>
    <w:p>
      <w:pPr>
        <w:spacing w:after="0"/>
        <w:ind w:left="0"/>
        <w:jc w:val="both"/>
      </w:pPr>
      <w:r>
        <w:rPr>
          <w:rFonts w:ascii="Times New Roman"/>
          <w:b w:val="false"/>
          <w:i w:val="false"/>
          <w:color w:val="000000"/>
          <w:sz w:val="28"/>
        </w:rPr>
        <w:t>
      основные меры по охране атмосферного воздуха включают в себя;</w:t>
      </w:r>
    </w:p>
    <w:p>
      <w:pPr>
        <w:spacing w:after="0"/>
        <w:ind w:left="0"/>
        <w:jc w:val="both"/>
      </w:pPr>
      <w:r>
        <w:rPr>
          <w:rFonts w:ascii="Times New Roman"/>
          <w:b w:val="false"/>
          <w:i w:val="false"/>
          <w:color w:val="000000"/>
          <w:sz w:val="28"/>
        </w:rPr>
        <w:t>
      усиление мер по сокращению эмиссий загрязняющих веществ в атмосферный воздух на территории агломерации;</w:t>
      </w:r>
    </w:p>
    <w:p>
      <w:pPr>
        <w:spacing w:after="0"/>
        <w:ind w:left="0"/>
        <w:jc w:val="both"/>
      </w:pPr>
      <w:r>
        <w:rPr>
          <w:rFonts w:ascii="Times New Roman"/>
          <w:b w:val="false"/>
          <w:i w:val="false"/>
          <w:color w:val="000000"/>
          <w:sz w:val="28"/>
        </w:rPr>
        <w:t>
      проведение комплекса мероприятий по снижению выбросов загрязняющих веществ в атмосферу для основных предприятий-загрязнителей атмосферного воздуха - Актюбинский завод ферросплавов, Донской ГОК, филиалы АО "ТНК "Казхром", АО "Актобе ТЭЦ", АО "Интергаз Центральная Азия", Управление магистральных газопроводов "Актобе" и другие для недопущения сверхнормативных выбросов загрязняющих веществ в атмосферу;</w:t>
      </w:r>
    </w:p>
    <w:p>
      <w:pPr>
        <w:spacing w:after="0"/>
        <w:ind w:left="0"/>
        <w:jc w:val="both"/>
      </w:pPr>
      <w:r>
        <w:rPr>
          <w:rFonts w:ascii="Times New Roman"/>
          <w:b w:val="false"/>
          <w:i w:val="false"/>
          <w:color w:val="000000"/>
          <w:sz w:val="28"/>
        </w:rPr>
        <w:t>
      газификацию населенных пунктов с целью сокращения выбросов загрязняющих веществ;</w:t>
      </w:r>
    </w:p>
    <w:p>
      <w:pPr>
        <w:spacing w:after="0"/>
        <w:ind w:left="0"/>
        <w:jc w:val="both"/>
      </w:pPr>
      <w:r>
        <w:rPr>
          <w:rFonts w:ascii="Times New Roman"/>
          <w:b w:val="false"/>
          <w:i w:val="false"/>
          <w:color w:val="000000"/>
          <w:sz w:val="28"/>
        </w:rPr>
        <w:t>
      проведение реконструкции/модернизации канализационных очистных сооружений (в том числе в городе Актобе), систем самотечной канализации внутридворовых канализаций, являющихся источниками выделения сероводорода;</w:t>
      </w:r>
    </w:p>
    <w:p>
      <w:pPr>
        <w:spacing w:after="0"/>
        <w:ind w:left="0"/>
        <w:jc w:val="both"/>
      </w:pPr>
      <w:r>
        <w:rPr>
          <w:rFonts w:ascii="Times New Roman"/>
          <w:b w:val="false"/>
          <w:i w:val="false"/>
          <w:color w:val="000000"/>
          <w:sz w:val="28"/>
        </w:rPr>
        <w:t>
      разработку проекта и проведение рекультивации полей испарения бывшего мясокомбината в городе Актобе площадью 35 га, где в конце девяностых - начале двухтысячных годов сбрасывалась барда – отход спиртового производства, являющаяся одной из причин неприятного запаха и загрязнения воздуха Актобе сероводородом и аммонийным азотом (ориентировочный срок реализации 2017-2020 годы);</w:t>
      </w:r>
    </w:p>
    <w:p>
      <w:pPr>
        <w:spacing w:after="0"/>
        <w:ind w:left="0"/>
        <w:jc w:val="both"/>
      </w:pPr>
      <w:r>
        <w:rPr>
          <w:rFonts w:ascii="Times New Roman"/>
          <w:b w:val="false"/>
          <w:i w:val="false"/>
          <w:color w:val="000000"/>
          <w:sz w:val="28"/>
        </w:rPr>
        <w:t>
      организацию мониторинговых исследований за состоянием атмосферного воздуха в санитарно-защитных зонах предприятий промышленности городов Актобе, Алга, Хромтау, вдоль автодорог, а также в жилых и рекреационных зонах;</w:t>
      </w:r>
    </w:p>
    <w:p>
      <w:pPr>
        <w:spacing w:after="0"/>
        <w:ind w:left="0"/>
        <w:jc w:val="both"/>
      </w:pPr>
      <w:r>
        <w:rPr>
          <w:rFonts w:ascii="Times New Roman"/>
          <w:b w:val="false"/>
          <w:i w:val="false"/>
          <w:color w:val="000000"/>
          <w:sz w:val="28"/>
        </w:rPr>
        <w:t>
      расширение сети автоматических и стационарных (в том числе онлайн) постов наблюдений за загрязнением атмосферного воздуха филиала республиканского государственного предприятия (далее - РГП) "Казгидромет" Министерства энергетики Республики Казахстан по Актюбинской области на территории агломерации (в настоящее время все 6 постов наблюдений находятся в городе Актобе, эпизодические наблюдения проводятся в городе Кандыагаш);</w:t>
      </w:r>
    </w:p>
    <w:p>
      <w:pPr>
        <w:spacing w:after="0"/>
        <w:ind w:left="0"/>
        <w:jc w:val="both"/>
      </w:pPr>
      <w:r>
        <w:rPr>
          <w:rFonts w:ascii="Times New Roman"/>
          <w:b w:val="false"/>
          <w:i w:val="false"/>
          <w:color w:val="000000"/>
          <w:sz w:val="28"/>
        </w:rPr>
        <w:t xml:space="preserve">
      расширение параметров и перечня загрязняющих веществ, определяемых мониторинговой сетью территориального подразделения РГП "Казгидромет"; </w:t>
      </w:r>
    </w:p>
    <w:p>
      <w:pPr>
        <w:spacing w:after="0"/>
        <w:ind w:left="0"/>
        <w:jc w:val="both"/>
      </w:pPr>
      <w:r>
        <w:rPr>
          <w:rFonts w:ascii="Times New Roman"/>
          <w:b w:val="false"/>
          <w:i w:val="false"/>
          <w:color w:val="000000"/>
          <w:sz w:val="28"/>
        </w:rPr>
        <w:t>
      внедрение автоматизированной системы управления транспортным потоком на дорогах города Актобе;</w:t>
      </w:r>
    </w:p>
    <w:p>
      <w:pPr>
        <w:spacing w:after="0"/>
        <w:ind w:left="0"/>
        <w:jc w:val="both"/>
      </w:pPr>
      <w:r>
        <w:rPr>
          <w:rFonts w:ascii="Times New Roman"/>
          <w:b w:val="false"/>
          <w:i w:val="false"/>
          <w:color w:val="000000"/>
          <w:sz w:val="28"/>
        </w:rPr>
        <w:t>
      перевод частного и пассажирского автотранспорта (в том числе бюджетных и государственных учреждений и организаций) на сжиженный и компримированный газ с доведением их числа до 30 % от общего количества;</w:t>
      </w:r>
    </w:p>
    <w:p>
      <w:pPr>
        <w:spacing w:after="0"/>
        <w:ind w:left="0"/>
        <w:jc w:val="both"/>
      </w:pPr>
      <w:r>
        <w:rPr>
          <w:rFonts w:ascii="Times New Roman"/>
          <w:b w:val="false"/>
          <w:i w:val="false"/>
          <w:color w:val="000000"/>
          <w:sz w:val="28"/>
        </w:rPr>
        <w:t>
      максимальное озеленение санитарно-защитных зон производственных предприятий, в том числе для предприятий IV, V классов - не менее 60 % площади, для предприятий II и III класса - не менее 50 %, для предприятий, имеющих санитарно-защитные зоны 1000 м и более, - не менее 40 % ее территории с обязательной организацией полосы древесно-кустарниковых насаждений со стороны жилой застройки;</w:t>
      </w:r>
    </w:p>
    <w:p>
      <w:pPr>
        <w:spacing w:after="0"/>
        <w:ind w:left="0"/>
        <w:jc w:val="both"/>
      </w:pPr>
      <w:r>
        <w:rPr>
          <w:rFonts w:ascii="Times New Roman"/>
          <w:b w:val="false"/>
          <w:i w:val="false"/>
          <w:color w:val="000000"/>
          <w:sz w:val="28"/>
        </w:rPr>
        <w:t>
      увеличение числа зеленых насаждений на территории нового цеха № 4 Актюбинского завода ферросплавов, Актюбинской ТЭЦ и прилегающих к ним санитарно-защитных зон;</w:t>
      </w:r>
    </w:p>
    <w:p>
      <w:pPr>
        <w:spacing w:after="0"/>
        <w:ind w:left="0"/>
        <w:jc w:val="both"/>
      </w:pPr>
      <w:r>
        <w:rPr>
          <w:rFonts w:ascii="Times New Roman"/>
          <w:b w:val="false"/>
          <w:i w:val="false"/>
          <w:color w:val="000000"/>
          <w:sz w:val="28"/>
        </w:rPr>
        <w:t>
      реализацию проектов по выработке экологически "чистой" энергии, в том числе строительство:</w:t>
      </w:r>
    </w:p>
    <w:p>
      <w:pPr>
        <w:spacing w:after="0"/>
        <w:ind w:left="0"/>
        <w:jc w:val="both"/>
      </w:pPr>
      <w:r>
        <w:rPr>
          <w:rFonts w:ascii="Times New Roman"/>
          <w:b w:val="false"/>
          <w:i w:val="false"/>
          <w:color w:val="000000"/>
          <w:sz w:val="28"/>
        </w:rPr>
        <w:t>
      ветровой электростанции мощностью 48 МВт в районе села Бадамша Каргалинского района с последующим расширением до 96 МВт;</w:t>
      </w:r>
    </w:p>
    <w:p>
      <w:pPr>
        <w:spacing w:after="0"/>
        <w:ind w:left="0"/>
        <w:jc w:val="both"/>
      </w:pPr>
      <w:r>
        <w:rPr>
          <w:rFonts w:ascii="Times New Roman"/>
          <w:b w:val="false"/>
          <w:i w:val="false"/>
          <w:color w:val="000000"/>
          <w:sz w:val="28"/>
        </w:rPr>
        <w:t>
      ветровой электростанции мощностью до 300 МВт в селе Кемпирсай Каргалинского района;</w:t>
      </w:r>
    </w:p>
    <w:p>
      <w:pPr>
        <w:spacing w:after="0"/>
        <w:ind w:left="0"/>
        <w:jc w:val="both"/>
      </w:pPr>
      <w:r>
        <w:rPr>
          <w:rFonts w:ascii="Times New Roman"/>
          <w:b w:val="false"/>
          <w:i w:val="false"/>
          <w:color w:val="000000"/>
          <w:sz w:val="28"/>
        </w:rPr>
        <w:t>
      ветровой электростанции мощностью 450 кВт в Мартукском рийоне;</w:t>
      </w:r>
    </w:p>
    <w:p>
      <w:pPr>
        <w:spacing w:after="0"/>
        <w:ind w:left="0"/>
        <w:jc w:val="both"/>
      </w:pPr>
      <w:r>
        <w:rPr>
          <w:rFonts w:ascii="Times New Roman"/>
          <w:b w:val="false"/>
          <w:i w:val="false"/>
          <w:color w:val="000000"/>
          <w:sz w:val="28"/>
        </w:rPr>
        <w:t>
      солнечной электростанции на 50 МВТ в городе Алга;</w:t>
      </w:r>
    </w:p>
    <w:p>
      <w:pPr>
        <w:spacing w:after="0"/>
        <w:ind w:left="0"/>
        <w:jc w:val="both"/>
      </w:pPr>
      <w:r>
        <w:rPr>
          <w:rFonts w:ascii="Times New Roman"/>
          <w:b w:val="false"/>
          <w:i w:val="false"/>
          <w:color w:val="000000"/>
          <w:sz w:val="28"/>
        </w:rPr>
        <w:t>
      биогазовой/термолизной установки производительностью 10-14 МВт.ч в городе Актобе.</w:t>
      </w:r>
    </w:p>
    <w:p>
      <w:pPr>
        <w:spacing w:after="0"/>
        <w:ind w:left="0"/>
        <w:jc w:val="both"/>
      </w:pPr>
      <w:r>
        <w:rPr>
          <w:rFonts w:ascii="Times New Roman"/>
          <w:b w:val="false"/>
          <w:i w:val="false"/>
          <w:color w:val="000000"/>
          <w:sz w:val="28"/>
        </w:rPr>
        <w:t>
      Ввиду отсутствия промышленных предприятий и собственного энергоисточника в Хобдинском районе необходимо рассмотреть возможность развития возобновляемых источников энергии для развития малого и среднего бизнеса в аграрном секторе.</w:t>
      </w:r>
    </w:p>
    <w:p>
      <w:pPr>
        <w:spacing w:after="0"/>
        <w:ind w:left="0"/>
        <w:jc w:val="both"/>
      </w:pPr>
      <w:r>
        <w:rPr>
          <w:rFonts w:ascii="Times New Roman"/>
          <w:b w:val="false"/>
          <w:i w:val="false"/>
          <w:color w:val="000000"/>
          <w:sz w:val="28"/>
        </w:rPr>
        <w:t xml:space="preserve">
      Кроме того, рекомендуется внедрение на предприятиях города Актобе и районов агломерации новых технологий и проектов, продемонстрированных на международной выставке ЭКСПО, прошедшей в 2017 году в городе Астане. </w:t>
      </w:r>
    </w:p>
    <w:p>
      <w:pPr>
        <w:spacing w:after="0"/>
        <w:ind w:left="0"/>
        <w:jc w:val="both"/>
      </w:pPr>
      <w:r>
        <w:rPr>
          <w:rFonts w:ascii="Times New Roman"/>
          <w:b w:val="false"/>
          <w:i w:val="false"/>
          <w:color w:val="000000"/>
          <w:sz w:val="28"/>
        </w:rPr>
        <w:t>
      Проектные предложения по защите от физических факторов воздействия включают в себя:</w:t>
      </w:r>
    </w:p>
    <w:p>
      <w:pPr>
        <w:spacing w:after="0"/>
        <w:ind w:left="0"/>
        <w:jc w:val="both"/>
      </w:pPr>
      <w:r>
        <w:rPr>
          <w:rFonts w:ascii="Times New Roman"/>
          <w:b w:val="false"/>
          <w:i w:val="false"/>
          <w:color w:val="000000"/>
          <w:sz w:val="28"/>
        </w:rPr>
        <w:t>
      расширение сети метеорологических станций филиала РГП "Казгидромет" по Актюбинской области для контроля над радиоактивным загрязнением приземного слоя атмосферы на территории агломерации;</w:t>
      </w:r>
    </w:p>
    <w:p>
      <w:pPr>
        <w:spacing w:after="0"/>
        <w:ind w:left="0"/>
        <w:jc w:val="both"/>
      </w:pPr>
      <w:r>
        <w:rPr>
          <w:rFonts w:ascii="Times New Roman"/>
          <w:b w:val="false"/>
          <w:i w:val="false"/>
          <w:color w:val="000000"/>
          <w:sz w:val="28"/>
        </w:rPr>
        <w:t>
      контроль питьевых водоисточников на территории Алгинского, Хромтауского районов, где имеется превышение норматива альфа активности в воде и определена средняя степень радиационной напряженности;</w:t>
      </w:r>
    </w:p>
    <w:p>
      <w:pPr>
        <w:spacing w:after="0"/>
        <w:ind w:left="0"/>
        <w:jc w:val="both"/>
      </w:pPr>
      <w:r>
        <w:rPr>
          <w:rFonts w:ascii="Times New Roman"/>
          <w:b w:val="false"/>
          <w:i w:val="false"/>
          <w:color w:val="000000"/>
          <w:sz w:val="28"/>
        </w:rPr>
        <w:t>
      радиационный контроль ввозимых и используемых строительных материалов;</w:t>
      </w:r>
    </w:p>
    <w:p>
      <w:pPr>
        <w:spacing w:after="0"/>
        <w:ind w:left="0"/>
        <w:jc w:val="both"/>
      </w:pPr>
      <w:r>
        <w:rPr>
          <w:rFonts w:ascii="Times New Roman"/>
          <w:b w:val="false"/>
          <w:i w:val="false"/>
          <w:color w:val="000000"/>
          <w:sz w:val="28"/>
        </w:rPr>
        <w:t xml:space="preserve">
      контроль источников ионизирующего излучения; </w:t>
      </w:r>
    </w:p>
    <w:p>
      <w:pPr>
        <w:spacing w:after="0"/>
        <w:ind w:left="0"/>
        <w:jc w:val="both"/>
      </w:pPr>
      <w:r>
        <w:rPr>
          <w:rFonts w:ascii="Times New Roman"/>
          <w:b w:val="false"/>
          <w:i w:val="false"/>
          <w:color w:val="000000"/>
          <w:sz w:val="28"/>
        </w:rPr>
        <w:t>
      мониторинг и замена устаревшего рентгеновского оборудования;</w:t>
      </w:r>
    </w:p>
    <w:p>
      <w:pPr>
        <w:spacing w:after="0"/>
        <w:ind w:left="0"/>
        <w:jc w:val="both"/>
      </w:pPr>
      <w:r>
        <w:rPr>
          <w:rFonts w:ascii="Times New Roman"/>
          <w:b w:val="false"/>
          <w:i w:val="false"/>
          <w:color w:val="000000"/>
          <w:sz w:val="28"/>
        </w:rPr>
        <w:t>
      установление и поддержание режима радиационной безопасности на объектах;</w:t>
      </w:r>
    </w:p>
    <w:p>
      <w:pPr>
        <w:spacing w:after="0"/>
        <w:ind w:left="0"/>
        <w:jc w:val="both"/>
      </w:pPr>
      <w:r>
        <w:rPr>
          <w:rFonts w:ascii="Times New Roman"/>
          <w:b w:val="false"/>
          <w:i w:val="false"/>
          <w:color w:val="000000"/>
          <w:sz w:val="28"/>
        </w:rPr>
        <w:t>
      создание обходных дорог для пропуска транзитных транспортных потоков по отношению города;</w:t>
      </w:r>
    </w:p>
    <w:p>
      <w:pPr>
        <w:spacing w:after="0"/>
        <w:ind w:left="0"/>
        <w:jc w:val="both"/>
      </w:pPr>
      <w:r>
        <w:rPr>
          <w:rFonts w:ascii="Times New Roman"/>
          <w:b w:val="false"/>
          <w:i w:val="false"/>
          <w:color w:val="000000"/>
          <w:sz w:val="28"/>
        </w:rPr>
        <w:t>
      внедрение на главных магистралях общегородского значения регулируемого движения системы пропуска транспортных потоков по типу "зеленая волна";</w:t>
      </w:r>
    </w:p>
    <w:p>
      <w:pPr>
        <w:spacing w:after="0"/>
        <w:ind w:left="0"/>
        <w:jc w:val="both"/>
      </w:pPr>
      <w:r>
        <w:rPr>
          <w:rFonts w:ascii="Times New Roman"/>
          <w:b w:val="false"/>
          <w:i w:val="false"/>
          <w:color w:val="000000"/>
          <w:sz w:val="28"/>
        </w:rPr>
        <w:t>
      озеленение магистральных улиц из лиственных пород деревьев для снижения шума уличной дорожной сети;</w:t>
      </w:r>
    </w:p>
    <w:p>
      <w:pPr>
        <w:spacing w:after="0"/>
        <w:ind w:left="0"/>
        <w:jc w:val="both"/>
      </w:pPr>
      <w:r>
        <w:rPr>
          <w:rFonts w:ascii="Times New Roman"/>
          <w:b w:val="false"/>
          <w:i w:val="false"/>
          <w:color w:val="000000"/>
          <w:sz w:val="28"/>
        </w:rPr>
        <w:t>
      применение экологически чистых видов транспорта с низким уровнем создаваемого шума;</w:t>
      </w:r>
    </w:p>
    <w:p>
      <w:pPr>
        <w:spacing w:after="0"/>
        <w:ind w:left="0"/>
        <w:jc w:val="both"/>
      </w:pPr>
      <w:r>
        <w:rPr>
          <w:rFonts w:ascii="Times New Roman"/>
          <w:b w:val="false"/>
          <w:i w:val="false"/>
          <w:color w:val="000000"/>
          <w:sz w:val="28"/>
        </w:rPr>
        <w:t>
      принятие рациональных планировочных решений, создание санитарно-защитных зон, а также использование искусственных звукоограждающих конструкций в целях защиты от шума трансформаторных подстанций;</w:t>
      </w:r>
    </w:p>
    <w:p>
      <w:pPr>
        <w:spacing w:after="0"/>
        <w:ind w:left="0"/>
        <w:jc w:val="both"/>
      </w:pPr>
      <w:r>
        <w:rPr>
          <w:rFonts w:ascii="Times New Roman"/>
          <w:b w:val="false"/>
          <w:i w:val="false"/>
          <w:color w:val="000000"/>
          <w:sz w:val="28"/>
        </w:rPr>
        <w:t>
      озеленение санитарно-защитных зон и устройство экранирующих шум сооружений из железобетонных конструкций, позволяющих снизить уровень шума за ними на 15-20 дБА для защиты от шума железнодорожного транспорта;</w:t>
      </w:r>
    </w:p>
    <w:p>
      <w:pPr>
        <w:spacing w:after="0"/>
        <w:ind w:left="0"/>
        <w:jc w:val="both"/>
      </w:pPr>
      <w:r>
        <w:rPr>
          <w:rFonts w:ascii="Times New Roman"/>
          <w:b w:val="false"/>
          <w:i w:val="false"/>
          <w:color w:val="000000"/>
          <w:sz w:val="28"/>
        </w:rPr>
        <w:t>
      рациональное размещение излучающих и облучающих объектов, исключающее или ослабляющее воздействие электромагнитного излучения на население.</w:t>
      </w:r>
    </w:p>
    <w:p>
      <w:pPr>
        <w:spacing w:after="0"/>
        <w:ind w:left="0"/>
        <w:jc w:val="both"/>
      </w:pPr>
      <w:r>
        <w:rPr>
          <w:rFonts w:ascii="Times New Roman"/>
          <w:b w:val="false"/>
          <w:i w:val="false"/>
          <w:color w:val="000000"/>
          <w:sz w:val="28"/>
        </w:rPr>
        <w:t>
      Мероприятия по охране и рациональному использованию водных ресурсов включают в себя:</w:t>
      </w:r>
    </w:p>
    <w:p>
      <w:pPr>
        <w:spacing w:after="0"/>
        <w:ind w:left="0"/>
        <w:jc w:val="both"/>
      </w:pPr>
      <w:r>
        <w:rPr>
          <w:rFonts w:ascii="Times New Roman"/>
          <w:b w:val="false"/>
          <w:i w:val="false"/>
          <w:color w:val="000000"/>
          <w:sz w:val="28"/>
        </w:rPr>
        <w:t>
      снижение "высокого уровня загрязнения" вод рек Илек, Улькен Кобда, Кара Кобда, Каргалы, Косестек, Актасты до уровня "нормативно-чистая";</w:t>
      </w:r>
    </w:p>
    <w:p>
      <w:pPr>
        <w:spacing w:after="0"/>
        <w:ind w:left="0"/>
        <w:jc w:val="both"/>
      </w:pPr>
      <w:r>
        <w:rPr>
          <w:rFonts w:ascii="Times New Roman"/>
          <w:b w:val="false"/>
          <w:i w:val="false"/>
          <w:color w:val="000000"/>
          <w:sz w:val="28"/>
        </w:rPr>
        <w:t>
      комплексную реконструкцию комплекса очистных сооружений АО "Акбулак" в городе Актобе для доведения степени очистки сточных вод до нормативных (до 2020 года);</w:t>
      </w:r>
    </w:p>
    <w:p>
      <w:pPr>
        <w:spacing w:after="0"/>
        <w:ind w:left="0"/>
        <w:jc w:val="both"/>
      </w:pPr>
      <w:r>
        <w:rPr>
          <w:rFonts w:ascii="Times New Roman"/>
          <w:b w:val="false"/>
          <w:i w:val="false"/>
          <w:color w:val="000000"/>
          <w:sz w:val="28"/>
        </w:rPr>
        <w:t>
      реконструкцию КОС крупных населенных пунктов агломерации, в том числе в городах Кандыагаш, Хромтау, селе Бадамша и строительство очистных сооружений в районных центрах Кобда, Мартук (до 2030 года);</w:t>
      </w:r>
    </w:p>
    <w:p>
      <w:pPr>
        <w:spacing w:after="0"/>
        <w:ind w:left="0"/>
        <w:jc w:val="both"/>
      </w:pPr>
      <w:r>
        <w:rPr>
          <w:rFonts w:ascii="Times New Roman"/>
          <w:b w:val="false"/>
          <w:i w:val="false"/>
          <w:color w:val="000000"/>
          <w:sz w:val="28"/>
        </w:rPr>
        <w:t>
      обеспечение централизованными системами водоотведения в селах Ушкудык, Маржанбулак, Тамды (Алгинский район), Петропавловка, Шамши Калдаякова, Кос-Истек (Каргалинский район), Каратогай, Саржансай, Родниковка, Сарыжар (Мартукский район), Аккемер, Сагашили (Мугалжарский район), Дон, Акжар (Хромтауский район);</w:t>
      </w:r>
    </w:p>
    <w:p>
      <w:pPr>
        <w:spacing w:after="0"/>
        <w:ind w:left="0"/>
        <w:jc w:val="both"/>
      </w:pPr>
      <w:r>
        <w:rPr>
          <w:rFonts w:ascii="Times New Roman"/>
          <w:b w:val="false"/>
          <w:i w:val="false"/>
          <w:color w:val="000000"/>
          <w:sz w:val="28"/>
        </w:rPr>
        <w:t>
      строительство канализационных сетей в развивающихся районах города Актобе с охватом как частного сектора, так и промышленной зоны, Юго-Запада, ГМЗ, Заречного, Рауан, Акжар, Новый, Ясный-2 (расположенных вблизи на водосборной площади и других притоках реки Илек и Актюбинского водохранилища) и далее;</w:t>
      </w:r>
    </w:p>
    <w:p>
      <w:pPr>
        <w:spacing w:after="0"/>
        <w:ind w:left="0"/>
        <w:jc w:val="both"/>
      </w:pPr>
      <w:r>
        <w:rPr>
          <w:rFonts w:ascii="Times New Roman"/>
          <w:b w:val="false"/>
          <w:i w:val="false"/>
          <w:color w:val="000000"/>
          <w:sz w:val="28"/>
        </w:rPr>
        <w:t>
      установку сооружений локальной очистки сточных вод на предприятиях города Актобе, сбрасывающих сточные воды в городской коллектор;</w:t>
      </w:r>
    </w:p>
    <w:p>
      <w:pPr>
        <w:spacing w:after="0"/>
        <w:ind w:left="0"/>
        <w:jc w:val="both"/>
      </w:pPr>
      <w:r>
        <w:rPr>
          <w:rFonts w:ascii="Times New Roman"/>
          <w:b w:val="false"/>
          <w:i w:val="false"/>
          <w:color w:val="000000"/>
          <w:sz w:val="28"/>
        </w:rPr>
        <w:t>
      санитарно-экологические попуски воды из Актюбинского водохранилища для разбавления сточных вод городских очистных сооружений;</w:t>
      </w:r>
    </w:p>
    <w:p>
      <w:pPr>
        <w:spacing w:after="0"/>
        <w:ind w:left="0"/>
        <w:jc w:val="both"/>
      </w:pPr>
      <w:r>
        <w:rPr>
          <w:rFonts w:ascii="Times New Roman"/>
          <w:b w:val="false"/>
          <w:i w:val="false"/>
          <w:color w:val="000000"/>
          <w:sz w:val="28"/>
        </w:rPr>
        <w:t>
      рассмотрение возможности повторного использования очищенных сточных вод на полив городских зеленых насаждений в целях снижения загрязнения реки Илек и исключения сброса очищенных сточных вод АО "Акбулак";</w:t>
      </w:r>
    </w:p>
    <w:p>
      <w:pPr>
        <w:spacing w:after="0"/>
        <w:ind w:left="0"/>
        <w:jc w:val="both"/>
      </w:pPr>
      <w:r>
        <w:rPr>
          <w:rFonts w:ascii="Times New Roman"/>
          <w:b w:val="false"/>
          <w:i w:val="false"/>
          <w:color w:val="000000"/>
          <w:sz w:val="28"/>
        </w:rPr>
        <w:t>
      ликвидацию очага загрязнения реки Илек бором на площади 500 га с утилизацией производственных отходов, рекультивации шламонакопителей и промышленной площадки бывшего Алгинского химического завода;</w:t>
      </w:r>
    </w:p>
    <w:p>
      <w:pPr>
        <w:spacing w:after="0"/>
        <w:ind w:left="0"/>
        <w:jc w:val="both"/>
      </w:pPr>
      <w:r>
        <w:rPr>
          <w:rFonts w:ascii="Times New Roman"/>
          <w:b w:val="false"/>
          <w:i w:val="false"/>
          <w:color w:val="000000"/>
          <w:sz w:val="28"/>
        </w:rPr>
        <w:t>
      очистку реки Илек от загрязнения шестивалентным хромом (на площади 12 км</w:t>
      </w:r>
      <w:r>
        <w:rPr>
          <w:rFonts w:ascii="Times New Roman"/>
          <w:b w:val="false"/>
          <w:i w:val="false"/>
          <w:color w:val="000000"/>
          <w:vertAlign w:val="superscript"/>
        </w:rPr>
        <w:t>2</w:t>
      </w:r>
      <w:r>
        <w:rPr>
          <w:rFonts w:ascii="Times New Roman"/>
          <w:b w:val="false"/>
          <w:i w:val="false"/>
          <w:color w:val="000000"/>
          <w:sz w:val="28"/>
        </w:rPr>
        <w:t xml:space="preserve"> путем проведения технических работ по очистке подземных вод от шестивалентного хрома, мониторинг состояния подземных вод на загрязненных участках;</w:t>
      </w:r>
    </w:p>
    <w:p>
      <w:pPr>
        <w:spacing w:after="0"/>
        <w:ind w:left="0"/>
        <w:jc w:val="both"/>
      </w:pPr>
      <w:r>
        <w:rPr>
          <w:rFonts w:ascii="Times New Roman"/>
          <w:b w:val="false"/>
          <w:i w:val="false"/>
          <w:color w:val="000000"/>
          <w:sz w:val="28"/>
        </w:rPr>
        <w:t>
      организацию дополнительных гидропостов РГП "Казгидромет" для отбора проб поверхностных вод на реке Илек с целью получения фоновых показателей и определения более точного влияния объектов исторического загрязнения бором;</w:t>
      </w:r>
    </w:p>
    <w:p>
      <w:pPr>
        <w:spacing w:after="0"/>
        <w:ind w:left="0"/>
        <w:jc w:val="both"/>
      </w:pPr>
      <w:r>
        <w:rPr>
          <w:rFonts w:ascii="Times New Roman"/>
          <w:b w:val="false"/>
          <w:i w:val="false"/>
          <w:color w:val="000000"/>
          <w:sz w:val="28"/>
        </w:rPr>
        <w:t>
      строгое соблюдение водоохранных зон и полос реки Илек и ее притоков на территории города Актобе (Каргалы, Жаман Каргалы, Сазды, Тамды, Жинишке, Бутак);</w:t>
      </w:r>
    </w:p>
    <w:p>
      <w:pPr>
        <w:spacing w:after="0"/>
        <w:ind w:left="0"/>
        <w:jc w:val="both"/>
      </w:pPr>
      <w:r>
        <w:rPr>
          <w:rFonts w:ascii="Times New Roman"/>
          <w:b w:val="false"/>
          <w:i w:val="false"/>
          <w:color w:val="000000"/>
          <w:sz w:val="28"/>
        </w:rPr>
        <w:t>
      очистку и благоустройство берега и русла реки Сазды до впадения в реку Илек;</w:t>
      </w:r>
    </w:p>
    <w:p>
      <w:pPr>
        <w:spacing w:after="0"/>
        <w:ind w:left="0"/>
        <w:jc w:val="both"/>
      </w:pPr>
      <w:r>
        <w:rPr>
          <w:rFonts w:ascii="Times New Roman"/>
          <w:b w:val="false"/>
          <w:i w:val="false"/>
          <w:color w:val="000000"/>
          <w:sz w:val="28"/>
        </w:rPr>
        <w:t>
      продолжение работ по проектированию водоохранных зон и полос на реках и водохранилищах исследуемой территории с установкой соответствующих знаков;</w:t>
      </w:r>
    </w:p>
    <w:p>
      <w:pPr>
        <w:spacing w:after="0"/>
        <w:ind w:left="0"/>
        <w:jc w:val="both"/>
      </w:pPr>
      <w:r>
        <w:rPr>
          <w:rFonts w:ascii="Times New Roman"/>
          <w:b w:val="false"/>
          <w:i w:val="false"/>
          <w:color w:val="000000"/>
          <w:sz w:val="28"/>
        </w:rPr>
        <w:t>
      строгий контроль запрета строительства различных объектов в пределах водоохранных зон и прибрежных полос рек (в том числе пунктов технического обслуживания, автостоянок, мойки автомобилей и далее).</w:t>
      </w:r>
    </w:p>
    <w:p>
      <w:pPr>
        <w:spacing w:after="0"/>
        <w:ind w:left="0"/>
        <w:jc w:val="both"/>
      </w:pPr>
      <w:r>
        <w:rPr>
          <w:rFonts w:ascii="Times New Roman"/>
          <w:b w:val="false"/>
          <w:i w:val="false"/>
          <w:color w:val="000000"/>
          <w:sz w:val="28"/>
        </w:rPr>
        <w:t>
      В целях охраны земельных ресурсов предлагаются:</w:t>
      </w:r>
    </w:p>
    <w:p>
      <w:pPr>
        <w:spacing w:after="0"/>
        <w:ind w:left="0"/>
        <w:jc w:val="both"/>
      </w:pPr>
      <w:r>
        <w:rPr>
          <w:rFonts w:ascii="Times New Roman"/>
          <w:b w:val="false"/>
          <w:i w:val="false"/>
          <w:color w:val="000000"/>
          <w:sz w:val="28"/>
        </w:rPr>
        <w:t>
      проведение рекультивации нарушенных предприятиями и организациями области земель, в том числе в городе Актобе - 1168 га, Алгинском - 717 га, Каргалинском - 184 га, Мартукском - 102 га, Мугалжарском - 1752 га, Хромтауском районах - 4630 га;</w:t>
      </w:r>
    </w:p>
    <w:p>
      <w:pPr>
        <w:spacing w:after="0"/>
        <w:ind w:left="0"/>
        <w:jc w:val="both"/>
      </w:pPr>
      <w:r>
        <w:rPr>
          <w:rFonts w:ascii="Times New Roman"/>
          <w:b w:val="false"/>
          <w:i w:val="false"/>
          <w:color w:val="000000"/>
          <w:sz w:val="28"/>
        </w:rPr>
        <w:t xml:space="preserve">
      рекультивация и использование вскрышных пород горнодобывающих предприятий ТОО "Казгеоруд", ТОО "Коппер технолоджи" и Донской ГОК АО ТНК "Казхром", образованных в 2015 году в объеме 104,99 млн. тонн; </w:t>
      </w:r>
    </w:p>
    <w:p>
      <w:pPr>
        <w:spacing w:after="0"/>
        <w:ind w:left="0"/>
        <w:jc w:val="both"/>
      </w:pPr>
      <w:r>
        <w:rPr>
          <w:rFonts w:ascii="Times New Roman"/>
          <w:b w:val="false"/>
          <w:i w:val="false"/>
          <w:color w:val="000000"/>
          <w:sz w:val="28"/>
        </w:rPr>
        <w:t>
      рекультивация земель на площади 40 га, загрязненных историческими отходами на территории промышленной площадки бывшего Алгинского химического завода, крупных промышленных предприятий города Актобе;</w:t>
      </w:r>
    </w:p>
    <w:p>
      <w:pPr>
        <w:spacing w:after="0"/>
        <w:ind w:left="0"/>
        <w:jc w:val="both"/>
      </w:pPr>
      <w:r>
        <w:rPr>
          <w:rFonts w:ascii="Times New Roman"/>
          <w:b w:val="false"/>
          <w:i w:val="false"/>
          <w:color w:val="000000"/>
          <w:sz w:val="28"/>
        </w:rPr>
        <w:t>
      рекультивация деградированных территорий, нарушенных и загрязненных земель от хозяйственной и иной деятельности на территории Актюбинского промышленного узла, Хромтауского горнопромышленного района (в городах Актобе, Алга, производственные отходы предприятий - Актюбинский завод химических соединений, Актюбинский завод ферросплавов, вскрышные породы горнодобывающих предприятий - ТОО "Коппер технолоджи" и Донской ГОК АО ТНК "Казхром");</w:t>
      </w:r>
    </w:p>
    <w:p>
      <w:pPr>
        <w:spacing w:after="0"/>
        <w:ind w:left="0"/>
        <w:jc w:val="both"/>
      </w:pPr>
      <w:r>
        <w:rPr>
          <w:rFonts w:ascii="Times New Roman"/>
          <w:b w:val="false"/>
          <w:i w:val="false"/>
          <w:color w:val="000000"/>
          <w:sz w:val="28"/>
        </w:rPr>
        <w:t>
      проведение геоботанического обследования для обоснования мер предотвращения деградации почв и потери ими биологической продуктивности на пастбищах (сбитость) с предусмотрением введения пастбищеоборота (Хромтауский, Мугалжарский, Хобдинский, Мартукский районы).</w:t>
      </w:r>
    </w:p>
    <w:p>
      <w:pPr>
        <w:spacing w:after="0"/>
        <w:ind w:left="0"/>
        <w:jc w:val="both"/>
      </w:pPr>
      <w:r>
        <w:rPr>
          <w:rFonts w:ascii="Times New Roman"/>
          <w:b w:val="false"/>
          <w:i w:val="false"/>
          <w:color w:val="000000"/>
          <w:sz w:val="28"/>
        </w:rPr>
        <w:t>
      Мероприятия по управлению отходами производства и потребления предусматривают:</w:t>
      </w:r>
    </w:p>
    <w:p>
      <w:pPr>
        <w:spacing w:after="0"/>
        <w:ind w:left="0"/>
        <w:jc w:val="both"/>
      </w:pPr>
      <w:r>
        <w:rPr>
          <w:rFonts w:ascii="Times New Roman"/>
          <w:b w:val="false"/>
          <w:i w:val="false"/>
          <w:color w:val="000000"/>
          <w:sz w:val="28"/>
        </w:rPr>
        <w:t>
      рассмотрение вопроса о переработке и утилизации промышленных отходов, размещенных на полигонах крупных промышленных предприятий, в том числе: АО "ТНК Казхром" (кусковые отходы - 70,986 тыс.тонн, шлам - 632,724 тыс.тонн, шлаки - 193,692 тыс.тонн), ТОО "Коппер Текнолоджи" (вскрышные породы - 36186,81 тыс.тонн), ТОО "АМК" (хвосты обогащения - 4789,49 тыс.тонн), ТОО "Восход Хром" (хвосты обогащения - 177,853 тыс.тонн), ТОО "Казгеоруд" (вскрышные породы - 51368,951 тыс.тонн), АО "АЗХС" (шлам - 153,254 тыс.тонн);</w:t>
      </w:r>
    </w:p>
    <w:p>
      <w:pPr>
        <w:spacing w:after="0"/>
        <w:ind w:left="0"/>
        <w:jc w:val="both"/>
      </w:pPr>
      <w:r>
        <w:rPr>
          <w:rFonts w:ascii="Times New Roman"/>
          <w:b w:val="false"/>
          <w:i w:val="false"/>
          <w:color w:val="000000"/>
          <w:sz w:val="28"/>
        </w:rPr>
        <w:t>
      инвентаризацию оборудования на предмет наличия полихлордифенилов на предприятиях ДГОК филиал АО "ТНК Казхром", АЗФ филиала АО "ТНК Казхром", ТОО "Энергосистема", "Актюбинские межсистемные электрические сети филиал KEGOC", "УМГ Актобе" филиал АО "Интергаз Центральная Азия" и другие;</w:t>
      </w:r>
    </w:p>
    <w:p>
      <w:pPr>
        <w:spacing w:after="0"/>
        <w:ind w:left="0"/>
        <w:jc w:val="both"/>
      </w:pPr>
      <w:r>
        <w:rPr>
          <w:rFonts w:ascii="Times New Roman"/>
          <w:b w:val="false"/>
          <w:i w:val="false"/>
          <w:color w:val="000000"/>
          <w:sz w:val="28"/>
        </w:rPr>
        <w:t>
      ликвидацию исторических отходов, накопленных в объеме около 1 млн. тонн, расположенных на промышленной площадке бывшего Алгинского химического завода и прилегающей территории (400 га) в городе Алга;</w:t>
      </w:r>
    </w:p>
    <w:p>
      <w:pPr>
        <w:spacing w:after="0"/>
        <w:ind w:left="0"/>
        <w:jc w:val="both"/>
      </w:pPr>
      <w:r>
        <w:rPr>
          <w:rFonts w:ascii="Times New Roman"/>
          <w:b w:val="false"/>
          <w:i w:val="false"/>
          <w:color w:val="000000"/>
          <w:sz w:val="28"/>
        </w:rPr>
        <w:t>
      рекультивацию бесхозного накопителя отходов спиртового производства (барды), расположенного в промышленной зоне города Актобе;</w:t>
      </w:r>
    </w:p>
    <w:p>
      <w:pPr>
        <w:spacing w:after="0"/>
        <w:ind w:left="0"/>
        <w:jc w:val="both"/>
      </w:pPr>
      <w:r>
        <w:rPr>
          <w:rFonts w:ascii="Times New Roman"/>
          <w:b w:val="false"/>
          <w:i w:val="false"/>
          <w:color w:val="000000"/>
          <w:sz w:val="28"/>
        </w:rPr>
        <w:t>
      ликвидацию и рекультивацию старого городского полигона твердых бытовых и других отходов города Актобе, введенного в действие с 1987 года и расположенного на северо-западной окраине города Актобе в промышленной зоне (площадь полигона - 20 га, с объемом более 3 млн. тонн мусора);</w:t>
      </w:r>
    </w:p>
    <w:p>
      <w:pPr>
        <w:spacing w:after="0"/>
        <w:ind w:left="0"/>
        <w:jc w:val="both"/>
      </w:pPr>
      <w:r>
        <w:rPr>
          <w:rFonts w:ascii="Times New Roman"/>
          <w:b w:val="false"/>
          <w:i w:val="false"/>
          <w:color w:val="000000"/>
          <w:sz w:val="28"/>
        </w:rPr>
        <w:t>
      оформление правоустанавливающих документов для мест хранения ТБО на территории агломерации;</w:t>
      </w:r>
    </w:p>
    <w:p>
      <w:pPr>
        <w:spacing w:after="0"/>
        <w:ind w:left="0"/>
        <w:jc w:val="both"/>
      </w:pPr>
      <w:r>
        <w:rPr>
          <w:rFonts w:ascii="Times New Roman"/>
          <w:b w:val="false"/>
          <w:i w:val="false"/>
          <w:color w:val="000000"/>
          <w:sz w:val="28"/>
        </w:rPr>
        <w:t>
      строительство до 2020 года полигонов ТБО в районных центрах Кандыагаш. Мартук. Кобда, Бадамша;</w:t>
      </w:r>
    </w:p>
    <w:p>
      <w:pPr>
        <w:spacing w:after="0"/>
        <w:ind w:left="0"/>
        <w:jc w:val="both"/>
      </w:pPr>
      <w:r>
        <w:rPr>
          <w:rFonts w:ascii="Times New Roman"/>
          <w:b w:val="false"/>
          <w:i w:val="false"/>
          <w:color w:val="000000"/>
          <w:sz w:val="28"/>
        </w:rPr>
        <w:t xml:space="preserve">
      строительство до 2030 года полигонов ТБО в селах Есет батыра Кокиулы, Бестамак, Маржанбулак, Тамды (Алгинский район), Петропавловка, Кос-Истек (Каргалинский район), Алия (Хобдинский район), Жайсан (Яйсан), Каратогай, Родниковка, Сарыжар (Хлебодаровка), (Мартукский район), Аккемер, Сагашили (Мугалжарский район), Акжар (Хромтауский район); </w:t>
      </w:r>
    </w:p>
    <w:p>
      <w:pPr>
        <w:spacing w:after="0"/>
        <w:ind w:left="0"/>
        <w:jc w:val="both"/>
      </w:pPr>
      <w:r>
        <w:rPr>
          <w:rFonts w:ascii="Times New Roman"/>
          <w:b w:val="false"/>
          <w:i w:val="false"/>
          <w:color w:val="000000"/>
          <w:sz w:val="28"/>
        </w:rPr>
        <w:t>
      выход на проектную мощность до 2020 года мусоросортировочного комплекса в городе Актобе (проектная мощность 200 тыс. тонн/в год);</w:t>
      </w:r>
    </w:p>
    <w:p>
      <w:pPr>
        <w:spacing w:after="0"/>
        <w:ind w:left="0"/>
        <w:jc w:val="both"/>
      </w:pPr>
      <w:r>
        <w:rPr>
          <w:rFonts w:ascii="Times New Roman"/>
          <w:b w:val="false"/>
          <w:i w:val="false"/>
          <w:color w:val="000000"/>
          <w:sz w:val="28"/>
        </w:rPr>
        <w:t>
      строительство и ввод в эксплуатацию до 2030 года мусороперерабатывающего завода в городе Актобе;</w:t>
      </w:r>
    </w:p>
    <w:p>
      <w:pPr>
        <w:spacing w:after="0"/>
        <w:ind w:left="0"/>
        <w:jc w:val="both"/>
      </w:pPr>
      <w:r>
        <w:rPr>
          <w:rFonts w:ascii="Times New Roman"/>
          <w:b w:val="false"/>
          <w:i w:val="false"/>
          <w:color w:val="000000"/>
          <w:sz w:val="28"/>
        </w:rPr>
        <w:t>
      строительство мусоросортировочных линий/заводов в городах Кандыагаш, Хромтау, Алга до 2030 года;</w:t>
      </w:r>
    </w:p>
    <w:p>
      <w:pPr>
        <w:spacing w:after="0"/>
        <w:ind w:left="0"/>
        <w:jc w:val="both"/>
      </w:pPr>
      <w:r>
        <w:rPr>
          <w:rFonts w:ascii="Times New Roman"/>
          <w:b w:val="false"/>
          <w:i w:val="false"/>
          <w:color w:val="000000"/>
          <w:sz w:val="28"/>
        </w:rPr>
        <w:t xml:space="preserve">
      строительство типовых скотомогильников (ямы Беккери) в селах Тамды, Самбай, Есет батыр Кокиулы, Маржанбулак, Каракудык, Карахобда, Акай Алгинского района, села Карабулак Мартукского района, населенных пунктах Каргалинского, Хобдинского, Хромтауского районов и городе Актобе. </w:t>
      </w:r>
    </w:p>
    <w:p>
      <w:pPr>
        <w:spacing w:after="0"/>
        <w:ind w:left="0"/>
        <w:jc w:val="both"/>
      </w:pPr>
      <w:r>
        <w:rPr>
          <w:rFonts w:ascii="Times New Roman"/>
          <w:b w:val="false"/>
          <w:i w:val="false"/>
          <w:color w:val="000000"/>
          <w:sz w:val="28"/>
        </w:rPr>
        <w:t>
      Для развития природно-экологического каркаса территории агломерации, сохранения естественных экосистем и биоразнообразия предлагаются создание до 2020 годагеопарка на геоморфологическом разрезе "Айдарлыаша" в Хромтауском районе, до 2030 года государственного регионального природного парка "Каргалинский" в Каргалинском районе площадью 25000 га, а также организация 11 государственных памятников природы местного значения.</w:t>
      </w:r>
    </w:p>
    <w:p>
      <w:pPr>
        <w:spacing w:after="0"/>
        <w:ind w:left="0"/>
        <w:jc w:val="both"/>
      </w:pPr>
      <w:r>
        <w:rPr>
          <w:rFonts w:ascii="Times New Roman"/>
          <w:b w:val="false"/>
          <w:i w:val="false"/>
          <w:color w:val="000000"/>
          <w:sz w:val="28"/>
        </w:rPr>
        <w:t>
      Кроме того, необходимо проведение работ по усилению материально-технической базы государственных учреждений лесных хозяйств.</w:t>
      </w:r>
    </w:p>
    <w:p>
      <w:pPr>
        <w:spacing w:after="0"/>
        <w:ind w:left="0"/>
        <w:jc w:val="both"/>
      </w:pPr>
      <w:r>
        <w:rPr>
          <w:rFonts w:ascii="Times New Roman"/>
          <w:b w:val="false"/>
          <w:i w:val="false"/>
          <w:color w:val="000000"/>
          <w:sz w:val="28"/>
        </w:rPr>
        <w:t>
      Для охраны зеленых насаждений на территории агломерации необходимо проведение работ по увеличению площадей зеленых зон города Актобе и районов до 4385 га к 2020 году, 17100 га к 2030 году.</w:t>
      </w:r>
    </w:p>
    <w:p>
      <w:pPr>
        <w:spacing w:after="0"/>
        <w:ind w:left="0"/>
        <w:jc w:val="both"/>
      </w:pPr>
      <w:r>
        <w:rPr>
          <w:rFonts w:ascii="Times New Roman"/>
          <w:b w:val="false"/>
          <w:i w:val="false"/>
          <w:color w:val="000000"/>
          <w:sz w:val="28"/>
        </w:rPr>
        <w:t>
      Принимаемые меры позволят стабилизировать и улучшить экологическое состояние Актюбинской агломерации, включая зону интенсивного и активного агломерирования, центры притяжения агломерации, зоны слабых агломерационных процессов.</w:t>
      </w:r>
    </w:p>
    <w:p>
      <w:pPr>
        <w:spacing w:after="0"/>
        <w:ind w:left="0"/>
        <w:jc w:val="both"/>
      </w:pPr>
      <w:r>
        <w:rPr>
          <w:rFonts w:ascii="Times New Roman"/>
          <w:b w:val="false"/>
          <w:i w:val="false"/>
          <w:color w:val="000000"/>
          <w:sz w:val="28"/>
        </w:rPr>
        <w:t>
      Мероприятия по обеспечению санитарно-эпидемиологического благополучия территории</w:t>
      </w:r>
    </w:p>
    <w:p>
      <w:pPr>
        <w:spacing w:after="0"/>
        <w:ind w:left="0"/>
        <w:jc w:val="both"/>
      </w:pPr>
      <w:r>
        <w:rPr>
          <w:rFonts w:ascii="Times New Roman"/>
          <w:b w:val="false"/>
          <w:i w:val="false"/>
          <w:color w:val="000000"/>
          <w:sz w:val="28"/>
        </w:rPr>
        <w:t>
      Эпидемиологическая обстановка за период 2010 - 2016 годы остается стабильной. Несмотря на снижение показателей, актуальными проблемами остаются вопрос эпидемиологического надзора за распространением туберкулеза, а также рост онкологических новообразований.</w:t>
      </w:r>
    </w:p>
    <w:p>
      <w:pPr>
        <w:spacing w:after="0"/>
        <w:ind w:left="0"/>
        <w:jc w:val="both"/>
      </w:pPr>
      <w:r>
        <w:rPr>
          <w:rFonts w:ascii="Times New Roman"/>
          <w:b w:val="false"/>
          <w:i w:val="false"/>
          <w:color w:val="000000"/>
          <w:sz w:val="28"/>
        </w:rPr>
        <w:t>
      Показатели заболеваемости злокачественными новообразованиями в 2016 году составили 171,7 на 100 тысяч населения (по республике - 206,9 на 100 тысяч населения).</w:t>
      </w:r>
    </w:p>
    <w:p>
      <w:pPr>
        <w:spacing w:after="0"/>
        <w:ind w:left="0"/>
        <w:jc w:val="both"/>
      </w:pPr>
      <w:r>
        <w:rPr>
          <w:rFonts w:ascii="Times New Roman"/>
          <w:b w:val="false"/>
          <w:i w:val="false"/>
          <w:color w:val="000000"/>
          <w:sz w:val="28"/>
        </w:rPr>
        <w:t>
      Досточно острая обстановка на территории агломерации по заболеваемости туберкулезом, в 2016 году показатель составил на 100 тысяч населения - 58,3 (по республике - 52,7).</w:t>
      </w:r>
    </w:p>
    <w:p>
      <w:pPr>
        <w:spacing w:after="0"/>
        <w:ind w:left="0"/>
        <w:jc w:val="both"/>
      </w:pPr>
      <w:r>
        <w:rPr>
          <w:rFonts w:ascii="Times New Roman"/>
          <w:b w:val="false"/>
          <w:i w:val="false"/>
          <w:color w:val="000000"/>
          <w:sz w:val="28"/>
        </w:rPr>
        <w:t>
      В городе Актобе насчитывается 8 стационарно-неблагополучных пунктов, 10 очагов по сибирской язве, Алгинском - 10 (16 очагов), Каргалинском - 8 (8 очагов), Хобдинском - 18 (20 очагов), Мартукском - 8 (8 очагов), Мугалжарском - 15 (16 очагов), Хромтауский - 8 (8 очагов).</w:t>
      </w:r>
    </w:p>
    <w:p>
      <w:pPr>
        <w:spacing w:after="0"/>
        <w:ind w:left="0"/>
        <w:jc w:val="both"/>
      </w:pPr>
      <w:r>
        <w:rPr>
          <w:rFonts w:ascii="Times New Roman"/>
          <w:b w:val="false"/>
          <w:i w:val="false"/>
          <w:color w:val="000000"/>
          <w:sz w:val="28"/>
        </w:rPr>
        <w:t>
      При разработке градостроительных проектов необходимо учитывать населенные пункты, находящиеся в зоне активно действующих природных очагов туляремии и стационарно неблагополучных пунктов по сибирской язве по всей территории агломерации.</w:t>
      </w:r>
    </w:p>
    <w:p>
      <w:pPr>
        <w:spacing w:after="0"/>
        <w:ind w:left="0"/>
        <w:jc w:val="both"/>
      </w:pPr>
      <w:r>
        <w:rPr>
          <w:rFonts w:ascii="Times New Roman"/>
          <w:b w:val="false"/>
          <w:i w:val="false"/>
          <w:color w:val="000000"/>
          <w:sz w:val="28"/>
        </w:rPr>
        <w:t>
      В санитарно-защитной зоне Актюбинского завода филиала "ТНК "Казхром" и кирпичного завода города Актобе в центре агломерации расположены жилые дома, что противоречит санитарно-эпидемиологическим требованиям по установлению санитарно-защитной зоны производственных объектов. В этой связи, предлагается проработка вопроса расселения жилых домов, расположенных в санитарно-защитных зонах промышленных предприятий города Актобе.</w:t>
      </w:r>
    </w:p>
    <w:p>
      <w:pPr>
        <w:spacing w:after="0"/>
        <w:ind w:left="0"/>
        <w:jc w:val="both"/>
      </w:pPr>
      <w:r>
        <w:rPr>
          <w:rFonts w:ascii="Times New Roman"/>
          <w:b w:val="false"/>
          <w:i w:val="false"/>
          <w:color w:val="000000"/>
          <w:sz w:val="28"/>
        </w:rPr>
        <w:t>
      Охрана памятников историко-культурного наследия</w:t>
      </w:r>
    </w:p>
    <w:p>
      <w:pPr>
        <w:spacing w:after="0"/>
        <w:ind w:left="0"/>
        <w:jc w:val="both"/>
      </w:pPr>
      <w:r>
        <w:rPr>
          <w:rFonts w:ascii="Times New Roman"/>
          <w:b w:val="false"/>
          <w:i w:val="false"/>
          <w:color w:val="000000"/>
          <w:sz w:val="28"/>
        </w:rPr>
        <w:t>
      В зоне активного агломерирования необходимо регулирование вопросов режима использования охранной зоны, зоны регулирования застройки и зоны охраняемого природного ландшафта памятника республиканского значения некрополя Абат-Байтак и устройства ограждения в целях обеспечения его сохранности, территория которого подвергается новым подзахоронениям.</w:t>
      </w:r>
    </w:p>
    <w:p>
      <w:pPr>
        <w:spacing w:after="0"/>
        <w:ind w:left="0"/>
        <w:jc w:val="both"/>
      </w:pPr>
      <w:r>
        <w:rPr>
          <w:rFonts w:ascii="Times New Roman"/>
          <w:b w:val="false"/>
          <w:i w:val="false"/>
          <w:color w:val="000000"/>
          <w:sz w:val="28"/>
        </w:rPr>
        <w:t xml:space="preserve">
      Необходимо сохранение памятников истории и культуры на территории агломерации при проведении строительных работ, особенно в Мугалжарском районе, где интенсивно ведутся работы по добыче нефти и газа. </w:t>
      </w:r>
    </w:p>
    <w:p>
      <w:pPr>
        <w:spacing w:after="0"/>
        <w:ind w:left="0"/>
        <w:jc w:val="both"/>
      </w:pPr>
      <w:r>
        <w:rPr>
          <w:rFonts w:ascii="Times New Roman"/>
          <w:b w:val="false"/>
          <w:i w:val="false"/>
          <w:color w:val="000000"/>
          <w:sz w:val="28"/>
        </w:rPr>
        <w:t>
      Для реализации политики сохранения и популяризации культурного наследия рекомендуются:</w:t>
      </w:r>
    </w:p>
    <w:p>
      <w:pPr>
        <w:spacing w:after="0"/>
        <w:ind w:left="0"/>
        <w:jc w:val="both"/>
      </w:pPr>
      <w:r>
        <w:rPr>
          <w:rFonts w:ascii="Times New Roman"/>
          <w:b w:val="false"/>
          <w:i w:val="false"/>
          <w:color w:val="000000"/>
          <w:sz w:val="28"/>
        </w:rPr>
        <w:t>
      систематическая проверка состояния памятников (мавзолеи, саганатамы, кулпытасы, святилища и другие), являющихся сокровищницами народного зодчества кочевых племен региона, и организация реставрационных и ремонтных работ;</w:t>
      </w:r>
    </w:p>
    <w:p>
      <w:pPr>
        <w:spacing w:after="0"/>
        <w:ind w:left="0"/>
        <w:jc w:val="both"/>
      </w:pPr>
      <w:r>
        <w:rPr>
          <w:rFonts w:ascii="Times New Roman"/>
          <w:b w:val="false"/>
          <w:i w:val="false"/>
          <w:color w:val="000000"/>
          <w:sz w:val="28"/>
        </w:rPr>
        <w:t>
      организация работ по благоустройству и ограждению территории наиболее ярких и показательных памятников архитектуры и градостроительства, ежегодно разрушающихся в результате антропогенного фактора и влияния животного мира;</w:t>
      </w:r>
    </w:p>
    <w:p>
      <w:pPr>
        <w:spacing w:after="0"/>
        <w:ind w:left="0"/>
        <w:jc w:val="both"/>
      </w:pPr>
      <w:r>
        <w:rPr>
          <w:rFonts w:ascii="Times New Roman"/>
          <w:b w:val="false"/>
          <w:i w:val="false"/>
          <w:color w:val="000000"/>
          <w:sz w:val="28"/>
        </w:rPr>
        <w:t>
      регулирование вопросов режима использования охранной зоны, зоны регулирования застройки и зоны охраняемого природного ландшафта объектов историко-культурного наследия;</w:t>
      </w:r>
    </w:p>
    <w:p>
      <w:pPr>
        <w:spacing w:after="0"/>
        <w:ind w:left="0"/>
        <w:jc w:val="both"/>
      </w:pPr>
      <w:r>
        <w:rPr>
          <w:rFonts w:ascii="Times New Roman"/>
          <w:b w:val="false"/>
          <w:i w:val="false"/>
          <w:color w:val="000000"/>
          <w:sz w:val="28"/>
        </w:rPr>
        <w:t xml:space="preserve">
      создание историко-архитектурных опорных планов и карт-схем объектов историко-культурного наследия с внесением охранной зоны, зоны регулирования застройки и зоны охраняемого природного ландшафта; </w:t>
      </w:r>
    </w:p>
    <w:p>
      <w:pPr>
        <w:spacing w:after="0"/>
        <w:ind w:left="0"/>
        <w:jc w:val="both"/>
      </w:pPr>
      <w:r>
        <w:rPr>
          <w:rFonts w:ascii="Times New Roman"/>
          <w:b w:val="false"/>
          <w:i w:val="false"/>
          <w:color w:val="000000"/>
          <w:sz w:val="28"/>
        </w:rPr>
        <w:t>
      проведение археологических работ для изучения наиболее представительных памятников археологии на территории агломерации и создание музеев под открытым небом;</w:t>
      </w:r>
    </w:p>
    <w:p>
      <w:pPr>
        <w:spacing w:after="0"/>
        <w:ind w:left="0"/>
        <w:jc w:val="both"/>
      </w:pPr>
      <w:r>
        <w:rPr>
          <w:rFonts w:ascii="Times New Roman"/>
          <w:b w:val="false"/>
          <w:i w:val="false"/>
          <w:color w:val="000000"/>
          <w:sz w:val="28"/>
        </w:rPr>
        <w:t>
      выявление, изучение, сохранение памятников истории и культуры всех категорий.</w:t>
      </w:r>
    </w:p>
    <w:p>
      <w:pPr>
        <w:spacing w:after="0"/>
        <w:ind w:left="0"/>
        <w:jc w:val="both"/>
      </w:pPr>
      <w:r>
        <w:rPr>
          <w:rFonts w:ascii="Times New Roman"/>
          <w:b w:val="false"/>
          <w:i w:val="false"/>
          <w:color w:val="000000"/>
          <w:sz w:val="28"/>
        </w:rPr>
        <w:t xml:space="preserve">
      Основные меры по защите территорий от воздействия чрезвычайных ситуаций природного и техногенного характера и мероприятий по гражданской обороне </w:t>
      </w:r>
    </w:p>
    <w:p>
      <w:pPr>
        <w:spacing w:after="0"/>
        <w:ind w:left="0"/>
        <w:jc w:val="both"/>
      </w:pPr>
      <w:r>
        <w:rPr>
          <w:rFonts w:ascii="Times New Roman"/>
          <w:b w:val="false"/>
          <w:i w:val="false"/>
          <w:color w:val="000000"/>
          <w:sz w:val="28"/>
        </w:rPr>
        <w:t>
      В целях предупреждения и защиты населения от чрезвычайных ситуаций природного и техногенного характера на территории Актюбинской агломерации на перспективу предусмотрен комплекс мероприятий, направленных на обеспечение защиты населения и территории от чрезвычайных ситуаций природного и техногенного характера.</w:t>
      </w:r>
    </w:p>
    <w:p>
      <w:pPr>
        <w:spacing w:after="0"/>
        <w:ind w:left="0"/>
        <w:jc w:val="both"/>
      </w:pPr>
      <w:r>
        <w:rPr>
          <w:rFonts w:ascii="Times New Roman"/>
          <w:b w:val="false"/>
          <w:i w:val="false"/>
          <w:color w:val="000000"/>
          <w:sz w:val="28"/>
        </w:rPr>
        <w:t>
      Для обеспечения инфраструктурой противодействия паводкам и наводнения населенных пунктов предлагаются:</w:t>
      </w:r>
    </w:p>
    <w:p>
      <w:pPr>
        <w:spacing w:after="0"/>
        <w:ind w:left="0"/>
        <w:jc w:val="both"/>
      </w:pPr>
      <w:r>
        <w:rPr>
          <w:rFonts w:ascii="Times New Roman"/>
          <w:b w:val="false"/>
          <w:i w:val="false"/>
          <w:color w:val="000000"/>
          <w:sz w:val="28"/>
        </w:rPr>
        <w:t>
      1) проведение расчистки, углубления и берегоукрепительных работ русла по всей длине реки Женишке, начиная от села Жанаконыс до впадения ее в реку Илек;</w:t>
      </w:r>
    </w:p>
    <w:p>
      <w:pPr>
        <w:spacing w:after="0"/>
        <w:ind w:left="0"/>
        <w:jc w:val="both"/>
      </w:pPr>
      <w:r>
        <w:rPr>
          <w:rFonts w:ascii="Times New Roman"/>
          <w:b w:val="false"/>
          <w:i w:val="false"/>
          <w:color w:val="000000"/>
          <w:sz w:val="28"/>
        </w:rPr>
        <w:t>
      2) продолжение работ по расчистке, углублению и укреплению русла реки Сазды от моста по улице Кенеса Нокина (район рынка Шыгыс) до впадения в русло реки Илек и от Саздинского водохранилища до моста по ул. Санкибай батыра;</w:t>
      </w:r>
    </w:p>
    <w:p>
      <w:pPr>
        <w:spacing w:after="0"/>
        <w:ind w:left="0"/>
        <w:jc w:val="both"/>
      </w:pPr>
      <w:r>
        <w:rPr>
          <w:rFonts w:ascii="Times New Roman"/>
          <w:b w:val="false"/>
          <w:i w:val="false"/>
          <w:color w:val="000000"/>
          <w:sz w:val="28"/>
        </w:rPr>
        <w:t>
      3) проведение расчистки, углубления и берегоукрепительных работ русла по всей длине реки Песчанка, проходящей через село Каргалинское города Актобе;</w:t>
      </w:r>
    </w:p>
    <w:p>
      <w:pPr>
        <w:spacing w:after="0"/>
        <w:ind w:left="0"/>
        <w:jc w:val="both"/>
      </w:pPr>
      <w:r>
        <w:rPr>
          <w:rFonts w:ascii="Times New Roman"/>
          <w:b w:val="false"/>
          <w:i w:val="false"/>
          <w:color w:val="000000"/>
          <w:sz w:val="28"/>
        </w:rPr>
        <w:t>
      4) проведение расчистки, углубления и берегоукрепительных работ русла реки Жаман-Каргала в районе поселка Заречный;</w:t>
      </w:r>
    </w:p>
    <w:p>
      <w:pPr>
        <w:spacing w:after="0"/>
        <w:ind w:left="0"/>
        <w:jc w:val="both"/>
      </w:pPr>
      <w:r>
        <w:rPr>
          <w:rFonts w:ascii="Times New Roman"/>
          <w:b w:val="false"/>
          <w:i w:val="false"/>
          <w:color w:val="000000"/>
          <w:sz w:val="28"/>
        </w:rPr>
        <w:t>
      5) проведение расчистки, углубления и берегоукрепительных работ русла на реке Тамды, проходящей через садоводческие коллективы в районе гормолзавода города Актобе, от улицы Зинченко до моста в направлении кольца гормолзавода;</w:t>
      </w:r>
    </w:p>
    <w:p>
      <w:pPr>
        <w:spacing w:after="0"/>
        <w:ind w:left="0"/>
        <w:jc w:val="both"/>
      </w:pPr>
      <w:r>
        <w:rPr>
          <w:rFonts w:ascii="Times New Roman"/>
          <w:b w:val="false"/>
          <w:i w:val="false"/>
          <w:color w:val="000000"/>
          <w:sz w:val="28"/>
        </w:rPr>
        <w:t>
      6) проведение расчистки, углубления и берегоукрепительных работ русла реки Бутак в черте города Актобе;</w:t>
      </w:r>
    </w:p>
    <w:p>
      <w:pPr>
        <w:spacing w:after="0"/>
        <w:ind w:left="0"/>
        <w:jc w:val="both"/>
      </w:pPr>
      <w:r>
        <w:rPr>
          <w:rFonts w:ascii="Times New Roman"/>
          <w:b w:val="false"/>
          <w:i w:val="false"/>
          <w:color w:val="000000"/>
          <w:sz w:val="28"/>
        </w:rPr>
        <w:t>
      7) создание ливневой канализации в районе "Авиатор" города Актобе протяженностью порядка 2000 метров;</w:t>
      </w:r>
    </w:p>
    <w:p>
      <w:pPr>
        <w:spacing w:after="0"/>
        <w:ind w:left="0"/>
        <w:jc w:val="both"/>
      </w:pPr>
      <w:r>
        <w:rPr>
          <w:rFonts w:ascii="Times New Roman"/>
          <w:b w:val="false"/>
          <w:i w:val="false"/>
          <w:color w:val="000000"/>
          <w:sz w:val="28"/>
        </w:rPr>
        <w:t>
      8) строительство водоотводного канала в селе Жанаконыс в квартале "Бирлик" протяженностью порядка 2000 метров с расширением до 5 метров водоотводного канала от автозаправочной станции "Лидер" до реки Женишке вдоль железнодорожного моста "Шестихатка";</w:t>
      </w:r>
    </w:p>
    <w:p>
      <w:pPr>
        <w:spacing w:after="0"/>
        <w:ind w:left="0"/>
        <w:jc w:val="both"/>
      </w:pPr>
      <w:r>
        <w:rPr>
          <w:rFonts w:ascii="Times New Roman"/>
          <w:b w:val="false"/>
          <w:i w:val="false"/>
          <w:color w:val="000000"/>
          <w:sz w:val="28"/>
        </w:rPr>
        <w:t>
      9) проведение работ по продолжению Новоальджанского водоотводного канала от Богословской трассы до реки Сазды протяженностью порядка 1500 метров;</w:t>
      </w:r>
    </w:p>
    <w:p>
      <w:pPr>
        <w:spacing w:after="0"/>
        <w:ind w:left="0"/>
        <w:jc w:val="both"/>
      </w:pPr>
      <w:r>
        <w:rPr>
          <w:rFonts w:ascii="Times New Roman"/>
          <w:b w:val="false"/>
          <w:i w:val="false"/>
          <w:color w:val="000000"/>
          <w:sz w:val="28"/>
        </w:rPr>
        <w:t>
      10) проведение очистки русла реки Кос-Истек в районе метеостанции протяженностью 500 метров с расширением до 10 метров, а также укрепление дамбы на реках Косистек, Тарангул и Айтпайка внутри поселка в селе Кос-Истек Каргалинского района;</w:t>
      </w:r>
    </w:p>
    <w:p>
      <w:pPr>
        <w:spacing w:after="0"/>
        <w:ind w:left="0"/>
        <w:jc w:val="both"/>
      </w:pPr>
      <w:r>
        <w:rPr>
          <w:rFonts w:ascii="Times New Roman"/>
          <w:b w:val="false"/>
          <w:i w:val="false"/>
          <w:color w:val="000000"/>
          <w:sz w:val="28"/>
        </w:rPr>
        <w:t>
      11) проведение капитального ремонта имеющихся и устройство новых ливневых каналов в районах "Москва", "Гормолзавод" города Актобе, с уклоном и отводом талых и дождевых вод;</w:t>
      </w:r>
    </w:p>
    <w:p>
      <w:pPr>
        <w:spacing w:after="0"/>
        <w:ind w:left="0"/>
        <w:jc w:val="both"/>
      </w:pPr>
      <w:r>
        <w:rPr>
          <w:rFonts w:ascii="Times New Roman"/>
          <w:b w:val="false"/>
          <w:i w:val="false"/>
          <w:color w:val="000000"/>
          <w:sz w:val="28"/>
        </w:rPr>
        <w:t>
      12) установление единой системы локального оповещения непосредственно на гидротехнических сооружениях (Актюбинское, Каргалинское и Саздинское) и в населенных пунктах, попадающих в зону затопления, в случае прорыва водохранилищ, расположенных ниже по течению (села Шамши Калдаякова, Петропавловка, Садовое, Кенеса Нокина, Курайли, Саржансай, Кенсахара, Мартук, Каргалинское);</w:t>
      </w:r>
    </w:p>
    <w:p>
      <w:pPr>
        <w:spacing w:after="0"/>
        <w:ind w:left="0"/>
        <w:jc w:val="both"/>
      </w:pPr>
      <w:r>
        <w:rPr>
          <w:rFonts w:ascii="Times New Roman"/>
          <w:b w:val="false"/>
          <w:i w:val="false"/>
          <w:color w:val="000000"/>
          <w:sz w:val="28"/>
        </w:rPr>
        <w:t>
      13) проведение расчистки русла реки Илек от древесных и кустарниковых порослей и иловых отложений, усиление береговой зоны путем возведения противопаводковой дамбы от створов Актюбинского водохранилища до села Курайли;</w:t>
      </w:r>
    </w:p>
    <w:p>
      <w:pPr>
        <w:spacing w:after="0"/>
        <w:ind w:left="0"/>
        <w:jc w:val="both"/>
      </w:pPr>
      <w:r>
        <w:rPr>
          <w:rFonts w:ascii="Times New Roman"/>
          <w:b w:val="false"/>
          <w:i w:val="false"/>
          <w:color w:val="000000"/>
          <w:sz w:val="28"/>
        </w:rPr>
        <w:t xml:space="preserve">
      14) проведение капитального ремонта противопаводковых дамб в Алгинском районе: в селе Тамды - 2000 метров, в городе Алга - 900 метров; </w:t>
      </w:r>
    </w:p>
    <w:p>
      <w:pPr>
        <w:spacing w:after="0"/>
        <w:ind w:left="0"/>
        <w:jc w:val="both"/>
      </w:pPr>
      <w:r>
        <w:rPr>
          <w:rFonts w:ascii="Times New Roman"/>
          <w:b w:val="false"/>
          <w:i w:val="false"/>
          <w:color w:val="000000"/>
          <w:sz w:val="28"/>
        </w:rPr>
        <w:t>
      15) возведение противопаводковой дамбы длиной 7000 метров в селе Саржансай Мартукского района;</w:t>
      </w:r>
    </w:p>
    <w:p>
      <w:pPr>
        <w:spacing w:after="0"/>
        <w:ind w:left="0"/>
        <w:jc w:val="both"/>
      </w:pPr>
      <w:r>
        <w:rPr>
          <w:rFonts w:ascii="Times New Roman"/>
          <w:b w:val="false"/>
          <w:i w:val="false"/>
          <w:color w:val="000000"/>
          <w:sz w:val="28"/>
        </w:rPr>
        <w:t>
      16) установка шлюза для сброса воды с капитальным укреплением самой дамбы плотины на плотине "Казанка - 1";</w:t>
      </w:r>
    </w:p>
    <w:p>
      <w:pPr>
        <w:spacing w:after="0"/>
        <w:ind w:left="0"/>
        <w:jc w:val="both"/>
      </w:pPr>
      <w:r>
        <w:rPr>
          <w:rFonts w:ascii="Times New Roman"/>
          <w:b w:val="false"/>
          <w:i w:val="false"/>
          <w:color w:val="000000"/>
          <w:sz w:val="28"/>
        </w:rPr>
        <w:t>
      17) возведение противопаводковых дамб в селах Сагашили Мугалжарского района, Шамши Калдаякова Каргалинского района (для предотвращения от затопления прорыва Каргалинского водохранилища);</w:t>
      </w:r>
    </w:p>
    <w:p>
      <w:pPr>
        <w:spacing w:after="0"/>
        <w:ind w:left="0"/>
        <w:jc w:val="both"/>
      </w:pPr>
      <w:r>
        <w:rPr>
          <w:rFonts w:ascii="Times New Roman"/>
          <w:b w:val="false"/>
          <w:i w:val="false"/>
          <w:color w:val="000000"/>
          <w:sz w:val="28"/>
        </w:rPr>
        <w:t>
      18) строительство противоливневых каналов, арыков, водопропускных сооружений с установкой в низменных местах насосных станций в Хромтауском районе (город Хромтау) и Мугалжарском районе (город Кандыагаш).</w:t>
      </w:r>
    </w:p>
    <w:p>
      <w:pPr>
        <w:spacing w:after="0"/>
        <w:ind w:left="0"/>
        <w:jc w:val="both"/>
      </w:pPr>
      <w:r>
        <w:rPr>
          <w:rFonts w:ascii="Times New Roman"/>
          <w:b w:val="false"/>
          <w:i w:val="false"/>
          <w:color w:val="000000"/>
          <w:sz w:val="28"/>
        </w:rPr>
        <w:t>
      Для проведения водно-спасательных и водолазно-поисковых работ на водоемах в купальный сезон и паводкоопасный период предлагается строительство водно-спасательной станции в городе Хромтау, которая решит вопросы оперативного реагирования на чрезвычайные ситуации в близлежащих Айтекебийском, Мугалжарском и Каргалинском районах.</w:t>
      </w:r>
    </w:p>
    <w:p>
      <w:pPr>
        <w:spacing w:after="0"/>
        <w:ind w:left="0"/>
        <w:jc w:val="both"/>
      </w:pPr>
      <w:r>
        <w:rPr>
          <w:rFonts w:ascii="Times New Roman"/>
          <w:b w:val="false"/>
          <w:i w:val="false"/>
          <w:color w:val="000000"/>
          <w:sz w:val="28"/>
        </w:rPr>
        <w:t>
      Для обеспечения противопожарной защиты Актюбинской агломерации в соответствии СН РК 2.02-04-2014 и СП РК 2.02-105-2014 "Проектирование объектов органов противопожарной службы", рекомендуется строительство зданий пожарных депо: в городе Актобе - 7, в городе Хромтау Хромтауского района - 1, в городе Кандыагаш Мугалжарского района - 1, в городе Алга Алгинского района - 1, в селе Мартук Мартукского района - 1. в селе Кобда Хобдинского района -1.</w:t>
      </w:r>
    </w:p>
    <w:p>
      <w:pPr>
        <w:spacing w:after="0"/>
        <w:ind w:left="0"/>
        <w:jc w:val="both"/>
      </w:pPr>
      <w:r>
        <w:rPr>
          <w:rFonts w:ascii="Times New Roman"/>
          <w:b w:val="false"/>
          <w:i w:val="false"/>
          <w:color w:val="000000"/>
          <w:sz w:val="28"/>
        </w:rPr>
        <w:t>
      Также предлагается создание местными исполнительными органами пожарных постов в населенных пунктах, где отсутствуют государственные противопожарные службы:</w:t>
      </w:r>
    </w:p>
    <w:p>
      <w:pPr>
        <w:spacing w:after="0"/>
        <w:ind w:left="0"/>
        <w:jc w:val="both"/>
      </w:pPr>
      <w:r>
        <w:rPr>
          <w:rFonts w:ascii="Times New Roman"/>
          <w:b w:val="false"/>
          <w:i w:val="false"/>
          <w:color w:val="000000"/>
          <w:sz w:val="28"/>
        </w:rPr>
        <w:t>
      в селе Ушкудык Ушкудыкского сельского округа Алгинского района, в селе Маржанбулак Маржанбулакского сельского округа;</w:t>
      </w:r>
    </w:p>
    <w:p>
      <w:pPr>
        <w:spacing w:after="0"/>
        <w:ind w:left="0"/>
        <w:jc w:val="both"/>
      </w:pPr>
      <w:r>
        <w:rPr>
          <w:rFonts w:ascii="Times New Roman"/>
          <w:b w:val="false"/>
          <w:i w:val="false"/>
          <w:color w:val="000000"/>
          <w:sz w:val="28"/>
        </w:rPr>
        <w:t>
      в селе Алимбетовка Алимбетовского сельского округа Каргалинского района;</w:t>
      </w:r>
    </w:p>
    <w:p>
      <w:pPr>
        <w:spacing w:after="0"/>
        <w:ind w:left="0"/>
        <w:jc w:val="both"/>
      </w:pPr>
      <w:r>
        <w:rPr>
          <w:rFonts w:ascii="Times New Roman"/>
          <w:b w:val="false"/>
          <w:i w:val="false"/>
          <w:color w:val="000000"/>
          <w:sz w:val="28"/>
        </w:rPr>
        <w:t xml:space="preserve">
      в селе Акжар Акжарского сельского округа Хромтауского района; </w:t>
      </w:r>
    </w:p>
    <w:p>
      <w:pPr>
        <w:spacing w:after="0"/>
        <w:ind w:left="0"/>
        <w:jc w:val="both"/>
      </w:pPr>
      <w:r>
        <w:rPr>
          <w:rFonts w:ascii="Times New Roman"/>
          <w:b w:val="false"/>
          <w:i w:val="false"/>
          <w:color w:val="000000"/>
          <w:sz w:val="28"/>
        </w:rPr>
        <w:t>
      в селе Родниковка Мартукского района;</w:t>
      </w:r>
    </w:p>
    <w:p>
      <w:pPr>
        <w:spacing w:after="0"/>
        <w:ind w:left="0"/>
        <w:jc w:val="both"/>
      </w:pPr>
      <w:r>
        <w:rPr>
          <w:rFonts w:ascii="Times New Roman"/>
          <w:b w:val="false"/>
          <w:i w:val="false"/>
          <w:color w:val="000000"/>
          <w:sz w:val="28"/>
        </w:rPr>
        <w:t>
      в селе Аккемер Аккемерского сельского округа Мугалжарского района.</w:t>
      </w:r>
    </w:p>
    <w:p>
      <w:pPr>
        <w:spacing w:after="0"/>
        <w:ind w:left="0"/>
        <w:jc w:val="both"/>
      </w:pPr>
      <w:r>
        <w:rPr>
          <w:rFonts w:ascii="Times New Roman"/>
          <w:b w:val="false"/>
          <w:i w:val="false"/>
          <w:color w:val="000000"/>
          <w:sz w:val="28"/>
        </w:rPr>
        <w:t>
      Для забора воды пожарной техникой на тушение возникших пожаров на водоисточниках предлагается обеспечение пожарными пирсами:</w:t>
      </w:r>
    </w:p>
    <w:p>
      <w:pPr>
        <w:spacing w:after="0"/>
        <w:ind w:left="0"/>
        <w:jc w:val="both"/>
      </w:pPr>
      <w:r>
        <w:rPr>
          <w:rFonts w:ascii="Times New Roman"/>
          <w:b w:val="false"/>
          <w:i w:val="false"/>
          <w:color w:val="000000"/>
          <w:sz w:val="28"/>
        </w:rPr>
        <w:t>
      в селе Сазды - на Саздинском водохранилище со стороны дачных массивов;</w:t>
      </w:r>
    </w:p>
    <w:p>
      <w:pPr>
        <w:spacing w:after="0"/>
        <w:ind w:left="0"/>
        <w:jc w:val="both"/>
      </w:pPr>
      <w:r>
        <w:rPr>
          <w:rFonts w:ascii="Times New Roman"/>
          <w:b w:val="false"/>
          <w:i w:val="false"/>
          <w:color w:val="000000"/>
          <w:sz w:val="28"/>
        </w:rPr>
        <w:t>
      в Каргалинском сельском округе селе Магаджановское - на Актюбинском водохранилище по берегу со стороны лесного хозяйства;</w:t>
      </w:r>
    </w:p>
    <w:p>
      <w:pPr>
        <w:spacing w:after="0"/>
        <w:ind w:left="0"/>
        <w:jc w:val="both"/>
      </w:pPr>
      <w:r>
        <w:rPr>
          <w:rFonts w:ascii="Times New Roman"/>
          <w:b w:val="false"/>
          <w:i w:val="false"/>
          <w:color w:val="000000"/>
          <w:sz w:val="28"/>
        </w:rPr>
        <w:t>
      в Курайлинском сельском округе - устройство 3 пирсов (в селе Орлеу - по реке Илек, в районе переезда со стороны села Орлеу в сторону Силикатного завода; на стыке села Заречный и Лесного хозяйства и селе Курайлы);</w:t>
      </w:r>
    </w:p>
    <w:p>
      <w:pPr>
        <w:spacing w:after="0"/>
        <w:ind w:left="0"/>
        <w:jc w:val="both"/>
      </w:pPr>
      <w:r>
        <w:rPr>
          <w:rFonts w:ascii="Times New Roman"/>
          <w:b w:val="false"/>
          <w:i w:val="false"/>
          <w:color w:val="000000"/>
          <w:sz w:val="28"/>
        </w:rPr>
        <w:t>
      в селе Жанаконыс - по реке Женешке в сельском округе Новый;</w:t>
      </w:r>
    </w:p>
    <w:p>
      <w:pPr>
        <w:spacing w:after="0"/>
        <w:ind w:left="0"/>
        <w:jc w:val="both"/>
      </w:pPr>
      <w:r>
        <w:rPr>
          <w:rFonts w:ascii="Times New Roman"/>
          <w:b w:val="false"/>
          <w:i w:val="false"/>
          <w:color w:val="000000"/>
          <w:sz w:val="28"/>
        </w:rPr>
        <w:t>
      в Благодарном сельском округе - устройство 5 пирсов на реках: Жаксы Каргалы, Жаман Каргалы, Актасты, Бутак, Майское водохранилище;</w:t>
      </w:r>
    </w:p>
    <w:p>
      <w:pPr>
        <w:spacing w:after="0"/>
        <w:ind w:left="0"/>
        <w:jc w:val="both"/>
      </w:pPr>
      <w:r>
        <w:rPr>
          <w:rFonts w:ascii="Times New Roman"/>
          <w:b w:val="false"/>
          <w:i w:val="false"/>
          <w:color w:val="000000"/>
          <w:sz w:val="28"/>
        </w:rPr>
        <w:t>
      в Каргалинском районе в селе Кос-Истек Косистекском сельском округе - на реке Тарангуль;</w:t>
      </w:r>
    </w:p>
    <w:p>
      <w:pPr>
        <w:spacing w:after="0"/>
        <w:ind w:left="0"/>
        <w:jc w:val="both"/>
      </w:pPr>
      <w:r>
        <w:rPr>
          <w:rFonts w:ascii="Times New Roman"/>
          <w:b w:val="false"/>
          <w:i w:val="false"/>
          <w:color w:val="000000"/>
          <w:sz w:val="28"/>
        </w:rPr>
        <w:t>
      в Хобдинском районе на реке Терисаккана села Бестау Бестауском сельском округе и Жанаталапском сельском округе;</w:t>
      </w:r>
    </w:p>
    <w:p>
      <w:pPr>
        <w:spacing w:after="0"/>
        <w:ind w:left="0"/>
        <w:jc w:val="both"/>
      </w:pPr>
      <w:r>
        <w:rPr>
          <w:rFonts w:ascii="Times New Roman"/>
          <w:b w:val="false"/>
          <w:i w:val="false"/>
          <w:color w:val="000000"/>
          <w:sz w:val="28"/>
        </w:rPr>
        <w:t>
      в Мугалжарском районе в городе Кандыагаш - на реке Темир;</w:t>
      </w:r>
    </w:p>
    <w:p>
      <w:pPr>
        <w:spacing w:after="0"/>
        <w:ind w:left="0"/>
        <w:jc w:val="both"/>
      </w:pPr>
      <w:r>
        <w:rPr>
          <w:rFonts w:ascii="Times New Roman"/>
          <w:b w:val="false"/>
          <w:i w:val="false"/>
          <w:color w:val="000000"/>
          <w:sz w:val="28"/>
        </w:rPr>
        <w:t>
      в Аккемерском сельском округе, село Аккемер - на реке Илек;</w:t>
      </w:r>
    </w:p>
    <w:p>
      <w:pPr>
        <w:spacing w:after="0"/>
        <w:ind w:left="0"/>
        <w:jc w:val="both"/>
      </w:pPr>
      <w:r>
        <w:rPr>
          <w:rFonts w:ascii="Times New Roman"/>
          <w:b w:val="false"/>
          <w:i w:val="false"/>
          <w:color w:val="000000"/>
          <w:sz w:val="28"/>
        </w:rPr>
        <w:t>
      в городе Алга Алгинского района на реке Илек;</w:t>
      </w:r>
    </w:p>
    <w:p>
      <w:pPr>
        <w:spacing w:after="0"/>
        <w:ind w:left="0"/>
        <w:jc w:val="both"/>
      </w:pPr>
      <w:r>
        <w:rPr>
          <w:rFonts w:ascii="Times New Roman"/>
          <w:b w:val="false"/>
          <w:i w:val="false"/>
          <w:color w:val="000000"/>
          <w:sz w:val="28"/>
        </w:rPr>
        <w:t>
      в селе Абай Абайского сельского округа Хромтауского района – на Абайском водохранилище;</w:t>
      </w:r>
    </w:p>
    <w:p>
      <w:pPr>
        <w:spacing w:after="0"/>
        <w:ind w:left="0"/>
        <w:jc w:val="both"/>
      </w:pPr>
      <w:r>
        <w:rPr>
          <w:rFonts w:ascii="Times New Roman"/>
          <w:b w:val="false"/>
          <w:i w:val="false"/>
          <w:color w:val="000000"/>
          <w:sz w:val="28"/>
        </w:rPr>
        <w:t xml:space="preserve">
      в селе Табантал Табанталского сельского округа - на реке Табантал; </w:t>
      </w:r>
    </w:p>
    <w:p>
      <w:pPr>
        <w:spacing w:after="0"/>
        <w:ind w:left="0"/>
        <w:jc w:val="both"/>
      </w:pPr>
      <w:r>
        <w:rPr>
          <w:rFonts w:ascii="Times New Roman"/>
          <w:b w:val="false"/>
          <w:i w:val="false"/>
          <w:color w:val="000000"/>
          <w:sz w:val="28"/>
        </w:rPr>
        <w:t>
      в селе Тассай Тассайского сельского округа - на реке Тассай.</w:t>
      </w:r>
    </w:p>
    <w:p>
      <w:pPr>
        <w:spacing w:after="0"/>
        <w:ind w:left="0"/>
        <w:jc w:val="both"/>
      </w:pPr>
      <w:r>
        <w:rPr>
          <w:rFonts w:ascii="Times New Roman"/>
          <w:b w:val="false"/>
          <w:i w:val="false"/>
          <w:color w:val="000000"/>
          <w:sz w:val="28"/>
        </w:rPr>
        <w:t xml:space="preserve">
      Для обеспечения инфраструктурой противодействия снежным заносам в зимний период на автомобильных дорогах, входящих в зону агломерации, предлагается поэтапно установить снегозащитные установки: </w:t>
      </w:r>
    </w:p>
    <w:p>
      <w:pPr>
        <w:spacing w:after="0"/>
        <w:ind w:left="0"/>
        <w:jc w:val="both"/>
      </w:pPr>
      <w:r>
        <w:rPr>
          <w:rFonts w:ascii="Times New Roman"/>
          <w:b w:val="false"/>
          <w:i w:val="false"/>
          <w:color w:val="000000"/>
          <w:sz w:val="28"/>
        </w:rPr>
        <w:t>
      на автомобильных дорогах республиканского значения:</w:t>
      </w:r>
    </w:p>
    <w:p>
      <w:pPr>
        <w:spacing w:after="0"/>
        <w:ind w:left="0"/>
        <w:jc w:val="both"/>
      </w:pPr>
      <w:r>
        <w:rPr>
          <w:rFonts w:ascii="Times New Roman"/>
          <w:b w:val="false"/>
          <w:i w:val="false"/>
          <w:color w:val="000000"/>
          <w:sz w:val="28"/>
        </w:rPr>
        <w:t>
      М-32 "Граница РФ (на Самару) - Шымкент" (участок 630-667 км) протяженностью - 37 км;</w:t>
      </w:r>
    </w:p>
    <w:p>
      <w:pPr>
        <w:spacing w:after="0"/>
        <w:ind w:left="0"/>
        <w:jc w:val="both"/>
      </w:pPr>
      <w:r>
        <w:rPr>
          <w:rFonts w:ascii="Times New Roman"/>
          <w:b w:val="false"/>
          <w:i w:val="false"/>
          <w:color w:val="000000"/>
          <w:sz w:val="28"/>
        </w:rPr>
        <w:t>
      М-32 "Граница РФ (на Самару) - Шымкент" (участок 690-697 км) протяженностью - 7 км;</w:t>
      </w:r>
    </w:p>
    <w:p>
      <w:pPr>
        <w:spacing w:after="0"/>
        <w:ind w:left="0"/>
        <w:jc w:val="both"/>
      </w:pPr>
      <w:r>
        <w:rPr>
          <w:rFonts w:ascii="Times New Roman"/>
          <w:b w:val="false"/>
          <w:i w:val="false"/>
          <w:color w:val="000000"/>
          <w:sz w:val="28"/>
        </w:rPr>
        <w:t>
      М-32 "Граница РФ (на Самару) - Шымкент" (участок 760-787 км) протяженностью - 27 км;</w:t>
      </w:r>
    </w:p>
    <w:p>
      <w:pPr>
        <w:spacing w:after="0"/>
        <w:ind w:left="0"/>
        <w:jc w:val="both"/>
      </w:pPr>
      <w:r>
        <w:rPr>
          <w:rFonts w:ascii="Times New Roman"/>
          <w:b w:val="false"/>
          <w:i w:val="false"/>
          <w:color w:val="000000"/>
          <w:sz w:val="28"/>
        </w:rPr>
        <w:t>
      М-32 "Граница РФ (на Самару) - Шымкент" (участок 798-810 км) протяженностью -12 км;</w:t>
      </w:r>
    </w:p>
    <w:p>
      <w:pPr>
        <w:spacing w:after="0"/>
        <w:ind w:left="0"/>
        <w:jc w:val="both"/>
      </w:pPr>
      <w:r>
        <w:rPr>
          <w:rFonts w:ascii="Times New Roman"/>
          <w:b w:val="false"/>
          <w:i w:val="false"/>
          <w:color w:val="000000"/>
          <w:sz w:val="28"/>
        </w:rPr>
        <w:t>
      М-32 "Граница РФ (на Самару) - Шымкент" (участок 843-850 км) протяженностью - 7 км;</w:t>
      </w:r>
    </w:p>
    <w:p>
      <w:pPr>
        <w:spacing w:after="0"/>
        <w:ind w:left="0"/>
        <w:jc w:val="both"/>
      </w:pPr>
      <w:r>
        <w:rPr>
          <w:rFonts w:ascii="Times New Roman"/>
          <w:b w:val="false"/>
          <w:i w:val="false"/>
          <w:color w:val="000000"/>
          <w:sz w:val="28"/>
        </w:rPr>
        <w:t>
      Р-50 "Северный обход города Актобе" (участок 16, 18, 20, 21-23, 27-29, 30-31 км) протяженностью - 8 км;</w:t>
      </w:r>
    </w:p>
    <w:p>
      <w:pPr>
        <w:spacing w:after="0"/>
        <w:ind w:left="0"/>
        <w:jc w:val="both"/>
      </w:pPr>
      <w:r>
        <w:rPr>
          <w:rFonts w:ascii="Times New Roman"/>
          <w:b w:val="false"/>
          <w:i w:val="false"/>
          <w:color w:val="000000"/>
          <w:sz w:val="28"/>
        </w:rPr>
        <w:t>
      А-25 "Актобе - граница РФ (на Орск)" (участок 35-45 км) - 10 км;</w:t>
      </w:r>
    </w:p>
    <w:p>
      <w:pPr>
        <w:spacing w:after="0"/>
        <w:ind w:left="0"/>
        <w:jc w:val="both"/>
      </w:pPr>
      <w:r>
        <w:rPr>
          <w:rFonts w:ascii="Times New Roman"/>
          <w:b w:val="false"/>
          <w:i w:val="false"/>
          <w:color w:val="000000"/>
          <w:sz w:val="28"/>
        </w:rPr>
        <w:t>
      А-25 "Актобе - граница РФ (на Орск)" (участок 60-63, 69-71, 78-81, 85-90, 99-103, 110-125 км) протяженностью - 32 км;</w:t>
      </w:r>
    </w:p>
    <w:p>
      <w:pPr>
        <w:spacing w:after="0"/>
        <w:ind w:left="0"/>
        <w:jc w:val="both"/>
      </w:pPr>
      <w:r>
        <w:rPr>
          <w:rFonts w:ascii="Times New Roman"/>
          <w:b w:val="false"/>
          <w:i w:val="false"/>
          <w:color w:val="000000"/>
          <w:sz w:val="28"/>
        </w:rPr>
        <w:t>
      А-24 "Актобе - Мартук - граница РФ (на Оренбург)" (участок 25-28, 36-40, 41-42, 43-44,48-49, 58-64, 68-69 км) протяженностью - 17 км;</w:t>
      </w:r>
    </w:p>
    <w:p>
      <w:pPr>
        <w:spacing w:after="0"/>
        <w:ind w:left="0"/>
        <w:jc w:val="both"/>
      </w:pPr>
      <w:r>
        <w:rPr>
          <w:rFonts w:ascii="Times New Roman"/>
          <w:b w:val="false"/>
          <w:i w:val="false"/>
          <w:color w:val="000000"/>
          <w:sz w:val="28"/>
        </w:rPr>
        <w:t>
      А-27 "Актобе - Атырау граница РФ (на Астрахань)" (участок 15-25, 40-43, 55-65 км) протяженностью - 23 км;</w:t>
      </w:r>
    </w:p>
    <w:p>
      <w:pPr>
        <w:spacing w:after="0"/>
        <w:ind w:left="0"/>
        <w:jc w:val="both"/>
      </w:pPr>
      <w:r>
        <w:rPr>
          <w:rFonts w:ascii="Times New Roman"/>
          <w:b w:val="false"/>
          <w:i w:val="false"/>
          <w:color w:val="000000"/>
          <w:sz w:val="28"/>
        </w:rPr>
        <w:t>
      А-27 "Актобе - Атырау граница РФ (на Астрахань)" (участок 70-80, 90-95 км) протяженностью - 15 км.</w:t>
      </w:r>
    </w:p>
    <w:p>
      <w:pPr>
        <w:spacing w:after="0"/>
        <w:ind w:left="0"/>
        <w:jc w:val="both"/>
      </w:pPr>
      <w:r>
        <w:rPr>
          <w:rFonts w:ascii="Times New Roman"/>
          <w:b w:val="false"/>
          <w:i w:val="false"/>
          <w:color w:val="000000"/>
          <w:sz w:val="28"/>
        </w:rPr>
        <w:t>
      На автомобильных дорогах областного значения:</w:t>
      </w:r>
    </w:p>
    <w:p>
      <w:pPr>
        <w:spacing w:after="0"/>
        <w:ind w:left="0"/>
        <w:jc w:val="both"/>
      </w:pPr>
      <w:r>
        <w:rPr>
          <w:rFonts w:ascii="Times New Roman"/>
          <w:b w:val="false"/>
          <w:i w:val="false"/>
          <w:color w:val="000000"/>
          <w:sz w:val="28"/>
        </w:rPr>
        <w:t>
      "Актобе - Родниковка - Мартук" (участок 05-43 км) протяженностью - 38 км;</w:t>
      </w:r>
    </w:p>
    <w:p>
      <w:pPr>
        <w:spacing w:after="0"/>
        <w:ind w:left="0"/>
        <w:jc w:val="both"/>
      </w:pPr>
      <w:r>
        <w:rPr>
          <w:rFonts w:ascii="Times New Roman"/>
          <w:b w:val="false"/>
          <w:i w:val="false"/>
          <w:color w:val="000000"/>
          <w:sz w:val="28"/>
        </w:rPr>
        <w:t>
      подъезд к селу Хазретовка (участок 0-35,1 км) протяженностью - 35,1 км;</w:t>
      </w:r>
    </w:p>
    <w:p>
      <w:pPr>
        <w:spacing w:after="0"/>
        <w:ind w:left="0"/>
        <w:jc w:val="both"/>
      </w:pPr>
      <w:r>
        <w:rPr>
          <w:rFonts w:ascii="Times New Roman"/>
          <w:b w:val="false"/>
          <w:i w:val="false"/>
          <w:color w:val="000000"/>
          <w:sz w:val="28"/>
        </w:rPr>
        <w:t>
      "Донское - Бадамша - Актобе - Орск" (участок 48-76 км) протяженностью - 28 км;</w:t>
      </w:r>
    </w:p>
    <w:p>
      <w:pPr>
        <w:spacing w:after="0"/>
        <w:ind w:left="0"/>
        <w:jc w:val="both"/>
      </w:pPr>
      <w:r>
        <w:rPr>
          <w:rFonts w:ascii="Times New Roman"/>
          <w:b w:val="false"/>
          <w:i w:val="false"/>
          <w:color w:val="000000"/>
          <w:sz w:val="28"/>
        </w:rPr>
        <w:t>
      "Актобе - Мартук - граница РФ" (участок 0-7,3 км) протяженностью - 7,3 км;</w:t>
      </w:r>
    </w:p>
    <w:p>
      <w:pPr>
        <w:spacing w:after="0"/>
        <w:ind w:left="0"/>
        <w:jc w:val="both"/>
      </w:pPr>
      <w:r>
        <w:rPr>
          <w:rFonts w:ascii="Times New Roman"/>
          <w:b w:val="false"/>
          <w:i w:val="false"/>
          <w:color w:val="000000"/>
          <w:sz w:val="28"/>
        </w:rPr>
        <w:t>
      "Донское - Бадамша - Актобе - Орск" (участок 19-48 км) протяженностью - 16 км.</w:t>
      </w:r>
    </w:p>
    <w:p>
      <w:pPr>
        <w:spacing w:after="0"/>
        <w:ind w:left="0"/>
        <w:jc w:val="both"/>
      </w:pPr>
      <w:r>
        <w:rPr>
          <w:rFonts w:ascii="Times New Roman"/>
          <w:b w:val="false"/>
          <w:i w:val="false"/>
          <w:color w:val="000000"/>
          <w:sz w:val="28"/>
        </w:rPr>
        <w:t>
      На автомобильных дорогах районного значения:</w:t>
      </w:r>
    </w:p>
    <w:p>
      <w:pPr>
        <w:spacing w:after="0"/>
        <w:ind w:left="0"/>
        <w:jc w:val="both"/>
      </w:pPr>
      <w:r>
        <w:rPr>
          <w:rFonts w:ascii="Times New Roman"/>
          <w:b w:val="false"/>
          <w:i w:val="false"/>
          <w:color w:val="000000"/>
          <w:sz w:val="28"/>
        </w:rPr>
        <w:t>
      в Алгинском районе:</w:t>
      </w:r>
    </w:p>
    <w:p>
      <w:pPr>
        <w:spacing w:after="0"/>
        <w:ind w:left="0"/>
        <w:jc w:val="both"/>
      </w:pPr>
      <w:r>
        <w:rPr>
          <w:rFonts w:ascii="Times New Roman"/>
          <w:b w:val="false"/>
          <w:i w:val="false"/>
          <w:color w:val="000000"/>
          <w:sz w:val="28"/>
        </w:rPr>
        <w:t>
      подъезд к селу Акай протяженностью - 2 км;</w:t>
      </w:r>
    </w:p>
    <w:p>
      <w:pPr>
        <w:spacing w:after="0"/>
        <w:ind w:left="0"/>
        <w:jc w:val="both"/>
      </w:pPr>
      <w:r>
        <w:rPr>
          <w:rFonts w:ascii="Times New Roman"/>
          <w:b w:val="false"/>
          <w:i w:val="false"/>
          <w:color w:val="000000"/>
          <w:sz w:val="28"/>
        </w:rPr>
        <w:t>
      "Алга - Есет батыр Кокиулы" протяженностью - 9 км;</w:t>
      </w:r>
    </w:p>
    <w:p>
      <w:pPr>
        <w:spacing w:after="0"/>
        <w:ind w:left="0"/>
        <w:jc w:val="both"/>
      </w:pPr>
      <w:r>
        <w:rPr>
          <w:rFonts w:ascii="Times New Roman"/>
          <w:b w:val="false"/>
          <w:i w:val="false"/>
          <w:color w:val="000000"/>
          <w:sz w:val="28"/>
        </w:rPr>
        <w:t>
      подъезд к комплексу Есет Ата протяженностью - 4,26 км;</w:t>
      </w:r>
    </w:p>
    <w:p>
      <w:pPr>
        <w:spacing w:after="0"/>
        <w:ind w:left="0"/>
        <w:jc w:val="both"/>
      </w:pPr>
      <w:r>
        <w:rPr>
          <w:rFonts w:ascii="Times New Roman"/>
          <w:b w:val="false"/>
          <w:i w:val="false"/>
          <w:color w:val="000000"/>
          <w:sz w:val="28"/>
        </w:rPr>
        <w:t>
      "Бестамак - Бескоспа" протяженностью - 9 км;</w:t>
      </w:r>
    </w:p>
    <w:p>
      <w:pPr>
        <w:spacing w:after="0"/>
        <w:ind w:left="0"/>
        <w:jc w:val="both"/>
      </w:pPr>
      <w:r>
        <w:rPr>
          <w:rFonts w:ascii="Times New Roman"/>
          <w:b w:val="false"/>
          <w:i w:val="false"/>
          <w:color w:val="000000"/>
          <w:sz w:val="28"/>
        </w:rPr>
        <w:t>
      "Алга - Карабулак" протяженностью - 15 км;</w:t>
      </w:r>
    </w:p>
    <w:p>
      <w:pPr>
        <w:spacing w:after="0"/>
        <w:ind w:left="0"/>
        <w:jc w:val="both"/>
      </w:pPr>
      <w:r>
        <w:rPr>
          <w:rFonts w:ascii="Times New Roman"/>
          <w:b w:val="false"/>
          <w:i w:val="false"/>
          <w:color w:val="000000"/>
          <w:sz w:val="28"/>
        </w:rPr>
        <w:t>
      "Алга - Самбай - Нурбулак" протяженностью - 21 км;</w:t>
      </w:r>
    </w:p>
    <w:p>
      <w:pPr>
        <w:spacing w:after="0"/>
        <w:ind w:left="0"/>
        <w:jc w:val="both"/>
      </w:pPr>
      <w:r>
        <w:rPr>
          <w:rFonts w:ascii="Times New Roman"/>
          <w:b w:val="false"/>
          <w:i w:val="false"/>
          <w:color w:val="000000"/>
          <w:sz w:val="28"/>
        </w:rPr>
        <w:t>
      подъезд к селу Каракудык протяженностью - 9 км;</w:t>
      </w:r>
    </w:p>
    <w:p>
      <w:pPr>
        <w:spacing w:after="0"/>
        <w:ind w:left="0"/>
        <w:jc w:val="both"/>
      </w:pPr>
      <w:r>
        <w:rPr>
          <w:rFonts w:ascii="Times New Roman"/>
          <w:b w:val="false"/>
          <w:i w:val="false"/>
          <w:color w:val="000000"/>
          <w:sz w:val="28"/>
        </w:rPr>
        <w:t>
      подъезд к селу Коктогай протяженностью - 9 км;</w:t>
      </w:r>
    </w:p>
    <w:p>
      <w:pPr>
        <w:spacing w:after="0"/>
        <w:ind w:left="0"/>
        <w:jc w:val="both"/>
      </w:pPr>
      <w:r>
        <w:rPr>
          <w:rFonts w:ascii="Times New Roman"/>
          <w:b w:val="false"/>
          <w:i w:val="false"/>
          <w:color w:val="000000"/>
          <w:sz w:val="28"/>
        </w:rPr>
        <w:t>
      подъезд к селу Тиккайын протяженностью - 6 км;</w:t>
      </w:r>
    </w:p>
    <w:p>
      <w:pPr>
        <w:spacing w:after="0"/>
        <w:ind w:left="0"/>
        <w:jc w:val="both"/>
      </w:pPr>
      <w:r>
        <w:rPr>
          <w:rFonts w:ascii="Times New Roman"/>
          <w:b w:val="false"/>
          <w:i w:val="false"/>
          <w:color w:val="000000"/>
          <w:sz w:val="28"/>
        </w:rPr>
        <w:t>
      "Каракобда - Ерназар" протяженностью - 8 км;</w:t>
      </w:r>
    </w:p>
    <w:p>
      <w:pPr>
        <w:spacing w:after="0"/>
        <w:ind w:left="0"/>
        <w:jc w:val="both"/>
      </w:pPr>
      <w:r>
        <w:rPr>
          <w:rFonts w:ascii="Times New Roman"/>
          <w:b w:val="false"/>
          <w:i w:val="false"/>
          <w:color w:val="000000"/>
          <w:sz w:val="28"/>
        </w:rPr>
        <w:t>
      подъезд к селу Маржанбулак протяженностью - 0,2 км;</w:t>
      </w:r>
    </w:p>
    <w:p>
      <w:pPr>
        <w:spacing w:after="0"/>
        <w:ind w:left="0"/>
        <w:jc w:val="both"/>
      </w:pPr>
      <w:r>
        <w:rPr>
          <w:rFonts w:ascii="Times New Roman"/>
          <w:b w:val="false"/>
          <w:i w:val="false"/>
          <w:color w:val="000000"/>
          <w:sz w:val="28"/>
        </w:rPr>
        <w:t>
      подъезд к селу Карагандысай протяженностью - 3,5 км;</w:t>
      </w:r>
    </w:p>
    <w:p>
      <w:pPr>
        <w:spacing w:after="0"/>
        <w:ind w:left="0"/>
        <w:jc w:val="both"/>
      </w:pPr>
      <w:r>
        <w:rPr>
          <w:rFonts w:ascii="Times New Roman"/>
          <w:b w:val="false"/>
          <w:i w:val="false"/>
          <w:color w:val="000000"/>
          <w:sz w:val="28"/>
        </w:rPr>
        <w:t>
      подъезд к селу Кайындысай протяженностью - 1 км;</w:t>
      </w:r>
    </w:p>
    <w:p>
      <w:pPr>
        <w:spacing w:after="0"/>
        <w:ind w:left="0"/>
        <w:jc w:val="both"/>
      </w:pPr>
      <w:r>
        <w:rPr>
          <w:rFonts w:ascii="Times New Roman"/>
          <w:b w:val="false"/>
          <w:i w:val="false"/>
          <w:color w:val="000000"/>
          <w:sz w:val="28"/>
        </w:rPr>
        <w:t>
      "Токмансай - Кайнар" протяженностью - 16 км;</w:t>
      </w:r>
    </w:p>
    <w:p>
      <w:pPr>
        <w:spacing w:after="0"/>
        <w:ind w:left="0"/>
        <w:jc w:val="both"/>
      </w:pPr>
      <w:r>
        <w:rPr>
          <w:rFonts w:ascii="Times New Roman"/>
          <w:b w:val="false"/>
          <w:i w:val="false"/>
          <w:color w:val="000000"/>
          <w:sz w:val="28"/>
        </w:rPr>
        <w:t>
      "Есет батыр Кокиулы - Токмансай" протяженностью - 15 км;</w:t>
      </w:r>
    </w:p>
    <w:p>
      <w:pPr>
        <w:spacing w:after="0"/>
        <w:ind w:left="0"/>
        <w:jc w:val="both"/>
      </w:pPr>
      <w:r>
        <w:rPr>
          <w:rFonts w:ascii="Times New Roman"/>
          <w:b w:val="false"/>
          <w:i w:val="false"/>
          <w:color w:val="000000"/>
          <w:sz w:val="28"/>
        </w:rPr>
        <w:t>
      подъезд к селу Сарыхобда протяженностью - 0,6 км;</w:t>
      </w:r>
    </w:p>
    <w:p>
      <w:pPr>
        <w:spacing w:after="0"/>
        <w:ind w:left="0"/>
        <w:jc w:val="both"/>
      </w:pPr>
      <w:r>
        <w:rPr>
          <w:rFonts w:ascii="Times New Roman"/>
          <w:b w:val="false"/>
          <w:i w:val="false"/>
          <w:color w:val="000000"/>
          <w:sz w:val="28"/>
        </w:rPr>
        <w:t>
      подъезд к селу Болгарка протяженностью - 0,8 км;</w:t>
      </w:r>
    </w:p>
    <w:p>
      <w:pPr>
        <w:spacing w:after="0"/>
        <w:ind w:left="0"/>
        <w:jc w:val="both"/>
      </w:pPr>
      <w:r>
        <w:rPr>
          <w:rFonts w:ascii="Times New Roman"/>
          <w:b w:val="false"/>
          <w:i w:val="false"/>
          <w:color w:val="000000"/>
          <w:sz w:val="28"/>
        </w:rPr>
        <w:t>
      подъезд к селу Талдысай протяженностью - 3,4 км;</w:t>
      </w:r>
    </w:p>
    <w:p>
      <w:pPr>
        <w:spacing w:after="0"/>
        <w:ind w:left="0"/>
        <w:jc w:val="both"/>
      </w:pPr>
      <w:r>
        <w:rPr>
          <w:rFonts w:ascii="Times New Roman"/>
          <w:b w:val="false"/>
          <w:i w:val="false"/>
          <w:color w:val="000000"/>
          <w:sz w:val="28"/>
        </w:rPr>
        <w:t>
      подъезд к селу Еркинкуш протяженностью - 3,6 км;</w:t>
      </w:r>
    </w:p>
    <w:p>
      <w:pPr>
        <w:spacing w:after="0"/>
        <w:ind w:left="0"/>
        <w:jc w:val="both"/>
      </w:pPr>
      <w:r>
        <w:rPr>
          <w:rFonts w:ascii="Times New Roman"/>
          <w:b w:val="false"/>
          <w:i w:val="false"/>
          <w:color w:val="000000"/>
          <w:sz w:val="28"/>
        </w:rPr>
        <w:t>
      "Ушкудук - Аксазды" протяженностью - 6,5 км.</w:t>
      </w:r>
    </w:p>
    <w:p>
      <w:pPr>
        <w:spacing w:after="0"/>
        <w:ind w:left="0"/>
        <w:jc w:val="both"/>
      </w:pPr>
      <w:r>
        <w:rPr>
          <w:rFonts w:ascii="Times New Roman"/>
          <w:b w:val="false"/>
          <w:i w:val="false"/>
          <w:color w:val="000000"/>
          <w:sz w:val="28"/>
        </w:rPr>
        <w:t>
      в Хобдинском районе:</w:t>
      </w:r>
    </w:p>
    <w:p>
      <w:pPr>
        <w:spacing w:after="0"/>
        <w:ind w:left="0"/>
        <w:jc w:val="both"/>
      </w:pPr>
      <w:r>
        <w:rPr>
          <w:rFonts w:ascii="Times New Roman"/>
          <w:b w:val="false"/>
          <w:i w:val="false"/>
          <w:color w:val="000000"/>
          <w:sz w:val="28"/>
        </w:rPr>
        <w:t>
      "Бестау - Жарсай" протяженностью - 16 км;</w:t>
      </w:r>
    </w:p>
    <w:p>
      <w:pPr>
        <w:spacing w:after="0"/>
        <w:ind w:left="0"/>
        <w:jc w:val="both"/>
      </w:pPr>
      <w:r>
        <w:rPr>
          <w:rFonts w:ascii="Times New Roman"/>
          <w:b w:val="false"/>
          <w:i w:val="false"/>
          <w:color w:val="000000"/>
          <w:sz w:val="28"/>
        </w:rPr>
        <w:t>
      подъезд к селу Терисаккан протяженностью - 5 км;</w:t>
      </w:r>
    </w:p>
    <w:p>
      <w:pPr>
        <w:spacing w:after="0"/>
        <w:ind w:left="0"/>
        <w:jc w:val="both"/>
      </w:pPr>
      <w:r>
        <w:rPr>
          <w:rFonts w:ascii="Times New Roman"/>
          <w:b w:val="false"/>
          <w:i w:val="false"/>
          <w:color w:val="000000"/>
          <w:sz w:val="28"/>
        </w:rPr>
        <w:t>
      подъезд к селу Жанаталап протяженностью - 2,6 км.</w:t>
      </w:r>
    </w:p>
    <w:p>
      <w:pPr>
        <w:spacing w:after="0"/>
        <w:ind w:left="0"/>
        <w:jc w:val="both"/>
      </w:pPr>
      <w:r>
        <w:rPr>
          <w:rFonts w:ascii="Times New Roman"/>
          <w:b w:val="false"/>
          <w:i w:val="false"/>
          <w:color w:val="000000"/>
          <w:sz w:val="28"/>
        </w:rPr>
        <w:t>
      в Каргалинском районе:</w:t>
      </w:r>
    </w:p>
    <w:p>
      <w:pPr>
        <w:spacing w:after="0"/>
        <w:ind w:left="0"/>
        <w:jc w:val="both"/>
      </w:pPr>
      <w:r>
        <w:rPr>
          <w:rFonts w:ascii="Times New Roman"/>
          <w:b w:val="false"/>
          <w:i w:val="false"/>
          <w:color w:val="000000"/>
          <w:sz w:val="28"/>
        </w:rPr>
        <w:t>
      "Кос-Истек - Тайкеткен - Бадамша" протяженностью - 3 км;</w:t>
      </w:r>
    </w:p>
    <w:p>
      <w:pPr>
        <w:spacing w:after="0"/>
        <w:ind w:left="0"/>
        <w:jc w:val="both"/>
      </w:pPr>
      <w:r>
        <w:rPr>
          <w:rFonts w:ascii="Times New Roman"/>
          <w:b w:val="false"/>
          <w:i w:val="false"/>
          <w:color w:val="000000"/>
          <w:sz w:val="28"/>
        </w:rPr>
        <w:t>
      "Донское - Бадамша - Кайракты - "Актобе - Орск" протяженностью - 9 км;</w:t>
      </w:r>
    </w:p>
    <w:p>
      <w:pPr>
        <w:spacing w:after="0"/>
        <w:ind w:left="0"/>
        <w:jc w:val="both"/>
      </w:pPr>
      <w:r>
        <w:rPr>
          <w:rFonts w:ascii="Times New Roman"/>
          <w:b w:val="false"/>
          <w:i w:val="false"/>
          <w:color w:val="000000"/>
          <w:sz w:val="28"/>
        </w:rPr>
        <w:t>
      "Бородиновка - Степной" протяженностью - 4 км;</w:t>
      </w:r>
    </w:p>
    <w:p>
      <w:pPr>
        <w:spacing w:after="0"/>
        <w:ind w:left="0"/>
        <w:jc w:val="both"/>
      </w:pPr>
      <w:r>
        <w:rPr>
          <w:rFonts w:ascii="Times New Roman"/>
          <w:b w:val="false"/>
          <w:i w:val="false"/>
          <w:color w:val="000000"/>
          <w:sz w:val="28"/>
        </w:rPr>
        <w:t>
      "Актобе - Орск" - Анастасьевна - Ащелисай протяженностью - 8 км;</w:t>
      </w:r>
    </w:p>
    <w:p>
      <w:pPr>
        <w:spacing w:after="0"/>
        <w:ind w:left="0"/>
        <w:jc w:val="both"/>
      </w:pPr>
      <w:r>
        <w:rPr>
          <w:rFonts w:ascii="Times New Roman"/>
          <w:b w:val="false"/>
          <w:i w:val="false"/>
          <w:color w:val="000000"/>
          <w:sz w:val="28"/>
        </w:rPr>
        <w:t>
      "Актобе - Орск" - Сарыбулак - Херсон - Велиховка протяженностью - 10 км;</w:t>
      </w:r>
    </w:p>
    <w:p>
      <w:pPr>
        <w:spacing w:after="0"/>
        <w:ind w:left="0"/>
        <w:jc w:val="both"/>
      </w:pPr>
      <w:r>
        <w:rPr>
          <w:rFonts w:ascii="Times New Roman"/>
          <w:b w:val="false"/>
          <w:i w:val="false"/>
          <w:color w:val="000000"/>
          <w:sz w:val="28"/>
        </w:rPr>
        <w:t>
      "Степной - Мамыт" протяженностью - 2,5 км;</w:t>
      </w:r>
    </w:p>
    <w:p>
      <w:pPr>
        <w:spacing w:after="0"/>
        <w:ind w:left="0"/>
        <w:jc w:val="both"/>
      </w:pPr>
      <w:r>
        <w:rPr>
          <w:rFonts w:ascii="Times New Roman"/>
          <w:b w:val="false"/>
          <w:i w:val="false"/>
          <w:color w:val="000000"/>
          <w:sz w:val="28"/>
        </w:rPr>
        <w:t>
      "Степной - Первомайское" протяженностью - 6,5 км.</w:t>
      </w:r>
    </w:p>
    <w:p>
      <w:pPr>
        <w:spacing w:after="0"/>
        <w:ind w:left="0"/>
        <w:jc w:val="both"/>
      </w:pPr>
      <w:r>
        <w:rPr>
          <w:rFonts w:ascii="Times New Roman"/>
          <w:b w:val="false"/>
          <w:i w:val="false"/>
          <w:color w:val="000000"/>
          <w:sz w:val="28"/>
        </w:rPr>
        <w:t>
      в Мугалжарском районе:</w:t>
      </w:r>
    </w:p>
    <w:p>
      <w:pPr>
        <w:spacing w:after="0"/>
        <w:ind w:left="0"/>
        <w:jc w:val="both"/>
      </w:pPr>
      <w:r>
        <w:rPr>
          <w:rFonts w:ascii="Times New Roman"/>
          <w:b w:val="false"/>
          <w:i w:val="false"/>
          <w:color w:val="000000"/>
          <w:sz w:val="28"/>
        </w:rPr>
        <w:t>
      "Сагашили - Сергеевка" протяженностью - 12 км;</w:t>
      </w:r>
    </w:p>
    <w:p>
      <w:pPr>
        <w:spacing w:after="0"/>
        <w:ind w:left="0"/>
        <w:jc w:val="both"/>
      </w:pPr>
      <w:r>
        <w:rPr>
          <w:rFonts w:ascii="Times New Roman"/>
          <w:b w:val="false"/>
          <w:i w:val="false"/>
          <w:color w:val="000000"/>
          <w:sz w:val="28"/>
        </w:rPr>
        <w:t>
      "Аккемер - Котибар батыр" протяженностью - 8 км.</w:t>
      </w:r>
    </w:p>
    <w:p>
      <w:pPr>
        <w:spacing w:after="0"/>
        <w:ind w:left="0"/>
        <w:jc w:val="both"/>
      </w:pPr>
      <w:r>
        <w:rPr>
          <w:rFonts w:ascii="Times New Roman"/>
          <w:b w:val="false"/>
          <w:i w:val="false"/>
          <w:color w:val="000000"/>
          <w:sz w:val="28"/>
        </w:rPr>
        <w:t>
      в Мартукском районе:</w:t>
      </w:r>
    </w:p>
    <w:p>
      <w:pPr>
        <w:spacing w:after="0"/>
        <w:ind w:left="0"/>
        <w:jc w:val="both"/>
      </w:pPr>
      <w:r>
        <w:rPr>
          <w:rFonts w:ascii="Times New Roman"/>
          <w:b w:val="false"/>
          <w:i w:val="false"/>
          <w:color w:val="000000"/>
          <w:sz w:val="28"/>
        </w:rPr>
        <w:t>
      "Мартук - Дмитриевка - Полтавка" протяженностью - 16 км;</w:t>
      </w:r>
    </w:p>
    <w:p>
      <w:pPr>
        <w:spacing w:after="0"/>
        <w:ind w:left="0"/>
        <w:jc w:val="both"/>
      </w:pPr>
      <w:r>
        <w:rPr>
          <w:rFonts w:ascii="Times New Roman"/>
          <w:b w:val="false"/>
          <w:i w:val="false"/>
          <w:color w:val="000000"/>
          <w:sz w:val="28"/>
        </w:rPr>
        <w:t>
      "Вознесеновка - Рыбаковка - Мартук - Полтавка" протяженностью - 18 км;</w:t>
      </w:r>
    </w:p>
    <w:p>
      <w:pPr>
        <w:spacing w:after="0"/>
        <w:ind w:left="0"/>
        <w:jc w:val="both"/>
      </w:pPr>
      <w:r>
        <w:rPr>
          <w:rFonts w:ascii="Times New Roman"/>
          <w:b w:val="false"/>
          <w:i w:val="false"/>
          <w:color w:val="000000"/>
          <w:sz w:val="28"/>
        </w:rPr>
        <w:t>
      подъезд к селу Каратогай протяженностью - 0,5 км;</w:t>
      </w:r>
    </w:p>
    <w:p>
      <w:pPr>
        <w:spacing w:after="0"/>
        <w:ind w:left="0"/>
        <w:jc w:val="both"/>
      </w:pPr>
      <w:r>
        <w:rPr>
          <w:rFonts w:ascii="Times New Roman"/>
          <w:b w:val="false"/>
          <w:i w:val="false"/>
          <w:color w:val="000000"/>
          <w:sz w:val="28"/>
        </w:rPr>
        <w:t xml:space="preserve">
      подъезд к селу Степановка протяженностью - 13 км. </w:t>
      </w:r>
    </w:p>
    <w:p>
      <w:pPr>
        <w:spacing w:after="0"/>
        <w:ind w:left="0"/>
        <w:jc w:val="both"/>
      </w:pPr>
      <w:r>
        <w:rPr>
          <w:rFonts w:ascii="Times New Roman"/>
          <w:b w:val="false"/>
          <w:i w:val="false"/>
          <w:color w:val="000000"/>
          <w:sz w:val="28"/>
        </w:rPr>
        <w:t>
      в Хромтауском районе:</w:t>
      </w:r>
    </w:p>
    <w:p>
      <w:pPr>
        <w:spacing w:after="0"/>
        <w:ind w:left="0"/>
        <w:jc w:val="both"/>
      </w:pPr>
      <w:r>
        <w:rPr>
          <w:rFonts w:ascii="Times New Roman"/>
          <w:b w:val="false"/>
          <w:i w:val="false"/>
          <w:color w:val="000000"/>
          <w:sz w:val="28"/>
        </w:rPr>
        <w:t>
      "Дон-Сарсай" протяженностью - 8 км;</w:t>
      </w:r>
    </w:p>
    <w:p>
      <w:pPr>
        <w:spacing w:after="0"/>
        <w:ind w:left="0"/>
        <w:jc w:val="both"/>
      </w:pPr>
      <w:r>
        <w:rPr>
          <w:rFonts w:ascii="Times New Roman"/>
          <w:b w:val="false"/>
          <w:i w:val="false"/>
          <w:color w:val="000000"/>
          <w:sz w:val="28"/>
        </w:rPr>
        <w:t>
      подъезд к селу Тассай протяженностью - 12 км;</w:t>
      </w:r>
    </w:p>
    <w:p>
      <w:pPr>
        <w:spacing w:after="0"/>
        <w:ind w:left="0"/>
        <w:jc w:val="both"/>
      </w:pPr>
      <w:r>
        <w:rPr>
          <w:rFonts w:ascii="Times New Roman"/>
          <w:b w:val="false"/>
          <w:i w:val="false"/>
          <w:color w:val="000000"/>
          <w:sz w:val="28"/>
        </w:rPr>
        <w:t>
      подъезд к селу Абай протяженностью - 1,2 км.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bookmarkStart w:name="z44" w:id="30"/>
    <w:p>
      <w:pPr>
        <w:spacing w:after="0"/>
        <w:ind w:left="0"/>
        <w:jc w:val="left"/>
      </w:pPr>
      <w:r>
        <w:rPr>
          <w:rFonts w:ascii="Times New Roman"/>
          <w:b/>
          <w:i w:val="false"/>
          <w:color w:val="000000"/>
        </w:rPr>
        <w:t xml:space="preserve"> Основные технико-экономические показатели Межрегиональной схемы территориального развития Актюбинской агломерации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833"/>
        <w:gridCol w:w="1224"/>
        <w:gridCol w:w="2302"/>
        <w:gridCol w:w="2676"/>
        <w:gridCol w:w="2676"/>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срок</w:t>
            </w:r>
            <w:r>
              <w:br/>
            </w:r>
            <w:r>
              <w:rPr>
                <w:rFonts w:ascii="Times New Roman"/>
                <w:b w:val="false"/>
                <w:i w:val="false"/>
                <w:color w:val="000000"/>
                <w:sz w:val="20"/>
              </w:rPr>
              <w:t>2020 год</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r>
              <w:br/>
            </w:r>
            <w:r>
              <w:rPr>
                <w:rFonts w:ascii="Times New Roman"/>
                <w:b w:val="false"/>
                <w:i w:val="false"/>
                <w:color w:val="000000"/>
                <w:sz w:val="20"/>
              </w:rPr>
              <w:t>2030 год</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формирования агломерационных процессов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экономического влияния агломерации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2253,68/65,7 %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2353,68/68,5 %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2514,93/73,2 %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из них: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587,82/17,1 %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590,45/17,2%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594,05/17,3 %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городских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территорий, земли оздоровительного, рекреационного и историко-культурного назначения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217,57/6,4 %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217,57/6,4 %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43,3/1,2 %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45,05/1,3 %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6,67/0,2 %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296,1/8,6 %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191,73/5,6 %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r>
              <w:rPr>
                <w:rFonts w:ascii="Times New Roman"/>
                <w:b w:val="false"/>
                <w:i w:val="false"/>
                <w:color w:val="000000"/>
                <w:vertAlign w:val="superscript"/>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городского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495,1/78,1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543,7/78,1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783,7/78,4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сельского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138,9/21,9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152,3/21,9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216,3/21,6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родившихся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прибывших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выбывших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/убыль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 городов,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(с расчетной численностью свыше 500,0 тыс. чел.)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(с расчетной численностью населения от 100,0 до 500,0 тыс чел.)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(с расчетной численностью населения от 50,0 до 100,0 тыс.чел.)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(с расчетной численностью населения до 50,0 тыс.чел.)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чел./100 км</w:t>
            </w:r>
            <w:r>
              <w:rPr>
                <w:rFonts w:ascii="Times New Roman"/>
                <w:b w:val="false"/>
                <w:i w:val="false"/>
                <w:color w:val="000000"/>
                <w:vertAlign w:val="superscript"/>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сельского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общей численности населения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206,7/29,7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277,0/27,7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 (мужчины 16-62 лет, женщины 16-57 лет)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408,3/64,4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409,3/58,8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581,1/58,1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занятого населения -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 по видам экономической деятельности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численности занятого населения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70,3/19,9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77,7/19,9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112,5/19,9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сельское хозяйство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образование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47,0/13,3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51,9/13,3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75,2/13,3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здравоохранение и социальные услуги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168,4/47,7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186,2/47,7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269,5/47,7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потенциал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промышленного производства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2614,17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продукции сельского хозяйства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2</w:t>
            </w:r>
            <w:r>
              <w:rPr>
                <w:rFonts w:ascii="Times New Roman"/>
                <w:b w:val="false"/>
                <w:i w:val="false"/>
                <w:color w:val="000000"/>
                <w:sz w:val="20"/>
              </w:rPr>
              <w:t xml:space="preserve"> общей площади,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14243/100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26015/100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9794/82,7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11794/82,7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21541/82,7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2030/17,3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2450/17,3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4475/17,3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общей площадью жилья: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городских населенных пунктах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Высшие учебные заведения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единиц/студентов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3.01-101-2013 "Градостроительство. Планировка и застройка городских и сельских населенных пунктов"</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дошкольного, начального и среднего профессионального образования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технического и профессионального образования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единиц/учащихся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СП РК 3.01-101-2013 "Градостроительство. Планировка и застройка городских и сельских населенных пунктов"</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общеобразовательные школы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единиц/тысяч 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культуры и искусства: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единиц/тыс.томов</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98/3425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клубного типа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80/11496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(больницы, поликлиники, родильные дома, фельдшерско-акушерские пункты и т.п.):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стационарную помощь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оказывающие амбулаторно-поликлиническую помощь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санаторно-курортного назначения, отдыха и туризма (санатории, пансионаты, дома отдыха, лагеря и др.)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койко-мест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заданию на проектирование, согласно приложению В "Нормы расчета учреждений и предприятий обслуживания и размеры их земельных участков" СП РК 3.01-101-2013 "Градостроительство. Планировка и застройка городских и сельских населенных пунктов"</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социального обеспечения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Медико-социальные учреждения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медико-социальные учреждения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для детей стационарного и полустационарного типов (в том числе с психоневрологическими патологиями и нарушением опорно-двигательного аппарата)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единиц/мест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 общего пользования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 метры площади пола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общего пользования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метры зеркала воды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инфраструктура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железнодорожных путей сообщения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судоходных речных путей с гарантированными глубинами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значения (международного 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нефтепроводов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транспортной сети: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w:t>
            </w:r>
            <w:r>
              <w:rPr>
                <w:rFonts w:ascii="Times New Roman"/>
                <w:b w:val="false"/>
                <w:i w:val="false"/>
                <w:color w:val="000000"/>
                <w:vertAlign w:val="superscript"/>
              </w:rPr>
              <w:t>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значения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инфраструктура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подземных источников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поверхностных источников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/cyт.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промышленные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сельскохозяйственные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431,72</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Среднесуточное водопотребление на 1 чел.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 на чел.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водные объекты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всего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электростанции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атомные электростанции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кВт/час</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электропередачи напряжением 35 кВ и выше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Гкал/ч</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млн.Гкал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потребность:</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нужды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и телевидение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пользователей Интернет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цифровым эфирным телевизионным вещанием</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населения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природы и рациональное природопользование</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городов с высоким уровнем загрязнения природной среды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валовых выбросов загрязняющих веществ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от общего объема ТБО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установленных значений нормативов сбросов загрязняющих веществ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государственного лесного фонда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особо охраняемых природных территорий к общей площади региона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пожарного депо</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депо/автомобилей</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численность населения на 1 июля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 xml:space="preserve"> Актюбинской агломерации</w:t>
            </w:r>
          </w:p>
        </w:tc>
      </w:tr>
    </w:tbl>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Межрегиональной схеме</w:t>
            </w:r>
            <w:r>
              <w:br/>
            </w:r>
            <w:r>
              <w:rPr>
                <w:rFonts w:ascii="Times New Roman"/>
                <w:b w:val="false"/>
                <w:i w:val="false"/>
                <w:color w:val="000000"/>
                <w:sz w:val="20"/>
              </w:rPr>
              <w:t>территориального развития</w:t>
            </w:r>
            <w:r>
              <w:br/>
            </w:r>
            <w:r>
              <w:rPr>
                <w:rFonts w:ascii="Times New Roman"/>
                <w:b w:val="false"/>
                <w:i w:val="false"/>
                <w:color w:val="000000"/>
                <w:sz w:val="20"/>
              </w:rPr>
              <w:t>Актюбинской агломерации</w:t>
            </w:r>
          </w:p>
        </w:tc>
      </w:tr>
    </w:tbl>
    <w:bookmarkStart w:name="z45" w:id="31"/>
    <w:p>
      <w:pPr>
        <w:spacing w:after="0"/>
        <w:ind w:left="0"/>
        <w:jc w:val="left"/>
      </w:pPr>
      <w:r>
        <w:rPr>
          <w:rFonts w:ascii="Times New Roman"/>
          <w:b/>
          <w:i w:val="false"/>
          <w:color w:val="000000"/>
        </w:rPr>
        <w:t xml:space="preserve"> Перечень населенных пунктов, вошедших в зону Актюбинской агломерации, и прогноз численности населения Актюбинской агломерации до 2030 года в разрезе населенных пунктов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828"/>
        <w:gridCol w:w="958"/>
        <w:gridCol w:w="1054"/>
        <w:gridCol w:w="3129"/>
        <w:gridCol w:w="1969"/>
        <w:gridCol w:w="2261"/>
      </w:tblGrid>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 2017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численность населения,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городская администрация (далее -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457531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с.Кенеса Нокина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с.Акшат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с.Белогорка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с.Белогорский карьер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с.Беккул баба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 жар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с.Пригородное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с.Садовое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с.Украинка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с.Ольке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Благодарный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с.Шилисай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с.Каргалинское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с.Магаджан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Курайлинский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с.Курайлы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Курайлинский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с.Георгиевка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Курайлинский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Курайлинский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рзд.39</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Курайлинский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с.Орлеу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с.Жанаконыс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с.Курашасай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г.а.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с.Сазды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Алгинская г.а.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г.Алга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Бескоспинский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с.Есет батыр Кокиулы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с.Бестамак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с.Бескоспа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с.Каракудык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с.Коктогай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с.Тиккайын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с.Ушкудык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с.Жеруйык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с.Аксазды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с.Самбай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с.Нурбулак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Карахобдинский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с.Карахобда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Карахобдинский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с.Ерназар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Маржанбулакский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с.Маржанбулак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Маржанбулакский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с.Кайындысай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с.Сарыхобда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с.Еркинкуш</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с.Бадамша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сАщылысай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с.Преображеновка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сАкколь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с.Велиховка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с.Петропавловка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с.Шамши Калдаяков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с.Жосалы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с.Кемпирсай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с.Карабутак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Кос-Истекский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с.Кос-Истек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с.Степное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с.Кайракты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с.Кобда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с.Бестау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с.Талдысай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им. Билтабанова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с.Имангали Билтабанов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им. Билтабанова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с.Косоткель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им. Билтабанова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с.Байтак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с.Жанаталап</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Терисакканский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с.Терисаккан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с.Мартук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с.Казан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с.Байторысай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с.Дмитриевка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с.Покровка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с.Полтавка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Хазретовский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с.Хазретовка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Хазретовский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с.Жездибай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Жайсан (Яйсан)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с.Жанатан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с.Кокпекти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с.Каратогай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с.Каратаусай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с.Саржансай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Танирберген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с.Кенсахара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Вознесеновка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с.Веренка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с.Первомайка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с.Жанажол</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Аккудыкский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с.Карабулак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с.Родниковка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Сарыжарский (Хлебодаровский)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с.Сарыжар (Хлебодаровка)</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Кандыагашская г.а.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г.Кандыагаш</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с.Аккемер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с.Коктобе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с.Котибар батыр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с.Басшили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с.Сагашили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ст.Темир-мост</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г.Хромтау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г.Хромтау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с.Жарбутак</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с.Дон</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с.Онгар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Кызылсуский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с.Акжар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ст.Жазык (Просторная)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Никельтауский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с.Никельтау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с.Тассай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Тассайский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с.Кокпекти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Актюбинской агломерации</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696790</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