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63a0" w14:textId="9d16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2018 года № 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147)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"147) утверждение правил осуществления организацией, специализирующейся на улучшении качества кредитных портфелей банков второго уровня, видов деятельности, а также требований к приобретаемым (приобретенным) ею активам и правам требования;".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