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5961" w14:textId="ba85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Устава Гаагской конференции по международному частному праву"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2017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Устава Гаагской конференции по международному частному праву".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Устава Гаагской конференции по международному частному праву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Устав Гаагской конференции по международному частному праву, совершенный в Гааге 15 июля 1955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ГААГСКОЙ КОНФЕРЕНЦИИ ПО МЕЖДУНАРОДНОМУ</w:t>
      </w:r>
      <w:r>
        <w:br/>
      </w:r>
      <w:r>
        <w:rPr>
          <w:rFonts w:ascii="Times New Roman"/>
          <w:b/>
          <w:i w:val="false"/>
          <w:color w:val="000000"/>
        </w:rPr>
        <w:t>ЧАСТНОМУ ПРАВУ</w:t>
      </w:r>
      <w:r>
        <w:br/>
      </w:r>
      <w:r>
        <w:rPr>
          <w:rFonts w:ascii="Times New Roman"/>
          <w:b/>
          <w:i w:val="false"/>
          <w:color w:val="000000"/>
        </w:rPr>
        <w:t>(Вступление в силу 15 июля 1955)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нижеуказанных стран: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Федеративной Республики Германии, Австрии, Бельгии, Дании, Испании, Финляндии, Франции, Италии, Японии, Люксембурга, Норвегии, Нидерландов, Португалии, Соединенного Королевства Великобритании и Северной Ирландии, Швеции и Швейцарии,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постоянный характер Гаагской конференции по международному частному праву,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усилить этот характер,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считая с этой целью целесообразным обеспечить Конференцию Уставом,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нижеследующих положениях: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Гаагской конференции по международному частному праву является стремление к прогрессивной унификации норм международного частного права.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Членами Гаагской конференции по международному частному праву являются государства, которые уже принимали участие в одной или нескольких сессиях Конференции и которые принимают настоящий Устав.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Любое другое государство, участие которого является с юридической точки зрения важным для работы Конференции, может стать членом организации. Прием новых государств-членов решается правительствами участвующих государств, по предложению одного или нескольких из них, большинством голосов, в течение шестимесячного периода с даты, когда такое предложение представлено правительствам.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Прием в члены вступает в силу с момента принятия настоящего Устава заинтересованным государством.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Государства-члены Конференции на заседании по вопросам общих дел и политики, где присутствует большинство государств - членов, могут вынести решение большинством поданных голосов о принятии в качестве Члена любую региональную организацию по вопросам экономической интеграции, которая представила Генеральному Секретарю заявление на членство. Ссылки на членов в соответствии с настоящим Уставом включают такие организации-члены, если иное прямо не предусмотрено. Прием в члены вступает в силу с момента принятия Устава заинтересованной региональной организацией по вопросам экономической интеграции.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Чтобы иметь право подать заявление на членство в Конференцию, региональная организация по вопросам экономической интеграции должна состоять из исключительно суверенных государств, и ей должны быть переданы ее государствами-членами полномочия по ряду вопросов, входящих в компетенцию Конференции, включая право принимать решения, налагающие обязательства на ее государства-члены в отношении этих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Каждая региональная организация по вопросам экономической интеграции, подающая заявление на членство, должна во время подачи такого заявления, подать заявление о компетенции, с указанием вопросов, в отношении которых ей переданы полномочия ее государствами-членами.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Каждая организация-член и ее государства-члены обеспечивают, что любые изменения в части компетенции члена-организации или ее членства сообщаются Генеральному Секретарю, который распространяет такую информацию другим членам 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Государства-члены организации считаются сохранившими компетентность по всем вопросам, в отношении которых о передаче полномочий не было определенно заявлено или уведомлено.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Любой член Конференции может запросить от организации-члена или ее государств-членов предоставление информации о том, обладает ли организация-член полномочиями в отношении любого конкретного вопроса, который стоит перед Конференцией. Организация-член и ее государства-члены обеспечивают, что такая информация предоставляется по такому запросу.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Организация-член осуществляет права      членства на альтернативной основе со своими государствами-членами, которые являются членами Конференции, в областях своей соответствующей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Организация-член может использовать по вопросам, относящимся к ее полномочиям, в любых заседаниях Конференции, в которых она вправе участвовать, число голосов равных количеству ее государств-членов, которые передали полномочия организации-члену в отношении рассматриваемого вопроса, и которые имеют право голосовать в и зарегистрированы на такие заседания. Всякий раз, когда организация - член использует свое право голоса, ее государства-члены не осуществляют их, и наоборот.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"Региональная организация по вопросам экономической интеграции" означает международную организацию, которая состоит исключительно из суверенных государств и которой ее государства-члены передали свои полномочия по ряду вопросов, включая право принимать решения, налагающие обязательства на ее государства-члены в отношении этих вопросов.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Совет по общим делам и политике (далее - "Совет"), состоящий из всех членов, отвечает за работу Конференции. Заседания Совета, в основном, проводятся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Совет обеспечивает такую работу через Постоянное бюро, деятельностью которого он руководит.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Совет рассматривает все предложения, предназначенные для включения в повестку Конференции. Он вправе определять меры, которые необходимо принять в связи с такими предложениями.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Нидерландский постоянный правительственный комитет, учрежденный Королевским Указом от 20 февраля 1897 года, с целью содействия кодификации международного частного права, после консультации с членами конференции определяет дату дипломатических сессий.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Постоянный правительственный комитет обращается к правительству Нидерландов для созыва членов. Председатель Постоянного правительственного комитета председательствует на сессиях 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Очередные сессии конференции проводятся, в основном, каждые четыре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необходимости Совет может, после консультаций с Постоянным правительственным комитетом, просить Правительство Нидерландов созвать конференцию на внеочередную сессию.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Совет может консультировать Постоянный правительственный комитет по любым другим вопросам, относящимся к работе Конференции.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Постоянное бюро проводит свои заседания в Гааге. Оно состоит из Генерального секретаря и четырех секретарей, которые назначаются Правительством Нидерландов по представлению Постоянной правительственной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Генеральный секретарь и секретари должны обладать соответствующими юридическими знаниями и практическим опытом. При их назначении также учитывается разнообразие географического представительства и правовой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Количество секретарей может быть увеличено после консультации с Советом и в соответствии со статьей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руководством Совета, Постоянное бюро отвечает за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подготовку и организацию сессий Гаагской конференции, а также заседаний Совета и любых специальных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работу Секретариата на сессиях и заседаниях, предусмотренных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все задания, которые включены в деятельность Секретариата.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 целью содействия взаимодействию между членами конференции и Постоянным бюро, правительство каждого из государств- членов назначает национальный орган, и каждая организация-член - контактный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Постоянное бюро может вести переписку со всеми назначенными органами и с компетентными международными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 сессиях и в интервале между заседаниями Совет может создавать специальные комиссии для подготовки проектов конвенций или для изучения всех вопросов международного частного права, которые подпадают под цель 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 сессиях, Совет и специальные комиссии в максимально возможной степени действуют на основе консенсуса.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Предусмотренные в бюджете расходы Конференции подлежат распределению среди государств-членов 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Организация-член не обязана вносить взносы в дополнение к ее государствам-членам в годовой бюджет Конференции, но выплачивает сумму, определяемую Конференцией в консультации с организацией-членом, для покрытия дополнительных административных расходов, вытекающих из ее членства.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любом случае, расходы на транспорт и проживание делегатов Совета и специальных комиссий оплачиваются представляемыми членами.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Бюджет Конференции ежегодно представляется для утверждения Совету дипломатических представителей государств-членов в Гааге.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Эти представители также распределяют между государствами- членами расходы, которые взимаются в бюджет последнего.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Дипломатические представители должны встречаться для таких целей под председательством Министра иностранных дел Королевства Нидерландов.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Расходы, понесенные в результате проведения очередных и внеочередных сессий Конференции, покрываются Правительством Нидерландов.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любом случае, расходы на транспорт и проживание делегатов оплачиваются соответствующими членами.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Обычные практики проведения Конференции соблюдаются по всем вопросам, если это не противоречит настоящему Уставу или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Поправки к Уставу должны быть приняты на основе консенсуса государств-членов, присутствующих на заседании касательно общих дел и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Такие поправки вступают в силу для всех членов через три месяца после их одобрения двумя третями государств-членов в соответствии с их внутригосударственными процедурами, но не ранее чем через девять месяцев со дня их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Заседание, упомянутое в пункте 1, может путем консенсуса изменить временные периоды, указанные в пункте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его исполнения, положения настоящего Устава будут дополнены Регламентом. Регламент устанавливается Постоянным бюро и представляется для утверждения дипломатической сессии, Совету дипломатических представителей или Совету по общим делам и политике.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Устав представляется на утверждение правительствам государств, которые участвовали в одной или нескольких сессиях Конференции. Он вступает в силу, как только будет принят большинством государств, представленных на седьмой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Заявление о принятии сдается на хранение Правительству Нидерландов, которое оповещает об этом правительства, упомянутые в пункте 1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Нидерландское Правительство обязуется, в случае принятия нового члена, информировать всех членов о заявлении о принятии нового члена.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Каждый участник может денонсировать настоящий Устав после истечения пяти лет со дня его вступления в силу согласно положениям пункта 1 статьи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Уведомление о денонсации должно быть передано Министерству иностранных дел Королевства Нидерландов, по крайней мере, за шесть месяцев до истечения бюджетного года Конференции, и вступает в силу по истечении указанного года, но только в отношении государства-члена, которое сделало соответствующее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Английский и французский тексты настоящего Устава, с поправками от 1 января 2007 года, являются равно аутентичными.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