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f8c0" w14:textId="d50f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Государственной программы развития агропромышленного комплекса Республики Казахстан на 2017 - 2021 годы и внесении изменения 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2016 года № 894.</w:t>
      </w:r>
    </w:p>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p>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"Об утверждении Государственной программы развития агропромышленного комплекса Республики Казахстан на 2017 – 2021 годы и внесении изменения и дополнения в Указ Президента Республики Казахстан от 19 марта 2010 года № 957 "Об утверждении Перечня государственных программ".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1. Утвердить прилагаемую Государственную программу развития агропромышленного комплекса Республики Казахстан на 2017 – 2021 годы (далее – Программа).</w:t>
      </w:r>
    </w:p>
    <w:p>
      <w:pPr>
        <w:spacing w:after="0"/>
        <w:ind w:left="0"/>
        <w:jc w:val="both"/>
      </w:pPr>
      <w:r>
        <w:rPr>
          <w:rFonts w:ascii="Times New Roman"/>
          <w:b w:val="false"/>
          <w:i w:val="false"/>
          <w:color w:val="000000"/>
          <w:sz w:val="28"/>
        </w:rPr>
        <w:t>
      2. Правительству Республики Казахстан:</w:t>
      </w:r>
    </w:p>
    <w:p>
      <w:pPr>
        <w:spacing w:after="0"/>
        <w:ind w:left="0"/>
        <w:jc w:val="both"/>
      </w:pPr>
      <w:r>
        <w:rPr>
          <w:rFonts w:ascii="Times New Roman"/>
          <w:b w:val="false"/>
          <w:i w:val="false"/>
          <w:color w:val="000000"/>
          <w:sz w:val="28"/>
        </w:rPr>
        <w:t>
      1) в месячный срок разработать и утвердить План мероприятий по реализации Программы по согласованию с Администрацией Президента Республики Казахстан;</w:t>
      </w:r>
    </w:p>
    <w:p>
      <w:pPr>
        <w:spacing w:after="0"/>
        <w:ind w:left="0"/>
        <w:jc w:val="both"/>
      </w:pPr>
      <w:r>
        <w:rPr>
          <w:rFonts w:ascii="Times New Roman"/>
          <w:b w:val="false"/>
          <w:i w:val="false"/>
          <w:color w:val="000000"/>
          <w:sz w:val="28"/>
        </w:rPr>
        <w:t>
      2) представлять в Администрацию Президента Республики Казахстан информацию о ходе исполнения Программы в сроки и порядке, установленные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957 "Об утверждении Перечня государственных программ" (САПП Республики Казахстан, 2010 г., № 25-26, ст. 185) следующее изменение и дополнение:</w:t>
      </w:r>
    </w:p>
    <w:p>
      <w:pPr>
        <w:spacing w:after="0"/>
        <w:ind w:left="0"/>
        <w:jc w:val="both"/>
      </w:pPr>
      <w:r>
        <w:rPr>
          <w:rFonts w:ascii="Times New Roman"/>
          <w:b w:val="false"/>
          <w:i w:val="false"/>
          <w:color w:val="000000"/>
          <w:sz w:val="28"/>
        </w:rPr>
        <w:t>
      в Перечне государственных программ, утвержденном вышеназванным Указом:</w:t>
      </w:r>
    </w:p>
    <w:p>
      <w:pPr>
        <w:spacing w:after="0"/>
        <w:ind w:left="0"/>
        <w:jc w:val="both"/>
      </w:pPr>
      <w:r>
        <w:rPr>
          <w:rFonts w:ascii="Times New Roman"/>
          <w:b w:val="false"/>
          <w:i w:val="false"/>
          <w:color w:val="000000"/>
          <w:sz w:val="28"/>
        </w:rPr>
        <w:t>
      строку, порядковый номер 8, исключить;</w:t>
      </w:r>
    </w:p>
    <w:p>
      <w:pPr>
        <w:spacing w:after="0"/>
        <w:ind w:left="0"/>
        <w:jc w:val="both"/>
      </w:pPr>
      <w:r>
        <w:rPr>
          <w:rFonts w:ascii="Times New Roman"/>
          <w:b w:val="false"/>
          <w:i w:val="false"/>
          <w:color w:val="000000"/>
          <w:sz w:val="28"/>
        </w:rPr>
        <w:t>
      дополнить строкой, порядковый номер 9,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
        <w:gridCol w:w="645"/>
        <w:gridCol w:w="3911"/>
        <w:gridCol w:w="785"/>
        <w:gridCol w:w="1483"/>
        <w:gridCol w:w="2789"/>
        <w:gridCol w:w="2464"/>
        <w:gridCol w:w="112"/>
      </w:tblGrid>
      <w:tr>
        <w:trPr>
          <w:trHeight w:val="30" w:hRule="atLeast"/>
        </w:trPr>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агропромышленного комплекса Республики Казахстан на 2017-2021 годы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декабря</w:t>
            </w:r>
            <w:r>
              <w:br/>
            </w:r>
            <w:r>
              <w:rPr>
                <w:rFonts w:ascii="Times New Roman"/>
                <w:b w:val="false"/>
                <w:i w:val="false"/>
                <w:color w:val="000000"/>
                <w:sz w:val="20"/>
              </w:rPr>
              <w:t>2016 года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годы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2016 года</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апреля 2014 года № 786 "О Государственной программе управления водными ресурсами Казахстана и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2014 г., № 25, ст. 189).</w:t>
      </w:r>
    </w:p>
    <w:p>
      <w:pPr>
        <w:spacing w:after="0"/>
        <w:ind w:left="0"/>
        <w:jc w:val="both"/>
      </w:pPr>
      <w:r>
        <w:rPr>
          <w:rFonts w:ascii="Times New Roman"/>
          <w:b w:val="false"/>
          <w:i w:val="false"/>
          <w:color w:val="000000"/>
          <w:sz w:val="28"/>
        </w:rPr>
        <w:t>
      6. Контроль за исполнением настоящего Указа возложить на Администрацию Президента Республики Казахстан.</w:t>
      </w:r>
    </w:p>
    <w:p>
      <w:pPr>
        <w:spacing w:after="0"/>
        <w:ind w:left="0"/>
        <w:jc w:val="both"/>
      </w:pPr>
      <w:r>
        <w:rPr>
          <w:rFonts w:ascii="Times New Roman"/>
          <w:b w:val="false"/>
          <w:i w:val="false"/>
          <w:color w:val="000000"/>
          <w:sz w:val="28"/>
        </w:rPr>
        <w:t>
      7. Настоящий Указ вводится в действие со дня его подписания.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201 года №</w:t>
            </w:r>
          </w:p>
        </w:tc>
      </w:tr>
    </w:tbl>
    <w:p>
      <w:pPr>
        <w:spacing w:after="0"/>
        <w:ind w:left="0"/>
        <w:jc w:val="left"/>
      </w:pPr>
      <w:r>
        <w:rPr>
          <w:rFonts w:ascii="Times New Roman"/>
          <w:b/>
          <w:i w:val="false"/>
          <w:color w:val="000000"/>
        </w:rPr>
        <w:t xml:space="preserve"> Государственная</w:t>
      </w:r>
      <w:r>
        <w:br/>
      </w:r>
      <w:r>
        <w:rPr>
          <w:rFonts w:ascii="Times New Roman"/>
          <w:b/>
          <w:i w:val="false"/>
          <w:color w:val="000000"/>
        </w:rPr>
        <w:t xml:space="preserve">программа развития агропромышленного комплекса </w:t>
      </w:r>
      <w:r>
        <w:br/>
      </w:r>
      <w:r>
        <w:rPr>
          <w:rFonts w:ascii="Times New Roman"/>
          <w:b/>
          <w:i w:val="false"/>
          <w:color w:val="000000"/>
        </w:rPr>
        <w:t>Республики Казахстан на 2017 – 2021 годы</w:t>
      </w:r>
    </w:p>
    <w:p>
      <w:pPr>
        <w:spacing w:after="0"/>
        <w:ind w:left="0"/>
        <w:jc w:val="both"/>
      </w:pPr>
      <w:r>
        <w:rPr>
          <w:rFonts w:ascii="Times New Roman"/>
          <w:b w:val="false"/>
          <w:i w:val="false"/>
          <w:color w:val="000000"/>
          <w:sz w:val="28"/>
        </w:rPr>
        <w:t>
      г. Астана,</w:t>
      </w:r>
    </w:p>
    <w:p>
      <w:pPr>
        <w:spacing w:after="0"/>
        <w:ind w:left="0"/>
        <w:jc w:val="both"/>
      </w:pPr>
      <w:r>
        <w:rPr>
          <w:rFonts w:ascii="Times New Roman"/>
          <w:b w:val="false"/>
          <w:i w:val="false"/>
          <w:color w:val="000000"/>
          <w:sz w:val="28"/>
        </w:rPr>
        <w:t>
      2016 год</w:t>
      </w:r>
    </w:p>
    <w:p>
      <w:pPr>
        <w:spacing w:after="0"/>
        <w:ind w:left="0"/>
        <w:jc w:val="left"/>
      </w:pPr>
      <w:r>
        <w:rPr>
          <w:rFonts w:ascii="Times New Roman"/>
          <w:b/>
          <w:i w:val="false"/>
          <w:color w:val="000000"/>
        </w:rPr>
        <w:t xml:space="preserve"> 1.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1830"/>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агропромышленного комплекса Республики Казахстан на 2017-2021 годы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Поручение Президента Республики Казахстан, данное на расширенном заседании Правительства Республики Казахстан от 9 сентября 2016 года</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Ответственный </w:t>
            </w:r>
            <w:r>
              <w:br/>
            </w:r>
            <w:r>
              <w:rPr>
                <w:rFonts w:ascii="Times New Roman"/>
                <w:b w:val="false"/>
                <w:i w:val="false"/>
                <w:color w:val="000000"/>
                <w:sz w:val="20"/>
              </w:rPr>
              <w:t>
за разработку</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Ответственные </w:t>
            </w:r>
            <w:r>
              <w:br/>
            </w:r>
            <w:r>
              <w:rPr>
                <w:rFonts w:ascii="Times New Roman"/>
                <w:b w:val="false"/>
                <w:i w:val="false"/>
                <w:color w:val="000000"/>
                <w:sz w:val="20"/>
              </w:rPr>
              <w:t>
за реализацию</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 Министерство национальной экономики Республики Казахстан, Министерство финансов Республики Казахстан, Министерство по инвестициям и развитию Республики Казахстан, Министерство образования и науки Республики Казахстан, Министерство здравоохранения и социального развития Республики Казахстан, Министерство внутренних дел Республики Казахстан, Министерство энергетики Республики Казахстан, Министерство информации и коммуникаций Республики Казахстан, акиматы областей, городов Астаны и Алматы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цель</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производства востребованной на рынках конкурентоспособной продукции агропромышленного комплекса (далее – АПК)</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сельскохозяйственных кооперативов</w:t>
            </w:r>
            <w:r>
              <w:br/>
            </w:r>
            <w:r>
              <w:rPr>
                <w:rFonts w:ascii="Times New Roman"/>
                <w:b w:val="false"/>
                <w:i w:val="false"/>
                <w:color w:val="000000"/>
                <w:sz w:val="20"/>
              </w:rPr>
              <w:t>
2) насыщение внутреннего рынка отечественной продукцией</w:t>
            </w:r>
            <w:r>
              <w:br/>
            </w:r>
            <w:r>
              <w:rPr>
                <w:rFonts w:ascii="Times New Roman"/>
                <w:b w:val="false"/>
                <w:i w:val="false"/>
                <w:color w:val="000000"/>
                <w:sz w:val="20"/>
              </w:rPr>
              <w:t>
3) развитие экспортного потенциала</w:t>
            </w:r>
            <w:r>
              <w:br/>
            </w:r>
            <w:r>
              <w:rPr>
                <w:rFonts w:ascii="Times New Roman"/>
                <w:b w:val="false"/>
                <w:i w:val="false"/>
                <w:color w:val="000000"/>
                <w:sz w:val="20"/>
              </w:rPr>
              <w:t>
4) наращивание производства приоритетных видов растениеводческой продукции для насыщения внутреннего рынка, реализации экспортного потенциала и расширения кормовой базы для животноводства</w:t>
            </w:r>
            <w:r>
              <w:br/>
            </w:r>
            <w:r>
              <w:rPr>
                <w:rFonts w:ascii="Times New Roman"/>
                <w:b w:val="false"/>
                <w:i w:val="false"/>
                <w:color w:val="000000"/>
                <w:sz w:val="20"/>
              </w:rPr>
              <w:t>
5) наращивание производства приоритетных видов животноводческой продукции для увеличения их переработки и экспорта</w:t>
            </w:r>
            <w:r>
              <w:br/>
            </w:r>
            <w:r>
              <w:rPr>
                <w:rFonts w:ascii="Times New Roman"/>
                <w:b w:val="false"/>
                <w:i w:val="false"/>
                <w:color w:val="000000"/>
                <w:sz w:val="20"/>
              </w:rPr>
              <w:t>
6) увеличение объемов выращивания ценных видов рыб для насыщения внутреннего рынка</w:t>
            </w:r>
            <w:r>
              <w:br/>
            </w:r>
            <w:r>
              <w:rPr>
                <w:rFonts w:ascii="Times New Roman"/>
                <w:b w:val="false"/>
                <w:i w:val="false"/>
                <w:color w:val="000000"/>
                <w:sz w:val="20"/>
              </w:rPr>
              <w:t>
7) развитие отраслей переработки сельскохозяйственной продукции и пищевой промышленности</w:t>
            </w:r>
            <w:r>
              <w:br/>
            </w:r>
            <w:r>
              <w:rPr>
                <w:rFonts w:ascii="Times New Roman"/>
                <w:b w:val="false"/>
                <w:i w:val="false"/>
                <w:color w:val="000000"/>
                <w:sz w:val="20"/>
              </w:rPr>
              <w:t>
8) эффективное использование финансовых мер государственной поддержки.</w:t>
            </w:r>
            <w:r>
              <w:br/>
            </w:r>
            <w:r>
              <w:rPr>
                <w:rFonts w:ascii="Times New Roman"/>
                <w:b w:val="false"/>
                <w:i w:val="false"/>
                <w:color w:val="000000"/>
                <w:sz w:val="20"/>
              </w:rPr>
              <w:t>
9) эффективное использование водных ресурсов</w:t>
            </w:r>
            <w:r>
              <w:br/>
            </w:r>
            <w:r>
              <w:rPr>
                <w:rFonts w:ascii="Times New Roman"/>
                <w:b w:val="false"/>
                <w:i w:val="false"/>
                <w:color w:val="000000"/>
                <w:sz w:val="20"/>
              </w:rPr>
              <w:t>
10) эффективное использование земельных ресурсов</w:t>
            </w:r>
            <w:r>
              <w:br/>
            </w:r>
            <w:r>
              <w:rPr>
                <w:rFonts w:ascii="Times New Roman"/>
                <w:b w:val="false"/>
                <w:i w:val="false"/>
                <w:color w:val="000000"/>
                <w:sz w:val="20"/>
              </w:rPr>
              <w:t>
11) повышение уровня технической оснащенности</w:t>
            </w:r>
            <w:r>
              <w:br/>
            </w:r>
            <w:r>
              <w:rPr>
                <w:rFonts w:ascii="Times New Roman"/>
                <w:b w:val="false"/>
                <w:i w:val="false"/>
                <w:color w:val="000000"/>
                <w:sz w:val="20"/>
              </w:rPr>
              <w:t>
12) увеличение и расширение ассортимента производства удобрений, необходимых для сохранения и улучшения плодородия почв и повышения урожайности в растениеводстве</w:t>
            </w:r>
            <w:r>
              <w:br/>
            </w:r>
            <w:r>
              <w:rPr>
                <w:rFonts w:ascii="Times New Roman"/>
                <w:b w:val="false"/>
                <w:i w:val="false"/>
                <w:color w:val="000000"/>
                <w:sz w:val="20"/>
              </w:rPr>
              <w:t>
13) развитие торгово-логистической инфраструктуры</w:t>
            </w:r>
            <w:r>
              <w:br/>
            </w:r>
            <w:r>
              <w:rPr>
                <w:rFonts w:ascii="Times New Roman"/>
                <w:b w:val="false"/>
                <w:i w:val="false"/>
                <w:color w:val="000000"/>
                <w:sz w:val="20"/>
              </w:rPr>
              <w:t>
14) трансферт эффективных зарубежных технологий</w:t>
            </w:r>
            <w:r>
              <w:br/>
            </w:r>
            <w:r>
              <w:rPr>
                <w:rFonts w:ascii="Times New Roman"/>
                <w:b w:val="false"/>
                <w:i w:val="false"/>
                <w:color w:val="000000"/>
                <w:sz w:val="20"/>
              </w:rPr>
              <w:t>
15) информационно-маркетинговое обеспечение</w:t>
            </w:r>
            <w:r>
              <w:br/>
            </w:r>
            <w:r>
              <w:rPr>
                <w:rFonts w:ascii="Times New Roman"/>
                <w:b w:val="false"/>
                <w:i w:val="false"/>
                <w:color w:val="000000"/>
                <w:sz w:val="20"/>
              </w:rPr>
              <w:t>
16) научное и кадровое обеспечение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годы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в 2021 году следующих показателей:</w:t>
            </w:r>
            <w:r>
              <w:br/>
            </w:r>
            <w:r>
              <w:rPr>
                <w:rFonts w:ascii="Times New Roman"/>
                <w:b w:val="false"/>
                <w:i w:val="false"/>
                <w:color w:val="000000"/>
                <w:sz w:val="20"/>
              </w:rPr>
              <w:t>
1) рост производительности труда в сельском хозяйстве на 34% в реальном выражении к уровню 2015 года;</w:t>
            </w:r>
            <w:r>
              <w:br/>
            </w:r>
            <w:r>
              <w:rPr>
                <w:rFonts w:ascii="Times New Roman"/>
                <w:b w:val="false"/>
                <w:i w:val="false"/>
                <w:color w:val="000000"/>
                <w:sz w:val="20"/>
              </w:rPr>
              <w:t>
2) рост валовой продукции (услуг) сельского хозяйства на 30% в реальном выражении к уровню 2015 года;</w:t>
            </w:r>
            <w:r>
              <w:br/>
            </w:r>
            <w:r>
              <w:rPr>
                <w:rFonts w:ascii="Times New Roman"/>
                <w:b w:val="false"/>
                <w:i w:val="false"/>
                <w:color w:val="000000"/>
                <w:sz w:val="20"/>
              </w:rPr>
              <w:t>
3) рост производства продукции растениеводства на 33% в реальном выражении к уровню 2015 года;</w:t>
            </w:r>
            <w:r>
              <w:br/>
            </w:r>
            <w:r>
              <w:rPr>
                <w:rFonts w:ascii="Times New Roman"/>
                <w:b w:val="false"/>
                <w:i w:val="false"/>
                <w:color w:val="000000"/>
                <w:sz w:val="20"/>
              </w:rPr>
              <w:t>
4) рост производства продукции животноводства на 27% в реальном выражении к уровню 2015 года;</w:t>
            </w:r>
            <w:r>
              <w:br/>
            </w:r>
            <w:r>
              <w:rPr>
                <w:rFonts w:ascii="Times New Roman"/>
                <w:b w:val="false"/>
                <w:i w:val="false"/>
                <w:color w:val="000000"/>
                <w:sz w:val="20"/>
              </w:rPr>
              <w:t>
5) рост производства продукции аквакультуры в 6,5 раз в реальном выражении к уровню 2015 года;</w:t>
            </w:r>
            <w:r>
              <w:br/>
            </w:r>
            <w:r>
              <w:rPr>
                <w:rFonts w:ascii="Times New Roman"/>
                <w:b w:val="false"/>
                <w:i w:val="false"/>
                <w:color w:val="000000"/>
                <w:sz w:val="20"/>
              </w:rPr>
              <w:t>
6) рост оптовой торговли продовольственными товарами на 29% к уровню 2015 года.</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расходы, предусмотренные в республиканском и местных бюджетах на реализацию Программы в 2017-2021 годах, составят всего 2 374,2 млрд. тенге (РБ – 1 216 млрд. тенге*, МБ – 904 млрд. тенге*, другие источники – 306,2 млрд. тенге), в т.ч.:</w:t>
            </w:r>
            <w:r>
              <w:br/>
            </w:r>
            <w:r>
              <w:rPr>
                <w:rFonts w:ascii="Times New Roman"/>
                <w:b w:val="false"/>
                <w:i w:val="false"/>
                <w:color w:val="000000"/>
                <w:sz w:val="20"/>
              </w:rPr>
              <w:t>
2017 год:</w:t>
            </w:r>
            <w:r>
              <w:br/>
            </w:r>
            <w:r>
              <w:rPr>
                <w:rFonts w:ascii="Times New Roman"/>
                <w:b w:val="false"/>
                <w:i w:val="false"/>
                <w:color w:val="000000"/>
                <w:sz w:val="20"/>
              </w:rPr>
              <w:t>
всего – 359,7 млрд. тенге;</w:t>
            </w:r>
            <w:r>
              <w:br/>
            </w:r>
            <w:r>
              <w:rPr>
                <w:rFonts w:ascii="Times New Roman"/>
                <w:b w:val="false"/>
                <w:i w:val="false"/>
                <w:color w:val="000000"/>
                <w:sz w:val="20"/>
              </w:rPr>
              <w:t>
РБ – 198,2 млрд. тенге;</w:t>
            </w:r>
            <w:r>
              <w:br/>
            </w:r>
            <w:r>
              <w:rPr>
                <w:rFonts w:ascii="Times New Roman"/>
                <w:b w:val="false"/>
                <w:i w:val="false"/>
                <w:color w:val="000000"/>
                <w:sz w:val="20"/>
              </w:rPr>
              <w:t>
МБ – 144,5 млрд. тенге;</w:t>
            </w:r>
            <w:r>
              <w:br/>
            </w:r>
            <w:r>
              <w:rPr>
                <w:rFonts w:ascii="Times New Roman"/>
                <w:b w:val="false"/>
                <w:i w:val="false"/>
                <w:color w:val="000000"/>
                <w:sz w:val="20"/>
              </w:rPr>
              <w:t>
другие источники – 17,0 млрд. тенге;</w:t>
            </w:r>
            <w:r>
              <w:br/>
            </w:r>
            <w:r>
              <w:rPr>
                <w:rFonts w:ascii="Times New Roman"/>
                <w:b w:val="false"/>
                <w:i w:val="false"/>
                <w:color w:val="000000"/>
                <w:sz w:val="20"/>
              </w:rPr>
              <w:t>
2018 год:</w:t>
            </w:r>
            <w:r>
              <w:br/>
            </w:r>
            <w:r>
              <w:rPr>
                <w:rFonts w:ascii="Times New Roman"/>
                <w:b w:val="false"/>
                <w:i w:val="false"/>
                <w:color w:val="000000"/>
                <w:sz w:val="20"/>
              </w:rPr>
              <w:t>
всего – 397,9 млрд. тенге;</w:t>
            </w:r>
            <w:r>
              <w:br/>
            </w:r>
            <w:r>
              <w:rPr>
                <w:rFonts w:ascii="Times New Roman"/>
                <w:b w:val="false"/>
                <w:i w:val="false"/>
                <w:color w:val="000000"/>
                <w:sz w:val="20"/>
              </w:rPr>
              <w:t>
РБ – 202,0 млрд. тенге;</w:t>
            </w:r>
            <w:r>
              <w:br/>
            </w:r>
            <w:r>
              <w:rPr>
                <w:rFonts w:ascii="Times New Roman"/>
                <w:b w:val="false"/>
                <w:i w:val="false"/>
                <w:color w:val="000000"/>
                <w:sz w:val="20"/>
              </w:rPr>
              <w:t>
МБ – 151,0 млрд. тенге;</w:t>
            </w:r>
            <w:r>
              <w:br/>
            </w:r>
            <w:r>
              <w:rPr>
                <w:rFonts w:ascii="Times New Roman"/>
                <w:b w:val="false"/>
                <w:i w:val="false"/>
                <w:color w:val="000000"/>
                <w:sz w:val="20"/>
              </w:rPr>
              <w:t>
другие источники – 44,9 млрд. тенге;</w:t>
            </w:r>
            <w:r>
              <w:br/>
            </w:r>
            <w:r>
              <w:rPr>
                <w:rFonts w:ascii="Times New Roman"/>
                <w:b w:val="false"/>
                <w:i w:val="false"/>
                <w:color w:val="000000"/>
                <w:sz w:val="20"/>
              </w:rPr>
              <w:t>
2019 год:</w:t>
            </w:r>
            <w:r>
              <w:br/>
            </w:r>
            <w:r>
              <w:rPr>
                <w:rFonts w:ascii="Times New Roman"/>
                <w:b w:val="false"/>
                <w:i w:val="false"/>
                <w:color w:val="000000"/>
                <w:sz w:val="20"/>
              </w:rPr>
              <w:t>
всего – 429,4 млрд. тенге;</w:t>
            </w:r>
            <w:r>
              <w:br/>
            </w:r>
            <w:r>
              <w:rPr>
                <w:rFonts w:ascii="Times New Roman"/>
                <w:b w:val="false"/>
                <w:i w:val="false"/>
                <w:color w:val="000000"/>
                <w:sz w:val="20"/>
              </w:rPr>
              <w:t>
РБ – 207,9 млрд. тенге;</w:t>
            </w:r>
            <w:r>
              <w:br/>
            </w:r>
            <w:r>
              <w:rPr>
                <w:rFonts w:ascii="Times New Roman"/>
                <w:b w:val="false"/>
                <w:i w:val="false"/>
                <w:color w:val="000000"/>
                <w:sz w:val="20"/>
              </w:rPr>
              <w:t>
МБ – 158,4 млрд. тенге;</w:t>
            </w:r>
            <w:r>
              <w:br/>
            </w:r>
            <w:r>
              <w:rPr>
                <w:rFonts w:ascii="Times New Roman"/>
                <w:b w:val="false"/>
                <w:i w:val="false"/>
                <w:color w:val="000000"/>
                <w:sz w:val="20"/>
              </w:rPr>
              <w:t>
другие источники – 63,1 млрд. тенге;</w:t>
            </w:r>
            <w:r>
              <w:br/>
            </w:r>
            <w:r>
              <w:rPr>
                <w:rFonts w:ascii="Times New Roman"/>
                <w:b w:val="false"/>
                <w:i w:val="false"/>
                <w:color w:val="000000"/>
                <w:sz w:val="20"/>
              </w:rPr>
              <w:t>
2020 год:</w:t>
            </w:r>
            <w:r>
              <w:br/>
            </w:r>
            <w:r>
              <w:rPr>
                <w:rFonts w:ascii="Times New Roman"/>
                <w:b w:val="false"/>
                <w:i w:val="false"/>
                <w:color w:val="000000"/>
                <w:sz w:val="20"/>
              </w:rPr>
              <w:t>
всего – 558,8 млрд. тенге;</w:t>
            </w:r>
            <w:r>
              <w:br/>
            </w:r>
            <w:r>
              <w:rPr>
                <w:rFonts w:ascii="Times New Roman"/>
                <w:b w:val="false"/>
                <w:i w:val="false"/>
                <w:color w:val="000000"/>
                <w:sz w:val="20"/>
              </w:rPr>
              <w:t>
РБ – 281,6 млрд. тенге;</w:t>
            </w:r>
            <w:r>
              <w:br/>
            </w:r>
            <w:r>
              <w:rPr>
                <w:rFonts w:ascii="Times New Roman"/>
                <w:b w:val="false"/>
                <w:i w:val="false"/>
                <w:color w:val="000000"/>
                <w:sz w:val="20"/>
              </w:rPr>
              <w:t>
МБ – 193,6 млрд. тенге;</w:t>
            </w:r>
            <w:r>
              <w:br/>
            </w:r>
            <w:r>
              <w:rPr>
                <w:rFonts w:ascii="Times New Roman"/>
                <w:b w:val="false"/>
                <w:i w:val="false"/>
                <w:color w:val="000000"/>
                <w:sz w:val="20"/>
              </w:rPr>
              <w:t>
другие источники – 83,6 млрд. тенге;</w:t>
            </w:r>
            <w:r>
              <w:br/>
            </w:r>
            <w:r>
              <w:rPr>
                <w:rFonts w:ascii="Times New Roman"/>
                <w:b w:val="false"/>
                <w:i w:val="false"/>
                <w:color w:val="000000"/>
                <w:sz w:val="20"/>
              </w:rPr>
              <w:t>
2021 год:</w:t>
            </w:r>
            <w:r>
              <w:br/>
            </w:r>
            <w:r>
              <w:rPr>
                <w:rFonts w:ascii="Times New Roman"/>
                <w:b w:val="false"/>
                <w:i w:val="false"/>
                <w:color w:val="000000"/>
                <w:sz w:val="20"/>
              </w:rPr>
              <w:t>
всего – 628,4 млрд. тенге;</w:t>
            </w:r>
            <w:r>
              <w:br/>
            </w:r>
            <w:r>
              <w:rPr>
                <w:rFonts w:ascii="Times New Roman"/>
                <w:b w:val="false"/>
                <w:i w:val="false"/>
                <w:color w:val="000000"/>
                <w:sz w:val="20"/>
              </w:rPr>
              <w:t>
РБ – 326,3 млрд. тенге;</w:t>
            </w:r>
            <w:r>
              <w:br/>
            </w:r>
            <w:r>
              <w:rPr>
                <w:rFonts w:ascii="Times New Roman"/>
                <w:b w:val="false"/>
                <w:i w:val="false"/>
                <w:color w:val="000000"/>
                <w:sz w:val="20"/>
              </w:rPr>
              <w:t>
МБ – 204,5 млрд. тенге;</w:t>
            </w:r>
            <w:r>
              <w:br/>
            </w:r>
            <w:r>
              <w:rPr>
                <w:rFonts w:ascii="Times New Roman"/>
                <w:b w:val="false"/>
                <w:i w:val="false"/>
                <w:color w:val="000000"/>
                <w:sz w:val="20"/>
              </w:rPr>
              <w:t>
другие источники – 97,6 млн. тенге.</w:t>
            </w:r>
          </w:p>
        </w:tc>
      </w:tr>
    </w:tbl>
    <w:p>
      <w:pPr>
        <w:spacing w:after="0"/>
        <w:ind w:left="0"/>
        <w:jc w:val="both"/>
      </w:pPr>
      <w:r>
        <w:rPr>
          <w:rFonts w:ascii="Times New Roman"/>
          <w:b w:val="false"/>
          <w:i w:val="false"/>
          <w:color w:val="000000"/>
          <w:sz w:val="28"/>
        </w:rPr>
        <w:t>
      </w:t>
      </w:r>
      <w:r>
        <w:rPr>
          <w:rFonts w:ascii="Times New Roman"/>
          <w:b w:val="false"/>
          <w:i/>
          <w:color w:val="000000"/>
          <w:sz w:val="28"/>
        </w:rPr>
        <w:t>* – суммы будут уточняться в соответствии с государственным бюджетом на соответствующий финансовый год</w:t>
      </w:r>
    </w:p>
    <w:p>
      <w:pPr>
        <w:spacing w:after="0"/>
        <w:ind w:left="0"/>
        <w:jc w:val="left"/>
      </w:pPr>
      <w:r>
        <w:rPr>
          <w:rFonts w:ascii="Times New Roman"/>
          <w:b/>
          <w:i w:val="false"/>
          <w:color w:val="000000"/>
        </w:rPr>
        <w:t xml:space="preserve"> 2. Введение</w:t>
      </w:r>
    </w:p>
    <w:p>
      <w:pPr>
        <w:spacing w:after="0"/>
        <w:ind w:left="0"/>
        <w:jc w:val="both"/>
      </w:pPr>
      <w:r>
        <w:rPr>
          <w:rFonts w:ascii="Times New Roman"/>
          <w:b w:val="false"/>
          <w:i w:val="false"/>
          <w:color w:val="000000"/>
          <w:sz w:val="28"/>
        </w:rPr>
        <w:t>
      АПК является одним из важных секторов экономики, который формирует продовольственную и экономическую безопасность страны, а также трудовой и поселенческий потенциал сельских территорий.</w:t>
      </w:r>
    </w:p>
    <w:p>
      <w:pPr>
        <w:spacing w:after="0"/>
        <w:ind w:left="0"/>
        <w:jc w:val="both"/>
      </w:pPr>
      <w:r>
        <w:rPr>
          <w:rFonts w:ascii="Times New Roman"/>
          <w:b w:val="false"/>
          <w:i w:val="false"/>
          <w:color w:val="000000"/>
          <w:sz w:val="28"/>
        </w:rPr>
        <w:t>
      АПК Республики Казахстан (далее – РК) имеет хорошие перспективы для дальнейшего развития: усиливаются экспортные позиции масличного, мясного секторов, а по зерну и муке Казахстан в кратчайшие сроки вошел в число крупнейших стран-экспортеров в мире. Членство Казахстана в Евразийском экономическом союзе (далее - ЕАЭС) и Всемирной торговой организации (далее - ВТО) создает возможности и одновременно предъявляет высокие требования к конкурентоспособности как на внутреннем, так и внешних рынках. В этой связи роль государственного регулирования АПК крайне важна.</w:t>
      </w:r>
    </w:p>
    <w:p>
      <w:pPr>
        <w:spacing w:after="0"/>
        <w:ind w:left="0"/>
        <w:jc w:val="both"/>
      </w:pPr>
      <w:r>
        <w:rPr>
          <w:rFonts w:ascii="Times New Roman"/>
          <w:b w:val="false"/>
          <w:i w:val="false"/>
          <w:color w:val="000000"/>
          <w:sz w:val="28"/>
        </w:rPr>
        <w:t>
      За период независимости были разработаны девять программных документов, на основе которых реализовывалась государственная политика в сфере АПК: Программа социально-экономического развития "Аул" на 1991-1995 годы и на период до 2000 года, Концептуальная программа развития АПК на 1993-1995 годы и до 2000 года, Программа развития сельскохозяйственного производства на 2000-2002 годы, Государственная агропродовольственная программа на 2003-2005 годы, Государственная программа развития сельских территорий на 2004-2010 годы, Концепция устойчивого развития АПК на 2006-2010 годы, Программа первоочередных мер по реализации Концепции устойчивого развития АПК РК на 2006-2010 годы, Программа развития АПК на 2010-2014 годы и Программа по развитию АПК в РК "Агробизнес – 2017".</w:t>
      </w:r>
    </w:p>
    <w:p>
      <w:pPr>
        <w:spacing w:after="0"/>
        <w:ind w:left="0"/>
        <w:jc w:val="both"/>
      </w:pPr>
      <w:r>
        <w:rPr>
          <w:rFonts w:ascii="Times New Roman"/>
          <w:b w:val="false"/>
          <w:i w:val="false"/>
          <w:color w:val="000000"/>
          <w:sz w:val="28"/>
        </w:rPr>
        <w:t xml:space="preserve">
      В целях увеличения объемов сельхозпроизводства с акцентом на наиболее востребованные виды продуктов питания и развитие экспорта переработанной сельскохозяйственной продукции, в предстоящий период необходимо обеспечить максимальный охват сельхозтоваропроизводителей (далее – СХТП) государственной поддержкой путем создания благоприятных условий и инфраструктуры для производства первичной переработки, хранения и сбыта конкурентоспособной продукции. </w:t>
      </w:r>
    </w:p>
    <w:p>
      <w:pPr>
        <w:spacing w:after="0"/>
        <w:ind w:left="0"/>
        <w:jc w:val="both"/>
      </w:pPr>
      <w:r>
        <w:rPr>
          <w:rFonts w:ascii="Times New Roman"/>
          <w:b w:val="false"/>
          <w:i w:val="false"/>
          <w:color w:val="000000"/>
          <w:sz w:val="28"/>
        </w:rPr>
        <w:t>
      Настоящая Государственная программа развития АПК РК на 2017 – 2021 годы (далее – Программа) разработана в соответствии с поручением Главы государства, данным на расширенном заседании Правительства РК от 9 сентября 2016 года, в соответствии со стратегическими целями развития РК, обозначенными в Плане нации "100 конкретных шагов" и Стратегии "Казахстан-2050".</w:t>
      </w:r>
    </w:p>
    <w:p>
      <w:pPr>
        <w:spacing w:after="0"/>
        <w:ind w:left="0"/>
        <w:jc w:val="both"/>
      </w:pPr>
      <w:r>
        <w:rPr>
          <w:rFonts w:ascii="Times New Roman"/>
          <w:b w:val="false"/>
          <w:i w:val="false"/>
          <w:color w:val="000000"/>
          <w:sz w:val="28"/>
        </w:rPr>
        <w:t>
      Таким образом, данная Программа будет направлена на обеспечение внутренних потребностей населения по востребованным видам сельскохозяйственной продукции, определение целенаправленной экспортной политики.</w:t>
      </w:r>
    </w:p>
    <w:p>
      <w:pPr>
        <w:spacing w:after="0"/>
        <w:ind w:left="0"/>
        <w:jc w:val="both"/>
      </w:pPr>
      <w:r>
        <w:rPr>
          <w:rFonts w:ascii="Times New Roman"/>
          <w:b w:val="false"/>
          <w:i w:val="false"/>
          <w:color w:val="000000"/>
          <w:sz w:val="28"/>
        </w:rPr>
        <w:t>
      Программа разработана на основе интеграции Программы по развитию АПК в РК "Агробизнес – 2017" и Государственной программы по управлению водными ресурсами Казахстана.</w:t>
      </w:r>
    </w:p>
    <w:p>
      <w:pPr>
        <w:spacing w:after="0"/>
        <w:ind w:left="0"/>
        <w:jc w:val="left"/>
      </w:pPr>
      <w:r>
        <w:rPr>
          <w:rFonts w:ascii="Times New Roman"/>
          <w:b/>
          <w:i w:val="false"/>
          <w:color w:val="000000"/>
        </w:rPr>
        <w:t xml:space="preserve"> 3. Анализ текущей ситуации</w:t>
      </w:r>
    </w:p>
    <w:p>
      <w:pPr>
        <w:spacing w:after="0"/>
        <w:ind w:left="0"/>
        <w:jc w:val="both"/>
      </w:pPr>
      <w:r>
        <w:rPr>
          <w:rFonts w:ascii="Times New Roman"/>
          <w:b w:val="false"/>
          <w:i w:val="false"/>
          <w:color w:val="000000"/>
          <w:sz w:val="28"/>
        </w:rPr>
        <w:t xml:space="preserve">
      В сельском хозяйстве создается около 5% валового внутреннего продукта (далее – ВВП) страны. В 2015 году валовый выпуск продукции сельского хозяйства составил 3,3 трлн. тенге, что в реальном выражении ниже уровня 2011 года на 4,1 %. </w:t>
      </w:r>
    </w:p>
    <w:p>
      <w:pPr>
        <w:spacing w:after="0"/>
        <w:ind w:left="0"/>
        <w:jc w:val="left"/>
      </w:pPr>
      <w:r>
        <w:rPr>
          <w:rFonts w:ascii="Times New Roman"/>
          <w:b/>
          <w:i w:val="false"/>
          <w:color w:val="000000"/>
        </w:rPr>
        <w:t xml:space="preserve"> Диаграмма 1. Динамика валовой продукции сельского хозяйства, млрд. тенге</w:t>
      </w:r>
    </w:p>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структуре валовой продукции отрасли наблюдается высокая доля продукции личных подсобных хозяйств. Около 80% произведенной в Казахстане продукции сельского хозяйства реализуется в виде сырья, без переработки, а готовая продукция имеет слабую конкурентоспособность.</w:t>
      </w:r>
    </w:p>
    <w:p>
      <w:pPr>
        <w:spacing w:after="0"/>
        <w:ind w:left="0"/>
        <w:jc w:val="left"/>
      </w:pPr>
      <w:r>
        <w:rPr>
          <w:rFonts w:ascii="Times New Roman"/>
          <w:b/>
          <w:i w:val="false"/>
          <w:color w:val="000000"/>
        </w:rPr>
        <w:t xml:space="preserve"> SWOT-анализ отрасли АПК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3"/>
        <w:gridCol w:w="4307"/>
      </w:tblGrid>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 площади территории Казахстан занимает девятое место в мире; </w:t>
            </w:r>
            <w:r>
              <w:br/>
            </w:r>
            <w:r>
              <w:rPr>
                <w:rFonts w:ascii="Times New Roman"/>
                <w:b w:val="false"/>
                <w:i w:val="false"/>
                <w:color w:val="000000"/>
                <w:sz w:val="20"/>
              </w:rPr>
              <w:t xml:space="preserve">
- по площади пахотных земель на душу населения Казахстан занимает второе место в мире; </w:t>
            </w:r>
            <w:r>
              <w:br/>
            </w:r>
            <w:r>
              <w:rPr>
                <w:rFonts w:ascii="Times New Roman"/>
                <w:b w:val="false"/>
                <w:i w:val="false"/>
                <w:color w:val="000000"/>
                <w:sz w:val="20"/>
              </w:rPr>
              <w:t>
- Казахстан входит в число крупнейших экспортеров по зерну и муке;</w:t>
            </w:r>
            <w:r>
              <w:br/>
            </w:r>
            <w:r>
              <w:rPr>
                <w:rFonts w:ascii="Times New Roman"/>
                <w:b w:val="false"/>
                <w:i w:val="false"/>
                <w:color w:val="000000"/>
                <w:sz w:val="20"/>
              </w:rPr>
              <w:t>
- многочисленность сельского населения (43% от всего населения), высокая доля занятых (18% от занятого населения);</w:t>
            </w:r>
            <w:r>
              <w:br/>
            </w:r>
            <w:r>
              <w:rPr>
                <w:rFonts w:ascii="Times New Roman"/>
                <w:b w:val="false"/>
                <w:i w:val="false"/>
                <w:color w:val="000000"/>
                <w:sz w:val="20"/>
              </w:rPr>
              <w:t>
- большой потенциальный спрос на продовольственную продукцию рынков сбыта стран СНГ и Центральной Азии;</w:t>
            </w:r>
            <w:r>
              <w:br/>
            </w:r>
            <w:r>
              <w:rPr>
                <w:rFonts w:ascii="Times New Roman"/>
                <w:b w:val="false"/>
                <w:i w:val="false"/>
                <w:color w:val="000000"/>
                <w:sz w:val="20"/>
              </w:rPr>
              <w:t>
- постоянный рост валового продукта АПК;</w:t>
            </w:r>
            <w:r>
              <w:br/>
            </w:r>
            <w:r>
              <w:rPr>
                <w:rFonts w:ascii="Times New Roman"/>
                <w:b w:val="false"/>
                <w:i w:val="false"/>
                <w:color w:val="000000"/>
                <w:sz w:val="20"/>
              </w:rPr>
              <w:t>
- высокий потенциал производства и экспорта органической продукции.</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низкая доля в ВВП страны (4,8%);</w:t>
            </w:r>
            <w:r>
              <w:br/>
            </w:r>
            <w:r>
              <w:rPr>
                <w:rFonts w:ascii="Times New Roman"/>
                <w:b w:val="false"/>
                <w:i w:val="false"/>
                <w:color w:val="000000"/>
                <w:sz w:val="20"/>
              </w:rPr>
              <w:t>
- неразвитость торговли, в том числе экспортной;</w:t>
            </w:r>
            <w:r>
              <w:br/>
            </w:r>
            <w:r>
              <w:rPr>
                <w:rFonts w:ascii="Times New Roman"/>
                <w:b w:val="false"/>
                <w:i w:val="false"/>
                <w:color w:val="000000"/>
                <w:sz w:val="20"/>
              </w:rPr>
              <w:t>
- низкий уровень внедряемости научно-исследовательских и опытно-конструкторских работ;</w:t>
            </w:r>
            <w:r>
              <w:br/>
            </w:r>
            <w:r>
              <w:rPr>
                <w:rFonts w:ascii="Times New Roman"/>
                <w:b w:val="false"/>
                <w:i w:val="false"/>
                <w:color w:val="000000"/>
                <w:sz w:val="20"/>
              </w:rPr>
              <w:t>
- недостаточный уровень ветеринарной и пищевой безопасности;</w:t>
            </w:r>
            <w:r>
              <w:br/>
            </w:r>
            <w:r>
              <w:rPr>
                <w:rFonts w:ascii="Times New Roman"/>
                <w:b w:val="false"/>
                <w:i w:val="false"/>
                <w:color w:val="000000"/>
                <w:sz w:val="20"/>
              </w:rPr>
              <w:t>
- высокая капиталоемкость;</w:t>
            </w:r>
            <w:r>
              <w:br/>
            </w:r>
            <w:r>
              <w:rPr>
                <w:rFonts w:ascii="Times New Roman"/>
                <w:b w:val="false"/>
                <w:i w:val="false"/>
                <w:color w:val="000000"/>
                <w:sz w:val="20"/>
              </w:rPr>
              <w:t>
- длительный срок окупаемости;</w:t>
            </w:r>
            <w:r>
              <w:br/>
            </w:r>
            <w:r>
              <w:rPr>
                <w:rFonts w:ascii="Times New Roman"/>
                <w:b w:val="false"/>
                <w:i w:val="false"/>
                <w:color w:val="000000"/>
                <w:sz w:val="20"/>
              </w:rPr>
              <w:t>
- зависимость от природно-климатических условий;</w:t>
            </w:r>
            <w:r>
              <w:br/>
            </w:r>
            <w:r>
              <w:rPr>
                <w:rFonts w:ascii="Times New Roman"/>
                <w:b w:val="false"/>
                <w:i w:val="false"/>
                <w:color w:val="000000"/>
                <w:sz w:val="20"/>
              </w:rPr>
              <w:t xml:space="preserve">
- низкая производительность труда; </w:t>
            </w:r>
            <w:r>
              <w:br/>
            </w:r>
            <w:r>
              <w:rPr>
                <w:rFonts w:ascii="Times New Roman"/>
                <w:b w:val="false"/>
                <w:i w:val="false"/>
                <w:color w:val="000000"/>
                <w:sz w:val="20"/>
              </w:rPr>
              <w:t>
- низкий уровень прибыльности СХТП.</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возможность увеличения объемов по всем видам сельскохозяйственной продукции в связи с растущей численностью и изменением структуры питания населения;</w:t>
            </w:r>
            <w:r>
              <w:br/>
            </w:r>
            <w:r>
              <w:rPr>
                <w:rFonts w:ascii="Times New Roman"/>
                <w:b w:val="false"/>
                <w:i w:val="false"/>
                <w:color w:val="000000"/>
                <w:sz w:val="20"/>
              </w:rPr>
              <w:t xml:space="preserve">
- формирование эффективной государственной поддержки СХТП и сельскохозяйственных кооперативов; </w:t>
            </w:r>
            <w:r>
              <w:br/>
            </w:r>
            <w:r>
              <w:rPr>
                <w:rFonts w:ascii="Times New Roman"/>
                <w:b w:val="false"/>
                <w:i w:val="false"/>
                <w:color w:val="000000"/>
                <w:sz w:val="20"/>
              </w:rPr>
              <w:t>
- расширение географии поставок и объемов экспорта по перспективным отраслям.</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неблагоприятные изменения природно- климатических условий, нестабильность погодных условий;</w:t>
            </w:r>
            <w:r>
              <w:br/>
            </w:r>
            <w:r>
              <w:rPr>
                <w:rFonts w:ascii="Times New Roman"/>
                <w:b w:val="false"/>
                <w:i w:val="false"/>
                <w:color w:val="000000"/>
                <w:sz w:val="20"/>
              </w:rPr>
              <w:t xml:space="preserve">
- распространение заболеваний животных и растений и загрязнение природной среды; </w:t>
            </w:r>
            <w:r>
              <w:br/>
            </w:r>
            <w:r>
              <w:rPr>
                <w:rFonts w:ascii="Times New Roman"/>
                <w:b w:val="false"/>
                <w:i w:val="false"/>
                <w:color w:val="000000"/>
                <w:sz w:val="20"/>
              </w:rPr>
              <w:t xml:space="preserve">
- рост конкуренции на международных рынках по отдельным видам продукции в связи со вступлением в ВТО; </w:t>
            </w:r>
            <w:r>
              <w:br/>
            </w:r>
            <w:r>
              <w:rPr>
                <w:rFonts w:ascii="Times New Roman"/>
                <w:b w:val="false"/>
                <w:i w:val="false"/>
                <w:color w:val="000000"/>
                <w:sz w:val="20"/>
              </w:rPr>
              <w:t>
- риск неэффективного государственного регулирования отрасли.</w:t>
            </w:r>
          </w:p>
        </w:tc>
      </w:tr>
    </w:tbl>
    <w:p>
      <w:pPr>
        <w:spacing w:after="0"/>
        <w:ind w:left="0"/>
        <w:jc w:val="left"/>
      </w:pPr>
      <w:r>
        <w:rPr>
          <w:rFonts w:ascii="Times New Roman"/>
          <w:b/>
          <w:i w:val="false"/>
          <w:color w:val="000000"/>
        </w:rPr>
        <w:t xml:space="preserve"> 3.1. Обеспеченность внутреннего рынка и экспорта продукцией АПК и сельскохозяйственная кооперация</w:t>
      </w:r>
    </w:p>
    <w:p>
      <w:pPr>
        <w:spacing w:after="0"/>
        <w:ind w:left="0"/>
        <w:jc w:val="both"/>
      </w:pPr>
      <w:r>
        <w:rPr>
          <w:rFonts w:ascii="Times New Roman"/>
          <w:b w:val="false"/>
          <w:i w:val="false"/>
          <w:color w:val="000000"/>
          <w:sz w:val="28"/>
        </w:rPr>
        <w:t>
      Среднегодовые темпы роста объемов производства продовольственных товаров в целом не успевают за темпами роста потребления и доходов населения, в результате чего свободная ниша на рынке восполняется за счет импорта и его доля во внутреннем потреблении остается весьма существенной.</w:t>
      </w:r>
    </w:p>
    <w:p>
      <w:pPr>
        <w:spacing w:after="0"/>
        <w:ind w:left="0"/>
        <w:jc w:val="both"/>
      </w:pPr>
      <w:r>
        <w:rPr>
          <w:rFonts w:ascii="Times New Roman"/>
          <w:b w:val="false"/>
          <w:i w:val="false"/>
          <w:color w:val="000000"/>
          <w:sz w:val="28"/>
        </w:rPr>
        <w:t>
      Валовый выпуск производства продуктов питания в 2015 году составил 1,1 трлн. тенге, что в реальном выражении выше уровня 2011 года на 12,5 %.</w:t>
      </w:r>
    </w:p>
    <w:p>
      <w:pPr>
        <w:spacing w:after="0"/>
        <w:ind w:left="0"/>
        <w:jc w:val="both"/>
      </w:pPr>
      <w:r>
        <w:rPr>
          <w:rFonts w:ascii="Times New Roman"/>
          <w:b w:val="false"/>
          <w:i w:val="false"/>
          <w:color w:val="000000"/>
          <w:sz w:val="28"/>
        </w:rPr>
        <w:t>
      Основную долю в структуре производства пищевых продуктов занимают зерноперерабатывающая отрасль (22,3%), молочная (16,7%), хлебобулочная (15%), мясоперерабатывающая (13,6%), масложировая (7,9%), плодоовощная (7,6%) и прочие отрасли (16,9%).</w:t>
      </w:r>
    </w:p>
    <w:p>
      <w:pPr>
        <w:spacing w:after="0"/>
        <w:ind w:left="0"/>
        <w:jc w:val="left"/>
      </w:pPr>
      <w:r>
        <w:rPr>
          <w:rFonts w:ascii="Times New Roman"/>
          <w:b/>
          <w:i w:val="false"/>
          <w:color w:val="000000"/>
        </w:rPr>
        <w:t xml:space="preserve"> Диаграмма 2. Производство продуктов переработки сельскохозяйственной продукции в денежном выражении в 2015 году, млн. тенге</w:t>
      </w:r>
    </w:p>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внешнеторгового товарооборота по продуктам переработки сельскохозяйственного сырья и пищевой промышленности страны в 2015 году составил 3,2 млрд. долл. США, что на 17,7% меньше объема 2011 года (3,8 млрд. долл. США).</w:t>
      </w:r>
    </w:p>
    <w:p>
      <w:pPr>
        <w:spacing w:after="0"/>
        <w:ind w:left="0"/>
        <w:jc w:val="both"/>
      </w:pPr>
      <w:r>
        <w:rPr>
          <w:rFonts w:ascii="Times New Roman"/>
          <w:b w:val="false"/>
          <w:i w:val="false"/>
          <w:color w:val="000000"/>
          <w:sz w:val="28"/>
        </w:rPr>
        <w:t>
      Объем экспорта по продуктам переработки сельскохозяйственного сырья и пищевой промышленности уменьшился на 6,5% (с 1,0 до 0,9 млрд. долл. США).</w:t>
      </w:r>
    </w:p>
    <w:p>
      <w:pPr>
        <w:spacing w:after="0"/>
        <w:ind w:left="0"/>
        <w:jc w:val="both"/>
      </w:pPr>
      <w:r>
        <w:rPr>
          <w:rFonts w:ascii="Times New Roman"/>
          <w:b w:val="false"/>
          <w:i w:val="false"/>
          <w:color w:val="000000"/>
          <w:sz w:val="28"/>
        </w:rPr>
        <w:t>
      Объем импорта в 2015 году по сравнению с 2011 годом уменьшился на 21,6% и составил 2,3 млрд. долл. США.</w:t>
      </w:r>
    </w:p>
    <w:p>
      <w:pPr>
        <w:spacing w:after="0"/>
        <w:ind w:left="0"/>
        <w:jc w:val="both"/>
      </w:pPr>
      <w:r>
        <w:rPr>
          <w:rFonts w:ascii="Times New Roman"/>
          <w:b w:val="false"/>
          <w:i w:val="false"/>
          <w:color w:val="000000"/>
          <w:sz w:val="28"/>
        </w:rPr>
        <w:t>
      Высокая доля импорта сохраняется по наиболее высокотехнологичным производствам. В среднем за пять лет по продуктам переработки животноводческой продукции наибольшая доля импорта приходится на сыры и творог (51%), колбасные изделия (46%), мясные и мясорастительные консервы (40%) и сливочное масло (36,4%). По продуктам переработки растениеводческой продукции наибольшая доля импорта отмечается по сахару (42%), а с учетом завоза тростникового сахара-сырца импорт достигает 97%. При этом производственные мощности сахарных заводов загружены на 37,1%. Импорт плодоовощных консервов в 2015 году составил 98,7 тыс. тонн или 84% от внутреннего потребления, при загруженности предприятий по переработке плодов и овощей на уровне 27%. Доля импорта во внутреннем потреблении масложировой продукции достигает 30-40%. При этом, мощности масложировых предприятий загружены на 45-50%. Проблема нехватки качественного сырья для загрузки производственных мощностей остро стоит для всей перерабатывающей отрасли в целом. Производство крупы и муки полностью обеспечивает внутреннее потребление (см. приложение 1 к настоящей Программе).</w:t>
      </w:r>
    </w:p>
    <w:p>
      <w:pPr>
        <w:spacing w:after="0"/>
        <w:ind w:left="0"/>
        <w:jc w:val="left"/>
      </w:pPr>
      <w:r>
        <w:rPr>
          <w:rFonts w:ascii="Times New Roman"/>
          <w:b/>
          <w:i w:val="false"/>
          <w:color w:val="000000"/>
        </w:rPr>
        <w:t xml:space="preserve"> Диаграмма 3. Экспорт, импорт и сальдо продукции АПК, млрд. долларов США</w:t>
      </w:r>
    </w:p>
    <w:p>
      <w:pPr>
        <w:spacing w:after="0"/>
        <w:ind w:left="0"/>
        <w:jc w:val="left"/>
      </w:pP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 производства картофеля переработанного и консервированного составил 0,4 тыс. тонн, доля импорта во внутреннем потреблении - 98%. Производственные мощности предприятий по переработке картофеля загружены на 23%. </w:t>
      </w:r>
    </w:p>
    <w:p>
      <w:pPr>
        <w:spacing w:after="0"/>
        <w:ind w:left="0"/>
        <w:jc w:val="both"/>
      </w:pPr>
      <w:r>
        <w:rPr>
          <w:rFonts w:ascii="Times New Roman"/>
          <w:b w:val="false"/>
          <w:i w:val="false"/>
          <w:color w:val="000000"/>
          <w:sz w:val="28"/>
        </w:rPr>
        <w:t>
      Внутренний рынок свежей, охлажденной и замороженной рыбы оценивается на уровне 70 тыс. тонн. Доля импорта во внутреннем потреблении составляет 75%.</w:t>
      </w:r>
    </w:p>
    <w:p>
      <w:pPr>
        <w:spacing w:after="0"/>
        <w:ind w:left="0"/>
        <w:jc w:val="both"/>
      </w:pPr>
      <w:r>
        <w:rPr>
          <w:rFonts w:ascii="Times New Roman"/>
          <w:b w:val="false"/>
          <w:i w:val="false"/>
          <w:color w:val="000000"/>
          <w:sz w:val="28"/>
        </w:rPr>
        <w:t>
      Мощности предприятий по переработке рыбы составляют 64 тыс. тонн в год, загруженность – 43%.</w:t>
      </w:r>
    </w:p>
    <w:p>
      <w:pPr>
        <w:spacing w:after="0"/>
        <w:ind w:left="0"/>
        <w:jc w:val="both"/>
      </w:pPr>
      <w:r>
        <w:rPr>
          <w:rFonts w:ascii="Times New Roman"/>
          <w:b w:val="false"/>
          <w:i w:val="false"/>
          <w:color w:val="000000"/>
          <w:sz w:val="28"/>
        </w:rPr>
        <w:t>
      Размещение рыбоперерабатывающих мощностей привязано к крупным промысловым водоемам. Основной объем выпуска приходится на Атыраускую и Кызылординскую области.</w:t>
      </w:r>
    </w:p>
    <w:p>
      <w:pPr>
        <w:spacing w:after="0"/>
        <w:ind w:left="0"/>
        <w:jc w:val="both"/>
      </w:pPr>
      <w:r>
        <w:rPr>
          <w:rFonts w:ascii="Times New Roman"/>
          <w:b w:val="false"/>
          <w:i w:val="false"/>
          <w:color w:val="000000"/>
          <w:sz w:val="28"/>
        </w:rPr>
        <w:t>
      В 2015 году объем производства рыбы свежей, охлажденной или мороженной составил 24,7 тыс. тонн, рыбы приготовленной или консервированной 9,4 тыс. тонн.</w:t>
      </w:r>
    </w:p>
    <w:p>
      <w:pPr>
        <w:spacing w:after="0"/>
        <w:ind w:left="0"/>
        <w:jc w:val="both"/>
      </w:pPr>
      <w:r>
        <w:rPr>
          <w:rFonts w:ascii="Times New Roman"/>
          <w:b w:val="false"/>
          <w:i w:val="false"/>
          <w:color w:val="000000"/>
          <w:sz w:val="28"/>
        </w:rPr>
        <w:t xml:space="preserve">
      Экспорт составил 24,9 тыс. тонн на сумму 52,6 млн. долларов США. Импорт рыбы и рыбопродуктов составил 52,2 тыс. тонн на сумму 61,5 млн. долларов США (см. приложение 2 к настоящей Программе). </w:t>
      </w:r>
    </w:p>
    <w:p>
      <w:pPr>
        <w:spacing w:after="0"/>
        <w:ind w:left="0"/>
        <w:jc w:val="left"/>
      </w:pPr>
      <w:r>
        <w:rPr>
          <w:rFonts w:ascii="Times New Roman"/>
          <w:b/>
          <w:i w:val="false"/>
          <w:color w:val="000000"/>
        </w:rPr>
        <w:t xml:space="preserve"> Диаграмма 4. Производство и реализация продуктов переработки в 2015 году, в %</w:t>
      </w:r>
    </w:p>
    <w:p>
      <w:pPr>
        <w:spacing w:after="0"/>
        <w:ind w:left="0"/>
        <w:jc w:val="left"/>
      </w:pP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Проведенный анализ показывает, что на внутреннем рынке продуктов питания в значительной степени присутствует импорт, причем и по тем видам продовольственных товаров, которые традиционно производились на отечественных предприятиях, – масло сливочное и растительное, сыры и творог, колбасные изделия и сахар, плодоовощные и мясные консервы. При этом отмечаются низкая доля переработки производимой в стране сельскохозяйственной продукции и недозагруженность производственных мощностей перерабатывающих предприятий. </w:t>
      </w:r>
    </w:p>
    <w:p>
      <w:pPr>
        <w:spacing w:after="0"/>
        <w:ind w:left="0"/>
        <w:jc w:val="both"/>
      </w:pPr>
      <w:r>
        <w:rPr>
          <w:rFonts w:ascii="Times New Roman"/>
          <w:b w:val="false"/>
          <w:i w:val="false"/>
          <w:color w:val="000000"/>
          <w:sz w:val="28"/>
        </w:rPr>
        <w:t>
      В сфере технического регулирования АПК принято 12 технических регламентов в рамках ЕАЭС и перечней стандартов к ним. Запланирована разработка еще 4 технических регламентов ЕАЭС на основные виды продукции АПК. Данные регламенты разрабатываются с целью обеспечения безопасности продукции АПК. Однако имеются факты реализации некачественной продукции.</w:t>
      </w:r>
    </w:p>
    <w:p>
      <w:pPr>
        <w:spacing w:after="0"/>
        <w:ind w:left="0"/>
        <w:jc w:val="both"/>
      </w:pPr>
      <w:r>
        <w:rPr>
          <w:rFonts w:ascii="Times New Roman"/>
          <w:b w:val="false"/>
          <w:i w:val="false"/>
          <w:color w:val="000000"/>
          <w:sz w:val="28"/>
        </w:rPr>
        <w:t xml:space="preserve">
      Одной из основных причин сложившейся ситуации является неразвитость системы заготовки и продвижения сельскохозяйственной продукции от СХТП к рынкам сбыта, включая предприятия по переработке сельскохозяйственного сырья. Усиление роли посредников в реализационной сети практически полностью исключило взаимосвязь производителей и переработчиков сырья. Низкие закупочные цены на сельскохозяйственную продукцию не стимулируют увеличение объемов их производства, что в итоге ведет к низкой доле переработки сельскохозяйственного сырья, недозагруженности мощностей перерабатывающих предприятий и в конечном счете к высокой доле импорта продовольственных товаров. </w:t>
      </w:r>
    </w:p>
    <w:p>
      <w:pPr>
        <w:spacing w:after="0"/>
        <w:ind w:left="0"/>
        <w:jc w:val="both"/>
      </w:pPr>
      <w:r>
        <w:rPr>
          <w:rFonts w:ascii="Times New Roman"/>
          <w:b w:val="false"/>
          <w:i w:val="false"/>
          <w:color w:val="000000"/>
          <w:sz w:val="28"/>
        </w:rPr>
        <w:t xml:space="preserve">
      Продукция мелких и средних отечественных СХТП заметно проигрывает по качеству и упаковке и не в состоянии успешно конкурировать с зарубежными поставщиками. Организация собственной переработки мяса, молока и другой продукции не под силу большинству хозяйств из-за нехватки средств и квалифицированных кадров, необходимости высоких затрат для выполнения санитарных требований, несовершенства налогового законодательства. Сказывается отсутствие собственной торговой сети, создание и содержание которой не каждому предприятию доступны. </w:t>
      </w:r>
    </w:p>
    <w:p>
      <w:pPr>
        <w:spacing w:after="0"/>
        <w:ind w:left="0"/>
        <w:jc w:val="both"/>
      </w:pPr>
      <w:r>
        <w:rPr>
          <w:rFonts w:ascii="Times New Roman"/>
          <w:b w:val="false"/>
          <w:i w:val="false"/>
          <w:color w:val="000000"/>
          <w:sz w:val="28"/>
        </w:rPr>
        <w:t>
      Наиболее эффективным инструментом решения указанных проблем является кооперация СХТП.</w:t>
      </w:r>
    </w:p>
    <w:p>
      <w:pPr>
        <w:spacing w:after="0"/>
        <w:ind w:left="0"/>
        <w:jc w:val="both"/>
      </w:pPr>
      <w:r>
        <w:rPr>
          <w:rFonts w:ascii="Times New Roman"/>
          <w:b w:val="false"/>
          <w:i w:val="false"/>
          <w:color w:val="000000"/>
          <w:sz w:val="28"/>
        </w:rPr>
        <w:t xml:space="preserve">
      До принятия в октябре 2015 года Закона РК "О сельскохозяйственных кооперативах" действовали две модели механизма государственной поддержки развития сельской кооперации: </w:t>
      </w:r>
    </w:p>
    <w:p>
      <w:pPr>
        <w:spacing w:after="0"/>
        <w:ind w:left="0"/>
        <w:jc w:val="both"/>
      </w:pPr>
      <w:r>
        <w:rPr>
          <w:rFonts w:ascii="Times New Roman"/>
          <w:b w:val="false"/>
          <w:i w:val="false"/>
          <w:color w:val="000000"/>
          <w:sz w:val="28"/>
        </w:rPr>
        <w:t xml:space="preserve">
      - по линии Министерства сельского хозяйства РК (далее – МСХ РК) через АО "Аграрная кредитная корпорация" путем предоставления льготного кредитования под 5% на 5-7 лет на создание сельского потребительского кооператива; </w:t>
      </w:r>
    </w:p>
    <w:p>
      <w:pPr>
        <w:spacing w:after="0"/>
        <w:ind w:left="0"/>
        <w:jc w:val="both"/>
      </w:pPr>
      <w:r>
        <w:rPr>
          <w:rFonts w:ascii="Times New Roman"/>
          <w:b w:val="false"/>
          <w:i w:val="false"/>
          <w:color w:val="000000"/>
          <w:sz w:val="28"/>
        </w:rPr>
        <w:t xml:space="preserve">
      - по линии региональных АО "НК "Социально-предпринимательская корпорация" ("Оңтүстік", "Жетысу", "Ертыс", "Тобол", "Батыс", "Сары-Арка", "Каспий") путем создания сервисно-заготовительных центров (далее – СЗЦ) по предоставлению агросервисных услуг сельским потребительским кооперативам. </w:t>
      </w:r>
    </w:p>
    <w:p>
      <w:pPr>
        <w:spacing w:after="0"/>
        <w:ind w:left="0"/>
        <w:jc w:val="both"/>
      </w:pPr>
      <w:r>
        <w:rPr>
          <w:rFonts w:ascii="Times New Roman"/>
          <w:b w:val="false"/>
          <w:i w:val="false"/>
          <w:color w:val="000000"/>
          <w:sz w:val="28"/>
        </w:rPr>
        <w:t>
      Однако, несмотря на предпринятые меры государственной поддержки, сельская кооперация не получила должного развития.</w:t>
      </w:r>
    </w:p>
    <w:p>
      <w:pPr>
        <w:spacing w:after="0"/>
        <w:ind w:left="0"/>
        <w:jc w:val="both"/>
      </w:pPr>
      <w:r>
        <w:rPr>
          <w:rFonts w:ascii="Times New Roman"/>
          <w:b w:val="false"/>
          <w:i w:val="false"/>
          <w:color w:val="000000"/>
          <w:sz w:val="28"/>
        </w:rPr>
        <w:t>
      Анализ позволил выявить основные проблемы, сдерживающие их развитие:</w:t>
      </w:r>
    </w:p>
    <w:p>
      <w:pPr>
        <w:spacing w:after="0"/>
        <w:ind w:left="0"/>
        <w:jc w:val="both"/>
      </w:pPr>
      <w:r>
        <w:rPr>
          <w:rFonts w:ascii="Times New Roman"/>
          <w:b w:val="false"/>
          <w:i w:val="false"/>
          <w:color w:val="000000"/>
          <w:sz w:val="28"/>
        </w:rPr>
        <w:t>
      - недоверие СХТП и сельского населения к кооперированию из-за недостаточной работы по разъяснению преимуществ кооперации и механизмов функционирования кооперативов;</w:t>
      </w:r>
    </w:p>
    <w:p>
      <w:pPr>
        <w:spacing w:after="0"/>
        <w:ind w:left="0"/>
        <w:jc w:val="both"/>
      </w:pPr>
      <w:r>
        <w:rPr>
          <w:rFonts w:ascii="Times New Roman"/>
          <w:b w:val="false"/>
          <w:i w:val="false"/>
          <w:color w:val="000000"/>
          <w:sz w:val="28"/>
        </w:rPr>
        <w:t>
      - низкая профессиональная подготовка управленческого персонала и недостаток специалистов;</w:t>
      </w:r>
    </w:p>
    <w:p>
      <w:pPr>
        <w:spacing w:after="0"/>
        <w:ind w:left="0"/>
        <w:jc w:val="both"/>
      </w:pPr>
      <w:r>
        <w:rPr>
          <w:rFonts w:ascii="Times New Roman"/>
          <w:b w:val="false"/>
          <w:i w:val="false"/>
          <w:color w:val="000000"/>
          <w:sz w:val="28"/>
        </w:rPr>
        <w:t>
      - недостаточное стимулирование государством процессов кооперирования;</w:t>
      </w:r>
    </w:p>
    <w:p>
      <w:pPr>
        <w:spacing w:after="0"/>
        <w:ind w:left="0"/>
        <w:jc w:val="both"/>
      </w:pPr>
      <w:r>
        <w:rPr>
          <w:rFonts w:ascii="Times New Roman"/>
          <w:b w:val="false"/>
          <w:i w:val="false"/>
          <w:color w:val="000000"/>
          <w:sz w:val="28"/>
        </w:rPr>
        <w:t>
      - нарушение основных кооперативных принципов (добровольность, демократичность, 1 член = 1 голос и др.);</w:t>
      </w:r>
    </w:p>
    <w:p>
      <w:pPr>
        <w:spacing w:after="0"/>
        <w:ind w:left="0"/>
        <w:jc w:val="both"/>
      </w:pPr>
      <w:r>
        <w:rPr>
          <w:rFonts w:ascii="Times New Roman"/>
          <w:b w:val="false"/>
          <w:i w:val="false"/>
          <w:color w:val="000000"/>
          <w:sz w:val="28"/>
        </w:rPr>
        <w:t xml:space="preserve">
      - объединение СХТП с целью получения льготного кредита, а не для предоставления услуг своим членам; </w:t>
      </w:r>
    </w:p>
    <w:p>
      <w:pPr>
        <w:spacing w:after="0"/>
        <w:ind w:left="0"/>
        <w:jc w:val="both"/>
      </w:pPr>
      <w:r>
        <w:rPr>
          <w:rFonts w:ascii="Times New Roman"/>
          <w:b w:val="false"/>
          <w:i w:val="false"/>
          <w:color w:val="000000"/>
          <w:sz w:val="28"/>
        </w:rPr>
        <w:t>
      - создание "лжекооперативов" в интересах одного крупного хозяйства, которое является инициатором, залогодателем, фактически собственником кооператива, распорядителем всей прибыли от деятельности кооператива, поскольку именно это хозяйство осуществляет закуп и сбыт продукции;</w:t>
      </w:r>
    </w:p>
    <w:p>
      <w:pPr>
        <w:spacing w:after="0"/>
        <w:ind w:left="0"/>
        <w:jc w:val="both"/>
      </w:pPr>
      <w:r>
        <w:rPr>
          <w:rFonts w:ascii="Times New Roman"/>
          <w:b w:val="false"/>
          <w:i w:val="false"/>
          <w:color w:val="000000"/>
          <w:sz w:val="28"/>
        </w:rPr>
        <w:t>
       - недостаточное или неликвидное залоговое обеспечение;</w:t>
      </w:r>
    </w:p>
    <w:p>
      <w:pPr>
        <w:spacing w:after="0"/>
        <w:ind w:left="0"/>
        <w:jc w:val="both"/>
      </w:pPr>
      <w:r>
        <w:rPr>
          <w:rFonts w:ascii="Times New Roman"/>
          <w:b w:val="false"/>
          <w:i w:val="false"/>
          <w:color w:val="000000"/>
          <w:sz w:val="28"/>
        </w:rPr>
        <w:t>
      - отсутствие стимулирования объединения СХТП в сельскохозяйственные кооперативы, в частности, отсутствие возможности распределения чистого дохода кооператива между его членами в связи с некоммерческим статусом кооператива.</w:t>
      </w:r>
    </w:p>
    <w:p>
      <w:pPr>
        <w:spacing w:after="0"/>
        <w:ind w:left="0"/>
        <w:jc w:val="left"/>
      </w:pPr>
      <w:r>
        <w:rPr>
          <w:rFonts w:ascii="Times New Roman"/>
          <w:b/>
          <w:i w:val="false"/>
          <w:color w:val="000000"/>
        </w:rPr>
        <w:t xml:space="preserve"> 3.2.Растениеводство</w:t>
      </w:r>
    </w:p>
    <w:p>
      <w:pPr>
        <w:spacing w:after="0"/>
        <w:ind w:left="0"/>
        <w:jc w:val="both"/>
      </w:pPr>
      <w:r>
        <w:rPr>
          <w:rFonts w:ascii="Times New Roman"/>
          <w:b w:val="false"/>
          <w:i w:val="false"/>
          <w:color w:val="000000"/>
          <w:sz w:val="28"/>
        </w:rPr>
        <w:t>
      Объем валовой продукции растениеводства в 2015 году составил 1,8 трлн. тенге, что в реальном выражении ниже уровня 2011 года на 10,5%. Доля отрасли в структуре всего валового выпуска продукции сельского хозяйства составила 55,2%.</w:t>
      </w:r>
    </w:p>
    <w:p>
      <w:pPr>
        <w:spacing w:after="0"/>
        <w:ind w:left="0"/>
        <w:jc w:val="both"/>
      </w:pPr>
      <w:r>
        <w:rPr>
          <w:rFonts w:ascii="Times New Roman"/>
          <w:b w:val="false"/>
          <w:i w:val="false"/>
          <w:color w:val="000000"/>
          <w:sz w:val="28"/>
        </w:rPr>
        <w:t>
      Посевная площадь сельскохозяйственных культур за последние 5 лет составляла порядка 21 млн. га и изменялась незначительно, основные изменения были отмечены в ее структуре. Значительная доля посевов была отведена пшенице, но благодаря политике диверсификации растениеводства, направленной на уход от монокультуры и расширение площадей других культур, с 2011 года посевы пшеницы сократились с 13,8 млн. га до 11,8 млн. га в 2015 году (см. приложение 3 к настоящей Программе).</w:t>
      </w:r>
    </w:p>
    <w:p>
      <w:pPr>
        <w:spacing w:after="0"/>
        <w:ind w:left="0"/>
        <w:jc w:val="both"/>
      </w:pPr>
      <w:r>
        <w:rPr>
          <w:rFonts w:ascii="Times New Roman"/>
          <w:b w:val="false"/>
          <w:i w:val="false"/>
          <w:color w:val="000000"/>
          <w:sz w:val="28"/>
        </w:rPr>
        <w:t xml:space="preserve">
      За указанные годы возросли площади ячменя на 578,7 тыс. га или на 37,6%, овса – на 66,3 тыс. га (45,2%), кукурузы (маис) - на 40,4 тыс. га (41,0%), масличных – на 193,6 тыс. га (10,7%), кормовых – на 1,0 млн. га (на 40,8%), овощебахчевых культур – на 37,8 тыс. га (19,2%), картофеля – на 6,2 тыс. га (3,4%). </w:t>
      </w:r>
    </w:p>
    <w:p>
      <w:pPr>
        <w:spacing w:after="0"/>
        <w:ind w:left="0"/>
        <w:jc w:val="left"/>
      </w:pPr>
      <w:r>
        <w:rPr>
          <w:rFonts w:ascii="Times New Roman"/>
          <w:b/>
          <w:i w:val="false"/>
          <w:color w:val="000000"/>
        </w:rPr>
        <w:t xml:space="preserve"> Диаграмма 5. Динамика посевных площадей за 2011-2015 годы, млн. га</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2011– 2015 годы посевная площадь зерновых культур сократилась с 16,2 до 15,0млн. га. За эти 5 лет среднегодовой сбор зерна составил 18,8 млн. тонн, что на 10,1% больше аналогичного показателя за 2006 – 2010 годы. При этом средняя урожайность зерновых культур составила 12,3 ц/га (больше на 10,4%) (см. приложение 4 к настоящей Программе).</w:t>
      </w:r>
    </w:p>
    <w:p>
      <w:pPr>
        <w:spacing w:after="0"/>
        <w:ind w:left="0"/>
        <w:jc w:val="both"/>
      </w:pPr>
      <w:r>
        <w:rPr>
          <w:rFonts w:ascii="Times New Roman"/>
          <w:b w:val="false"/>
          <w:i w:val="false"/>
          <w:color w:val="000000"/>
          <w:sz w:val="28"/>
        </w:rPr>
        <w:t>
      Посевная площадь масличных культур в 2015 году составила 2,0 млн. га или 9,6% от общей посевной площади. В сравнении с 2011 годом удельный вес подсолнечника в общей площади масличных уменьшился на 15,6 процентных пунктов, при этом доля рапса увеличилась на 3,6 процентных пунктов, льна – на 13,4 процентных пунктов, сои – на 1,3 процентных пунктов (см. приложение 5 к настоящей Программе).</w:t>
      </w:r>
    </w:p>
    <w:p>
      <w:pPr>
        <w:spacing w:after="0"/>
        <w:ind w:left="0"/>
        <w:jc w:val="both"/>
      </w:pPr>
      <w:r>
        <w:rPr>
          <w:rFonts w:ascii="Times New Roman"/>
          <w:b w:val="false"/>
          <w:i w:val="false"/>
          <w:color w:val="000000"/>
          <w:sz w:val="28"/>
        </w:rPr>
        <w:t xml:space="preserve">
      В 2015 году площадь кормовых культур составила 3,5 млн. га, что на 40,8% больше уровня 2011 года. Доля посевных площадей кормовых культур к общей посевной площади составила 16,6% против 11,8% в 2011 году. </w:t>
      </w:r>
    </w:p>
    <w:p>
      <w:pPr>
        <w:spacing w:after="0"/>
        <w:ind w:left="0"/>
        <w:jc w:val="both"/>
      </w:pPr>
      <w:r>
        <w:rPr>
          <w:rFonts w:ascii="Times New Roman"/>
          <w:b w:val="false"/>
          <w:i w:val="false"/>
          <w:color w:val="000000"/>
          <w:sz w:val="28"/>
        </w:rPr>
        <w:t xml:space="preserve">
      За указанный период площади многолетних трав возросли на 16,1%, однолетних трав – в 3,3 раза. Однако, валовой сбор кормовых культур недостаточен для обеспечения потребности животноводства (см. приложение 6 к настоящей Программе). </w:t>
      </w:r>
    </w:p>
    <w:p>
      <w:pPr>
        <w:spacing w:after="0"/>
        <w:ind w:left="0"/>
        <w:jc w:val="both"/>
      </w:pPr>
      <w:r>
        <w:rPr>
          <w:rFonts w:ascii="Times New Roman"/>
          <w:b w:val="false"/>
          <w:i w:val="false"/>
          <w:color w:val="000000"/>
          <w:sz w:val="28"/>
        </w:rPr>
        <w:t>
      За период с 2011 по 2015 годы увеличилась посевная площадь овощных культур на 8,4%, при этом производство увеличилось на 23,9%. Доля импорта во внутреннем потреблении в 2015 году составила 11% (см. приложение 7 к настоящей Программе).</w:t>
      </w:r>
    </w:p>
    <w:p>
      <w:pPr>
        <w:spacing w:after="0"/>
        <w:ind w:left="0"/>
        <w:jc w:val="left"/>
      </w:pPr>
      <w:r>
        <w:rPr>
          <w:rFonts w:ascii="Times New Roman"/>
          <w:b/>
          <w:i w:val="false"/>
          <w:color w:val="000000"/>
        </w:rPr>
        <w:t xml:space="preserve"> Диаграмма 6. Структура посевных площадей и валового сбора масличных культур в среднем за 2011-2015 годы</w:t>
      </w:r>
    </w:p>
    <w:p>
      <w:pPr>
        <w:spacing w:after="0"/>
        <w:ind w:left="0"/>
        <w:jc w:val="left"/>
      </w:pPr>
      <w:r>
        <w:br/>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Площадь сооружений закрытого грунта в 2015 году составила 967,8 га, валовой сбор тепличных овощей – 147,7 тыс. тонн, что на 120 тыс. тонн больше, чем в 2011 году. Обеспеченность населения в тепличных овощах в период межсезонья составляет 60%.</w:t>
      </w:r>
    </w:p>
    <w:p>
      <w:pPr>
        <w:spacing w:after="0"/>
        <w:ind w:left="0"/>
        <w:jc w:val="both"/>
      </w:pPr>
      <w:r>
        <w:rPr>
          <w:rFonts w:ascii="Times New Roman"/>
          <w:b w:val="false"/>
          <w:i w:val="false"/>
          <w:color w:val="000000"/>
          <w:sz w:val="28"/>
        </w:rPr>
        <w:t>
      В 2015 году посевная площадь картофеля составила 190,6 тыс. га, валовой сбор – 3 521,1 тыс. тонн, что больше уровня 2011 года на 3,4% и 14,5%, соответственно (см. приложение 8 к настоящей Программе). При этом картофель, производимый крупными СХТП, полностью идет на рынки городов, семена и экспорт.</w:t>
      </w:r>
    </w:p>
    <w:p>
      <w:pPr>
        <w:spacing w:after="0"/>
        <w:ind w:left="0"/>
        <w:jc w:val="both"/>
      </w:pPr>
      <w:r>
        <w:rPr>
          <w:rFonts w:ascii="Times New Roman"/>
          <w:b w:val="false"/>
          <w:i w:val="false"/>
          <w:color w:val="000000"/>
          <w:sz w:val="28"/>
        </w:rPr>
        <w:t>
      В 2015 году площади плодово-ягодных культур и виноградников составили 57,5 тыс. га, валовой сбор – 280,2 тыс. тонн, что больше уровня 2011 года на 5,3% и 19,2% соответственно. Указанный объем позволяет обеспечить потребность населения республики на 54%, дефицит покрывается за счет импортной продукции (см. приложение 9 к настоящей Программе).</w:t>
      </w:r>
    </w:p>
    <w:p>
      <w:pPr>
        <w:spacing w:after="0"/>
        <w:ind w:left="0"/>
        <w:jc w:val="both"/>
      </w:pPr>
      <w:r>
        <w:rPr>
          <w:rFonts w:ascii="Times New Roman"/>
          <w:b w:val="false"/>
          <w:i w:val="false"/>
          <w:color w:val="000000"/>
          <w:sz w:val="28"/>
        </w:rPr>
        <w:t>
      В 2015 году посевная площадь сахарной свеклы составила 9,2 тыс. га, что на 49,5% меньше уровня 2011 года. За период 2011-2015 годы среднегодовой объем производства сахарной свеклы составил 122,9 тыс. тонн, что на 99,5 тыс. тонн или 45% меньше по сравнению с показателем за 2006-2010 годы. По причине недостаточности объемов производства сахарной свеклы в республику ежегодно в среднем импортируется тростниковый сахар-сырец объемом 255 тыс. тонн (см. приложение 10 к настоящей Программе).</w:t>
      </w:r>
    </w:p>
    <w:p>
      <w:pPr>
        <w:spacing w:after="0"/>
        <w:ind w:left="0"/>
        <w:jc w:val="both"/>
      </w:pPr>
      <w:r>
        <w:rPr>
          <w:rFonts w:ascii="Times New Roman"/>
          <w:b w:val="false"/>
          <w:i w:val="false"/>
          <w:color w:val="000000"/>
          <w:sz w:val="28"/>
        </w:rPr>
        <w:t>
      Производство хлопка-сырца сосредоточено в Южно-Казахстанской области. В рамках принятых мер по диверсификации за период с 2011 по 2015 годы снижение посевных площадей хлопчатника составило 61,3 тыс. га или 38,2%, валовой сбор хлопка-сырца уменьшился на 62,1 тыс. тонн или 18,5% при среднегодовой урожайности 25,9 ц/га (см. приложение 11 к настоящей Программе).</w:t>
      </w:r>
    </w:p>
    <w:p>
      <w:pPr>
        <w:spacing w:after="0"/>
        <w:ind w:left="0"/>
        <w:jc w:val="both"/>
      </w:pPr>
      <w:r>
        <w:rPr>
          <w:rFonts w:ascii="Times New Roman"/>
          <w:b w:val="false"/>
          <w:i w:val="false"/>
          <w:color w:val="000000"/>
          <w:sz w:val="28"/>
        </w:rPr>
        <w:t>
      В республике производство и реализацию семян сельскохозяйственных культур осуществляют 362 аттестованных производителя семян, при этом подавляющее большинство (74%) занимается производством семян зерновых культур, по масличным культурам аттестовано 66 субъектов, кормовым травам – 55, кукурузе – 9, сахарной свекле – 2. В этой связи производимые в республике объемы семян указанных культур не покрывают потребность в них и наблюдается значительная доля импорта семян.</w:t>
      </w:r>
    </w:p>
    <w:p>
      <w:pPr>
        <w:spacing w:after="0"/>
        <w:ind w:left="0"/>
        <w:jc w:val="left"/>
      </w:pPr>
      <w:r>
        <w:rPr>
          <w:rFonts w:ascii="Times New Roman"/>
          <w:b/>
          <w:i w:val="false"/>
          <w:color w:val="000000"/>
        </w:rPr>
        <w:t xml:space="preserve"> Диаграмма 7. Доля посевов, засеянных семенами различных репродукций, %</w:t>
      </w:r>
    </w:p>
    <w:p>
      <w:pPr>
        <w:spacing w:after="0"/>
        <w:ind w:left="0"/>
        <w:jc w:val="left"/>
      </w:pP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изменением с 2015 года механизма субсидирования семеноводства с переходом на субсидирование семян 1 репродукции по минимальным нормам снизилась доля посевов, засеянных элитными семенами. Так, в 2011 году данный показатель составил 4,4%, в 2014 году - 6,3%, в 2015 году - 3,4% (см. приложение 12 к настоящей программе).</w:t>
      </w:r>
    </w:p>
    <w:p>
      <w:pPr>
        <w:spacing w:after="0"/>
        <w:ind w:left="0"/>
        <w:jc w:val="both"/>
      </w:pPr>
      <w:r>
        <w:rPr>
          <w:rFonts w:ascii="Times New Roman"/>
          <w:b w:val="false"/>
          <w:i w:val="false"/>
          <w:color w:val="000000"/>
          <w:sz w:val="28"/>
        </w:rPr>
        <w:t>
      Площадь внесения органических удобрений в 2015 году составила порядка 69 тыс. га, что ниже уровня 2011 года на 29,1%. Ежегодная потребность республики в органических удобрениях при площади пашни</w:t>
      </w:r>
      <w:r>
        <w:br/>
      </w:r>
      <w:r>
        <w:rPr>
          <w:rFonts w:ascii="Times New Roman"/>
          <w:b w:val="false"/>
          <w:i w:val="false"/>
          <w:color w:val="000000"/>
          <w:sz w:val="28"/>
        </w:rPr>
        <w:t>21 – 22 млн. га составляет порядка 100 – 110 млн. тонн при научно-обоснованной норме внесения 5 тонн/га.</w:t>
      </w:r>
    </w:p>
    <w:p>
      <w:pPr>
        <w:spacing w:after="0"/>
        <w:ind w:left="0"/>
        <w:jc w:val="left"/>
      </w:pPr>
      <w:r>
        <w:rPr>
          <w:rFonts w:ascii="Times New Roman"/>
          <w:b/>
          <w:i w:val="false"/>
          <w:color w:val="000000"/>
        </w:rPr>
        <w:t xml:space="preserve"> Диаграмма 8. Динамика применения удобрений</w:t>
      </w:r>
    </w:p>
    <w:p>
      <w:pPr>
        <w:spacing w:after="0"/>
        <w:ind w:left="0"/>
        <w:jc w:val="left"/>
      </w:pPr>
      <w:r>
        <w:br/>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среднем за 2011-2015 годы ежегодно вносилось порядка 109,1 тыс. тонн минеральных удобрений в действующем веществе. Ежегодная потребность сельского хозяйства в минеральных удобрениях составляет 1,0 млн. тонн в действующем веществе или порядка 2,5 млн. тонн в физическом весе. При этом на долю азотных удобрений приходится 48%, на долю фосфорных – 51%, на долю калийных удобрений – 1% (см. приложение 13 к настоящей Программе).</w:t>
      </w:r>
    </w:p>
    <w:p>
      <w:pPr>
        <w:spacing w:after="0"/>
        <w:ind w:left="0"/>
        <w:jc w:val="left"/>
      </w:pPr>
      <w:r>
        <w:rPr>
          <w:rFonts w:ascii="Times New Roman"/>
          <w:b/>
          <w:i w:val="false"/>
          <w:color w:val="000000"/>
        </w:rPr>
        <w:t xml:space="preserve"> Диаграмма 9. Динамика субсидирования растениеводства, млрд. тенге</w:t>
      </w:r>
    </w:p>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Инструменты субсидирования в растениеводстве направлены на погектарное субсидирование сельскохозяйственных приоритетных культур и садов. Вместе с тем, анализ показал низкую эффективность этого вида субсидирования: во-первых, он не стимулирует СХТП к повышению уровня агротехнологий и повышению урожайности и качества производимой продукции; во-вторых, зачастую решения по гектарной субсидии принимаются членами межведомственной комиссии (далее – МВК) без фактической проверки наличия посевов; в-третьих, СХТП завышают объемы выполненных работ (размеры площади посевов).</w:t>
      </w:r>
    </w:p>
    <w:p>
      <w:pPr>
        <w:spacing w:after="0"/>
        <w:ind w:left="0"/>
        <w:jc w:val="both"/>
      </w:pPr>
      <w:r>
        <w:rPr>
          <w:rFonts w:ascii="Times New Roman"/>
          <w:b w:val="false"/>
          <w:i w:val="false"/>
          <w:color w:val="000000"/>
          <w:sz w:val="28"/>
        </w:rPr>
        <w:t>
      Кроме того, в растениеводстве субсидируются стоимость минеральных удобрений, гербицидов, биоагентов (энтомофагов) и биопрепаратов, семян, затрат на экспертизу качества хлопка-сырца и хлопка-волокна, а также закуп сахарной свеклы для производства белого сахара (см. приложение 14 к настоящей Программе).</w:t>
      </w:r>
    </w:p>
    <w:p>
      <w:pPr>
        <w:spacing w:after="0"/>
        <w:ind w:left="0"/>
        <w:jc w:val="both"/>
      </w:pPr>
      <w:r>
        <w:rPr>
          <w:rFonts w:ascii="Times New Roman"/>
          <w:b w:val="false"/>
          <w:i w:val="false"/>
          <w:color w:val="000000"/>
          <w:sz w:val="28"/>
        </w:rPr>
        <w:t xml:space="preserve">
      В республике фитосанитарная безопасность находится на удовлетворительном уровне. Развивается применение биологических методов борьбы с вредителями. Вместе с тем, выявлены новые виды карантинных объектов (бактериальный ожог плодовых деревьев, южноамериканская томатная моль), очаги которых в последние годы локально увеличились. Площадь распространения карантинных объектов и особо опасных вредных организмов по состоянию на 2016 год составляет 5 085,4 тыс. га (см. приложение 15 к настоящей Программе). </w:t>
      </w:r>
    </w:p>
    <w:p>
      <w:pPr>
        <w:spacing w:after="0"/>
        <w:ind w:left="0"/>
        <w:jc w:val="both"/>
      </w:pPr>
      <w:r>
        <w:rPr>
          <w:rFonts w:ascii="Times New Roman"/>
          <w:b w:val="false"/>
          <w:i w:val="false"/>
          <w:color w:val="000000"/>
          <w:sz w:val="28"/>
        </w:rPr>
        <w:t>
      Мероприятия по проведению химических обработок против карантинных объектов и особо опасных организмов, за исключением карантинных сорняков на землях СХТП, финансируются за счет республиканского бюджета (далее – РБ). Мероприятия против вредных организмов финансируются за счет местного бюджета (далее – МБ). Борьба с карантинными объектами и особо опасными вредными организмами осуществляется путем непосредственного вовлечения СХТП в процесс обеспечения фитосанитарного благополучия.</w:t>
      </w:r>
    </w:p>
    <w:p>
      <w:pPr>
        <w:spacing w:after="0"/>
        <w:ind w:left="0"/>
        <w:jc w:val="left"/>
      </w:pPr>
      <w:r>
        <w:rPr>
          <w:rFonts w:ascii="Times New Roman"/>
          <w:b/>
          <w:i w:val="false"/>
          <w:color w:val="000000"/>
        </w:rPr>
        <w:t xml:space="preserve"> Диаграмма 10. Динамика распространения отдельных карантинных объектов на территории РК, га</w:t>
      </w:r>
    </w:p>
    <w:p>
      <w:pPr>
        <w:spacing w:after="0"/>
        <w:ind w:left="0"/>
        <w:jc w:val="left"/>
      </w:pP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отрасли имеются следующие проблемы:</w:t>
      </w:r>
    </w:p>
    <w:p>
      <w:pPr>
        <w:spacing w:after="0"/>
        <w:ind w:left="0"/>
        <w:jc w:val="both"/>
      </w:pPr>
      <w:r>
        <w:rPr>
          <w:rFonts w:ascii="Times New Roman"/>
          <w:b w:val="false"/>
          <w:i w:val="false"/>
          <w:color w:val="000000"/>
          <w:sz w:val="28"/>
        </w:rPr>
        <w:t>
      1. Недостаточные темпы диверсификации посевных площадей сельскохозяйственных культур.</w:t>
      </w:r>
    </w:p>
    <w:p>
      <w:pPr>
        <w:spacing w:after="0"/>
        <w:ind w:left="0"/>
        <w:jc w:val="both"/>
      </w:pPr>
      <w:r>
        <w:rPr>
          <w:rFonts w:ascii="Times New Roman"/>
          <w:b w:val="false"/>
          <w:i w:val="false"/>
          <w:color w:val="000000"/>
          <w:sz w:val="28"/>
        </w:rPr>
        <w:t>
      2. Нерациональное использование земель сельскохозяйственного назначения.</w:t>
      </w:r>
    </w:p>
    <w:p>
      <w:pPr>
        <w:spacing w:after="0"/>
        <w:ind w:left="0"/>
        <w:jc w:val="both"/>
      </w:pPr>
      <w:r>
        <w:rPr>
          <w:rFonts w:ascii="Times New Roman"/>
          <w:b w:val="false"/>
          <w:i w:val="false"/>
          <w:color w:val="000000"/>
          <w:sz w:val="28"/>
        </w:rPr>
        <w:t>
      3. Несоблюдение рекомендуемых научно-обоснованных севооборотов.</w:t>
      </w:r>
    </w:p>
    <w:p>
      <w:pPr>
        <w:spacing w:after="0"/>
        <w:ind w:left="0"/>
        <w:jc w:val="both"/>
      </w:pPr>
      <w:r>
        <w:rPr>
          <w:rFonts w:ascii="Times New Roman"/>
          <w:b w:val="false"/>
          <w:i w:val="false"/>
          <w:color w:val="000000"/>
          <w:sz w:val="28"/>
        </w:rPr>
        <w:t>
      4. Недостаточное развитие семеноводства.</w:t>
      </w:r>
    </w:p>
    <w:p>
      <w:pPr>
        <w:spacing w:after="0"/>
        <w:ind w:left="0"/>
        <w:jc w:val="both"/>
      </w:pPr>
      <w:r>
        <w:rPr>
          <w:rFonts w:ascii="Times New Roman"/>
          <w:b w:val="false"/>
          <w:i w:val="false"/>
          <w:color w:val="000000"/>
          <w:sz w:val="28"/>
        </w:rPr>
        <w:t>
      5. Недостаточное применение СХТП средств химизации (удобрения, пестициды и т.д.).</w:t>
      </w:r>
    </w:p>
    <w:p>
      <w:pPr>
        <w:spacing w:after="0"/>
        <w:ind w:left="0"/>
        <w:jc w:val="both"/>
      </w:pPr>
      <w:r>
        <w:rPr>
          <w:rFonts w:ascii="Times New Roman"/>
          <w:b w:val="false"/>
          <w:i w:val="false"/>
          <w:color w:val="000000"/>
          <w:sz w:val="28"/>
        </w:rPr>
        <w:t>
      6. Низкий уровень технической и технологической оснащенности СХТП.</w:t>
      </w:r>
    </w:p>
    <w:p>
      <w:pPr>
        <w:spacing w:after="0"/>
        <w:ind w:left="0"/>
        <w:jc w:val="both"/>
      </w:pPr>
      <w:r>
        <w:rPr>
          <w:rFonts w:ascii="Times New Roman"/>
          <w:b w:val="false"/>
          <w:i w:val="false"/>
          <w:color w:val="000000"/>
          <w:sz w:val="28"/>
        </w:rPr>
        <w:t>
      7. Невысокая урожайность основных сельскохозяйственных культур.</w:t>
      </w:r>
    </w:p>
    <w:p>
      <w:pPr>
        <w:spacing w:after="0"/>
        <w:ind w:left="0"/>
        <w:jc w:val="both"/>
      </w:pPr>
      <w:r>
        <w:rPr>
          <w:rFonts w:ascii="Times New Roman"/>
          <w:b w:val="false"/>
          <w:i w:val="false"/>
          <w:color w:val="000000"/>
          <w:sz w:val="28"/>
        </w:rPr>
        <w:t xml:space="preserve">
      8. Несоответствие требованиям применяемых технологий, стандартов, систем сертификации и управления качеством. </w:t>
      </w:r>
    </w:p>
    <w:p>
      <w:pPr>
        <w:spacing w:after="0"/>
        <w:ind w:left="0"/>
        <w:jc w:val="both"/>
      </w:pPr>
      <w:r>
        <w:rPr>
          <w:rFonts w:ascii="Times New Roman"/>
          <w:b w:val="false"/>
          <w:i w:val="false"/>
          <w:color w:val="000000"/>
          <w:sz w:val="28"/>
        </w:rPr>
        <w:t xml:space="preserve">
      9. Недостаток работ по определению садопригодных территорий с привязкой к регионам. </w:t>
      </w:r>
    </w:p>
    <w:p>
      <w:pPr>
        <w:spacing w:after="0"/>
        <w:ind w:left="0"/>
        <w:jc w:val="both"/>
      </w:pPr>
      <w:r>
        <w:rPr>
          <w:rFonts w:ascii="Times New Roman"/>
          <w:b w:val="false"/>
          <w:i w:val="false"/>
          <w:color w:val="000000"/>
          <w:sz w:val="28"/>
        </w:rPr>
        <w:t>
      10. Наличие угрозы потери генофонда дикой яблони – прародительницы всех культурных сортов из-за слабого учета, контроля и проникновения в страну особо опасных вредных организмов.</w:t>
      </w:r>
    </w:p>
    <w:p>
      <w:pPr>
        <w:spacing w:after="0"/>
        <w:ind w:left="0"/>
        <w:jc w:val="both"/>
      </w:pPr>
      <w:r>
        <w:rPr>
          <w:rFonts w:ascii="Times New Roman"/>
          <w:b w:val="false"/>
          <w:i w:val="false"/>
          <w:color w:val="000000"/>
          <w:sz w:val="28"/>
        </w:rPr>
        <w:t>
      11. Отсутствие в фитосанитарном законодательстве механизмов введения запретов и ограничений, норм по проведению анализа фитосанитарного риска.</w:t>
      </w:r>
    </w:p>
    <w:p>
      <w:pPr>
        <w:spacing w:after="0"/>
        <w:ind w:left="0"/>
        <w:jc w:val="both"/>
      </w:pPr>
      <w:r>
        <w:rPr>
          <w:rFonts w:ascii="Times New Roman"/>
          <w:b w:val="false"/>
          <w:i w:val="false"/>
          <w:color w:val="000000"/>
          <w:sz w:val="28"/>
        </w:rPr>
        <w:t>
      12. Низкий уровень фитосанитарной грамотности СХТП по проведению фитосанитарных мероприятий по борьбе с вредными, особо опасными организмами и мероприятий по локализации и ликвидации карантинных объектов.</w:t>
      </w:r>
    </w:p>
    <w:p>
      <w:pPr>
        <w:spacing w:after="0"/>
        <w:ind w:left="0"/>
        <w:jc w:val="both"/>
      </w:pPr>
      <w:r>
        <w:rPr>
          <w:rFonts w:ascii="Times New Roman"/>
          <w:b w:val="false"/>
          <w:i w:val="false"/>
          <w:color w:val="000000"/>
          <w:sz w:val="28"/>
        </w:rPr>
        <w:t>
      13. Повышение риска интродукции и распространения ранее не зарегистрированных в РК карантинных объектов с расширением торговых партнеров и товарооборота в рамках членства в ЕАЭС и ВТО.</w:t>
      </w:r>
    </w:p>
    <w:p>
      <w:pPr>
        <w:spacing w:after="0"/>
        <w:ind w:left="0"/>
        <w:jc w:val="both"/>
      </w:pPr>
      <w:r>
        <w:rPr>
          <w:rFonts w:ascii="Times New Roman"/>
          <w:b w:val="false"/>
          <w:i w:val="false"/>
          <w:color w:val="000000"/>
          <w:sz w:val="28"/>
        </w:rPr>
        <w:t xml:space="preserve">
      14. Низкая степень доступности субсидий для большинства СХТП. </w:t>
      </w:r>
    </w:p>
    <w:p>
      <w:pPr>
        <w:spacing w:after="0"/>
        <w:ind w:left="0"/>
        <w:jc w:val="both"/>
      </w:pPr>
      <w:r>
        <w:rPr>
          <w:rFonts w:ascii="Times New Roman"/>
          <w:b w:val="false"/>
          <w:i w:val="false"/>
          <w:color w:val="000000"/>
          <w:sz w:val="28"/>
        </w:rPr>
        <w:t>
      15. Отсутствие привязки субсидирования к конечному результату и специализации регионов.</w:t>
      </w:r>
    </w:p>
    <w:p>
      <w:pPr>
        <w:spacing w:after="0"/>
        <w:ind w:left="0"/>
        <w:jc w:val="both"/>
      </w:pPr>
      <w:r>
        <w:rPr>
          <w:rFonts w:ascii="Times New Roman"/>
          <w:b w:val="false"/>
          <w:i w:val="false"/>
          <w:color w:val="000000"/>
          <w:sz w:val="28"/>
        </w:rPr>
        <w:t>
      16. Низкая эффективность гектарной субсидии.</w:t>
      </w:r>
    </w:p>
    <w:p>
      <w:pPr>
        <w:spacing w:after="0"/>
        <w:ind w:left="0"/>
        <w:jc w:val="left"/>
      </w:pPr>
      <w:r>
        <w:rPr>
          <w:rFonts w:ascii="Times New Roman"/>
          <w:b/>
          <w:i w:val="false"/>
          <w:color w:val="000000"/>
        </w:rPr>
        <w:t xml:space="preserve"> 3.3.Животноводство</w:t>
      </w:r>
    </w:p>
    <w:p>
      <w:pPr>
        <w:spacing w:after="0"/>
        <w:ind w:left="0"/>
        <w:jc w:val="both"/>
      </w:pPr>
      <w:r>
        <w:rPr>
          <w:rFonts w:ascii="Times New Roman"/>
          <w:b w:val="false"/>
          <w:i w:val="false"/>
          <w:color w:val="000000"/>
          <w:sz w:val="28"/>
        </w:rPr>
        <w:t>
      Объем валовой продукции животноводства в 2015 году составил 1,5 трлн. тенге, что в реальном выражении выше уровня 2011 года на 5,1 %. Доля отрасли в структуре валового выпуска продукции сельского хозяйства составила 44,4%.</w:t>
      </w:r>
    </w:p>
    <w:p>
      <w:pPr>
        <w:spacing w:after="0"/>
        <w:ind w:left="0"/>
        <w:jc w:val="both"/>
      </w:pPr>
      <w:r>
        <w:rPr>
          <w:rFonts w:ascii="Times New Roman"/>
          <w:b w:val="false"/>
          <w:i w:val="false"/>
          <w:color w:val="000000"/>
          <w:sz w:val="28"/>
        </w:rPr>
        <w:t>
      По состоянию на 1 января 2016 года численность поголовья крупного рогатого скота по сравнению с 2011 годом увеличилась на 8,3%, лошадей на 28,7%, овец на 1,5%, птицы на 8,3%.</w:t>
      </w:r>
    </w:p>
    <w:p>
      <w:pPr>
        <w:spacing w:after="0"/>
        <w:ind w:left="0"/>
        <w:jc w:val="both"/>
      </w:pPr>
      <w:r>
        <w:rPr>
          <w:rFonts w:ascii="Times New Roman"/>
          <w:b w:val="false"/>
          <w:i w:val="false"/>
          <w:color w:val="000000"/>
          <w:sz w:val="28"/>
        </w:rPr>
        <w:t>
      В производстве животноводческой продукции за 2015 год на долю личных подсобных хозяйств (далее – ЛПХ) приходится по мясу 62%, по молоку – 80%, по яйцу – 26% от общего объема производства.</w:t>
      </w:r>
    </w:p>
    <w:p>
      <w:pPr>
        <w:spacing w:after="0"/>
        <w:ind w:left="0"/>
        <w:jc w:val="both"/>
      </w:pPr>
      <w:r>
        <w:rPr>
          <w:rFonts w:ascii="Times New Roman"/>
          <w:b w:val="false"/>
          <w:i w:val="false"/>
          <w:color w:val="000000"/>
          <w:sz w:val="28"/>
        </w:rPr>
        <w:t>
      По состоянию на 1 января 2016 года производство всех видов мяса составило 931,0 тыс. тонн, данный показатель снизился на 0,9% по сравнению с 2011 годом.</w:t>
      </w:r>
    </w:p>
    <w:p>
      <w:pPr>
        <w:spacing w:after="0"/>
        <w:ind w:left="0"/>
        <w:jc w:val="left"/>
      </w:pPr>
      <w:r>
        <w:rPr>
          <w:rFonts w:ascii="Times New Roman"/>
          <w:b/>
          <w:i w:val="false"/>
          <w:color w:val="000000"/>
        </w:rPr>
        <w:t xml:space="preserve"> Диаграмма 11. Численность поголовья животных, млн. голов</w:t>
      </w:r>
    </w:p>
    <w:p>
      <w:pPr>
        <w:spacing w:after="0"/>
        <w:ind w:left="0"/>
        <w:jc w:val="left"/>
      </w:pPr>
      <w:r>
        <w:br/>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структуре потребления по итогам 2015 года доля импорта говядины составила – 3,7%, свинины – 3,9%, конины – 3%, баранины – 0,01%, что говорит о высоком экспортном потенциале данных видов продукции. Несмотря на рост производства мяса птицы, степень импортозависимости по данной продукции остается высокой (54%).</w:t>
      </w:r>
    </w:p>
    <w:p>
      <w:pPr>
        <w:spacing w:after="0"/>
        <w:ind w:left="0"/>
        <w:jc w:val="both"/>
      </w:pPr>
      <w:r>
        <w:rPr>
          <w:rFonts w:ascii="Times New Roman"/>
          <w:b w:val="false"/>
          <w:i w:val="false"/>
          <w:color w:val="000000"/>
          <w:sz w:val="28"/>
        </w:rPr>
        <w:t>
      Производство молока всех видов в 2015 году составило 5182,4 тыс. тонн. В структуре потребления продуктов переработки молока доля импорта составляет от 10 до 40%.</w:t>
      </w:r>
    </w:p>
    <w:p>
      <w:pPr>
        <w:spacing w:after="0"/>
        <w:ind w:left="0"/>
        <w:jc w:val="both"/>
      </w:pPr>
      <w:r>
        <w:rPr>
          <w:rFonts w:ascii="Times New Roman"/>
          <w:b w:val="false"/>
          <w:i w:val="false"/>
          <w:color w:val="000000"/>
          <w:sz w:val="28"/>
        </w:rPr>
        <w:t>
      Внутреннее производство яиц практически полностью покрывает потребность внутреннего рынка. Экспорт товарного яйца составляет около 2% от общего объема производства (см. приложение 16 к настоящей Программе).</w:t>
      </w:r>
    </w:p>
    <w:p>
      <w:pPr>
        <w:spacing w:after="0"/>
        <w:ind w:left="0"/>
        <w:jc w:val="both"/>
      </w:pPr>
      <w:r>
        <w:rPr>
          <w:rFonts w:ascii="Times New Roman"/>
          <w:b w:val="false"/>
          <w:i w:val="false"/>
          <w:color w:val="000000"/>
          <w:sz w:val="28"/>
        </w:rPr>
        <w:t>
      В течение последних пяти лет средняя продуктивность сельскохозяйственных животных у отечественных СХТП повысилась, но остается ниже уровня развитых стран. К примеру, средний удой молока в стране составляет 2200 кг на дойную корову, тогда как в Канаде этот показатель выше, чем в 4 раза (см. приложение 17 к настоящей Программе).</w:t>
      </w:r>
    </w:p>
    <w:p>
      <w:pPr>
        <w:spacing w:after="0"/>
        <w:ind w:left="0"/>
        <w:jc w:val="both"/>
      </w:pPr>
      <w:r>
        <w:rPr>
          <w:rFonts w:ascii="Times New Roman"/>
          <w:b w:val="false"/>
          <w:i w:val="false"/>
          <w:color w:val="000000"/>
          <w:sz w:val="28"/>
        </w:rPr>
        <w:t>
      В настоящее время на одну условную голову производится 14 центнеров кормовых единиц, что в 2 раза ниже зоотехнической нормы. Производство комбикормов за 2015 год составило 1,2 млн. тонн при совокупной мощности предприятий – 2,5 млн. тонн.</w:t>
      </w:r>
    </w:p>
    <w:p>
      <w:pPr>
        <w:spacing w:after="0"/>
        <w:ind w:left="0"/>
        <w:jc w:val="both"/>
      </w:pPr>
      <w:r>
        <w:rPr>
          <w:rFonts w:ascii="Times New Roman"/>
          <w:b w:val="false"/>
          <w:i w:val="false"/>
          <w:color w:val="000000"/>
          <w:sz w:val="28"/>
        </w:rPr>
        <w:t>
      Доля племенного поголовья всех видов сельскохозяйственных животных и птицы значительно увеличилась и по итогам 2015 года составила: крупнорогатый скот (далее – КРС) – 10,6%, овец – 15,1%, свиней – 19,9%, лошадей – 7,9%, верблюдов – 13,1% и птицы – 17,1% (см. приложение</w:t>
      </w:r>
      <w:r>
        <w:br/>
      </w:r>
      <w:r>
        <w:rPr>
          <w:rFonts w:ascii="Times New Roman"/>
          <w:b w:val="false"/>
          <w:i w:val="false"/>
          <w:color w:val="000000"/>
          <w:sz w:val="28"/>
        </w:rPr>
        <w:t>18 к настоящей Программе).</w:t>
      </w:r>
    </w:p>
    <w:p>
      <w:pPr>
        <w:spacing w:after="0"/>
        <w:ind w:left="0"/>
        <w:jc w:val="both"/>
      </w:pPr>
      <w:r>
        <w:rPr>
          <w:rFonts w:ascii="Times New Roman"/>
          <w:b w:val="false"/>
          <w:i w:val="false"/>
          <w:color w:val="000000"/>
          <w:sz w:val="28"/>
        </w:rPr>
        <w:t>
      Инструменты субсидирования в животноводстве направлены на удешевление стоимости приобретенных племенных животных, затрат на ведение селекционно-племенной работы, искусственное осеменение сельскохозяйственных животных, удешевление стоимости производства продукции животноводства (см. приложение 19 к настоящей Программе).</w:t>
      </w:r>
    </w:p>
    <w:p>
      <w:pPr>
        <w:spacing w:after="0"/>
        <w:ind w:left="0"/>
        <w:jc w:val="both"/>
      </w:pPr>
      <w:r>
        <w:rPr>
          <w:rFonts w:ascii="Times New Roman"/>
          <w:b w:val="false"/>
          <w:i w:val="false"/>
          <w:color w:val="000000"/>
          <w:sz w:val="28"/>
        </w:rPr>
        <w:t>
      Объем государственной поддержки животноводства в 2015 году увеличился по сравнению с 2011 годом в 3 раза. Мерами государственной поддержки охвачены все направления животноводства.</w:t>
      </w:r>
    </w:p>
    <w:p>
      <w:pPr>
        <w:spacing w:after="0"/>
        <w:ind w:left="0"/>
        <w:jc w:val="left"/>
      </w:pPr>
      <w:r>
        <w:rPr>
          <w:rFonts w:ascii="Times New Roman"/>
          <w:b/>
          <w:i w:val="false"/>
          <w:color w:val="000000"/>
        </w:rPr>
        <w:t xml:space="preserve"> Диаграмма 12. Динамика субсидирования отраслей животноводства, млрд. тенге</w:t>
      </w:r>
    </w:p>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общего объема производства говядины субсидированием было охвачено 6%. При этом более 70% объема производства говядины приходится на ЛПХ, который не субсидируется.</w:t>
      </w:r>
    </w:p>
    <w:p>
      <w:pPr>
        <w:spacing w:after="0"/>
        <w:ind w:left="0"/>
        <w:jc w:val="left"/>
      </w:pPr>
      <w:r>
        <w:rPr>
          <w:rFonts w:ascii="Times New Roman"/>
          <w:b/>
          <w:i w:val="false"/>
          <w:color w:val="000000"/>
        </w:rPr>
        <w:t xml:space="preserve"> Диаграмма 13. Охват субсидированием продукции животноводства в 2015 году, тыс. тонн</w:t>
      </w:r>
    </w:p>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общего объема производства молока субсидированием было охвачено 4,7%. При этом 80% объема производства молока приходится на ЛПХ (см. приложение 20 к настоящей Программе).</w:t>
      </w:r>
    </w:p>
    <w:p>
      <w:pPr>
        <w:spacing w:after="0"/>
        <w:ind w:left="0"/>
        <w:jc w:val="both"/>
      </w:pPr>
      <w:r>
        <w:rPr>
          <w:rFonts w:ascii="Times New Roman"/>
          <w:b w:val="false"/>
          <w:i w:val="false"/>
          <w:color w:val="000000"/>
          <w:sz w:val="28"/>
        </w:rPr>
        <w:t>
      В 2015 году было зарегистрировано 248 очагов острых инфекционных болезней, в результате чего для ряда областей Казахстана был запрещен экспорт животноводческой продукции (см. приложения 21 и 22 к настоящей Программе).</w:t>
      </w:r>
    </w:p>
    <w:p>
      <w:pPr>
        <w:spacing w:after="0"/>
        <w:ind w:left="0"/>
        <w:jc w:val="left"/>
      </w:pPr>
      <w:r>
        <w:rPr>
          <w:rFonts w:ascii="Times New Roman"/>
          <w:b/>
          <w:i w:val="false"/>
          <w:color w:val="000000"/>
        </w:rPr>
        <w:t xml:space="preserve"> Диаграмма 14. Эпизоотическая ситуация по особо опасным болезням животных, (количество случаев)</w:t>
      </w:r>
    </w:p>
    <w:p>
      <w:pPr>
        <w:spacing w:after="0"/>
        <w:ind w:left="0"/>
        <w:jc w:val="left"/>
      </w:pP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Диаграмма 15. Эпизоотическая ситуация по хроническим болезням животных, (количество случаев)</w:t>
      </w:r>
    </w:p>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отрасли существуют следующие проблемы:</w:t>
      </w:r>
    </w:p>
    <w:p>
      <w:pPr>
        <w:spacing w:after="0"/>
        <w:ind w:left="0"/>
        <w:jc w:val="both"/>
      </w:pPr>
      <w:r>
        <w:rPr>
          <w:rFonts w:ascii="Times New Roman"/>
          <w:b w:val="false"/>
          <w:i w:val="false"/>
          <w:color w:val="000000"/>
          <w:sz w:val="28"/>
        </w:rPr>
        <w:t>
      1. Низкая продуктивность сельскохозяйственных животных и птицы.</w:t>
      </w:r>
    </w:p>
    <w:p>
      <w:pPr>
        <w:spacing w:after="0"/>
        <w:ind w:left="0"/>
        <w:jc w:val="both"/>
      </w:pPr>
      <w:r>
        <w:rPr>
          <w:rFonts w:ascii="Times New Roman"/>
          <w:b w:val="false"/>
          <w:i w:val="false"/>
          <w:color w:val="000000"/>
          <w:sz w:val="28"/>
        </w:rPr>
        <w:t>
      2. Недостаточная обеспеченность кормовой базой.</w:t>
      </w:r>
    </w:p>
    <w:p>
      <w:pPr>
        <w:spacing w:after="0"/>
        <w:ind w:left="0"/>
        <w:jc w:val="both"/>
      </w:pPr>
      <w:r>
        <w:rPr>
          <w:rFonts w:ascii="Times New Roman"/>
          <w:b w:val="false"/>
          <w:i w:val="false"/>
          <w:color w:val="000000"/>
          <w:sz w:val="28"/>
        </w:rPr>
        <w:t>
      3. Низкая доля племенного поголовья животных и птицы.</w:t>
      </w:r>
    </w:p>
    <w:p>
      <w:pPr>
        <w:spacing w:after="0"/>
        <w:ind w:left="0"/>
        <w:jc w:val="both"/>
      </w:pPr>
      <w:r>
        <w:rPr>
          <w:rFonts w:ascii="Times New Roman"/>
          <w:b w:val="false"/>
          <w:i w:val="false"/>
          <w:color w:val="000000"/>
          <w:sz w:val="28"/>
        </w:rPr>
        <w:t>
      4. Недостаточность посевных площадей под кормовыми и фуражными культурами.</w:t>
      </w:r>
    </w:p>
    <w:p>
      <w:pPr>
        <w:spacing w:after="0"/>
        <w:ind w:left="0"/>
        <w:jc w:val="both"/>
      </w:pPr>
      <w:r>
        <w:rPr>
          <w:rFonts w:ascii="Times New Roman"/>
          <w:b w:val="false"/>
          <w:i w:val="false"/>
          <w:color w:val="000000"/>
          <w:sz w:val="28"/>
        </w:rPr>
        <w:t>
      5. Нерациональное использование пастбищных угодий.</w:t>
      </w:r>
    </w:p>
    <w:p>
      <w:pPr>
        <w:spacing w:after="0"/>
        <w:ind w:left="0"/>
        <w:jc w:val="both"/>
      </w:pPr>
      <w:r>
        <w:rPr>
          <w:rFonts w:ascii="Times New Roman"/>
          <w:b w:val="false"/>
          <w:i w:val="false"/>
          <w:color w:val="000000"/>
          <w:sz w:val="28"/>
        </w:rPr>
        <w:t>
      6. Нехватка оборотных средств у комбикормовых предприятий.</w:t>
      </w:r>
    </w:p>
    <w:p>
      <w:pPr>
        <w:spacing w:after="0"/>
        <w:ind w:left="0"/>
        <w:jc w:val="both"/>
      </w:pPr>
      <w:r>
        <w:rPr>
          <w:rFonts w:ascii="Times New Roman"/>
          <w:b w:val="false"/>
          <w:i w:val="false"/>
          <w:color w:val="000000"/>
          <w:sz w:val="28"/>
        </w:rPr>
        <w:t>
      7. Неполный охват сельскохозяйственных животных ветеринарно-профилактическими мероприятиями.</w:t>
      </w:r>
    </w:p>
    <w:p>
      <w:pPr>
        <w:spacing w:after="0"/>
        <w:ind w:left="0"/>
        <w:jc w:val="both"/>
      </w:pPr>
      <w:r>
        <w:rPr>
          <w:rFonts w:ascii="Times New Roman"/>
          <w:b w:val="false"/>
          <w:i w:val="false"/>
          <w:color w:val="000000"/>
          <w:sz w:val="28"/>
        </w:rPr>
        <w:t>
      8. Несовершенство ветеринарного законодательства в части гармонизации с международными требованиями.</w:t>
      </w:r>
    </w:p>
    <w:p>
      <w:pPr>
        <w:spacing w:after="0"/>
        <w:ind w:left="0"/>
        <w:jc w:val="both"/>
      </w:pPr>
      <w:r>
        <w:rPr>
          <w:rFonts w:ascii="Times New Roman"/>
          <w:b w:val="false"/>
          <w:i w:val="false"/>
          <w:color w:val="000000"/>
          <w:sz w:val="28"/>
        </w:rPr>
        <w:t>
      9. Отсутствие подчиненности при осуществлении функций в сфере ветеринарии между местными исполнительными органами областей и городов областного значения, районов.</w:t>
      </w:r>
    </w:p>
    <w:p>
      <w:pPr>
        <w:spacing w:after="0"/>
        <w:ind w:left="0"/>
        <w:jc w:val="both"/>
      </w:pPr>
      <w:r>
        <w:rPr>
          <w:rFonts w:ascii="Times New Roman"/>
          <w:b w:val="false"/>
          <w:i w:val="false"/>
          <w:color w:val="000000"/>
          <w:sz w:val="28"/>
        </w:rPr>
        <w:t>
      10. Несвоевременное обеспечение регионов средствами (изделиями) и атрибутами для идентификации сельскохозяйственных животных.</w:t>
      </w:r>
    </w:p>
    <w:p>
      <w:pPr>
        <w:spacing w:after="0"/>
        <w:ind w:left="0"/>
        <w:jc w:val="both"/>
      </w:pPr>
      <w:r>
        <w:rPr>
          <w:rFonts w:ascii="Times New Roman"/>
          <w:b w:val="false"/>
          <w:i w:val="false"/>
          <w:color w:val="000000"/>
          <w:sz w:val="28"/>
        </w:rPr>
        <w:t>
      11. Неполный охват сельских населенных пунктов высокоскоростной качественной интернет-связью.</w:t>
      </w:r>
    </w:p>
    <w:p>
      <w:pPr>
        <w:spacing w:after="0"/>
        <w:ind w:left="0"/>
        <w:jc w:val="both"/>
      </w:pPr>
      <w:r>
        <w:rPr>
          <w:rFonts w:ascii="Times New Roman"/>
          <w:b w:val="false"/>
          <w:i w:val="false"/>
          <w:color w:val="000000"/>
          <w:sz w:val="28"/>
        </w:rPr>
        <w:t xml:space="preserve">
      12. Низкая степень доступности субсидий для большинства СХТП. </w:t>
      </w:r>
    </w:p>
    <w:p>
      <w:pPr>
        <w:spacing w:after="0"/>
        <w:ind w:left="0"/>
        <w:jc w:val="both"/>
      </w:pPr>
      <w:r>
        <w:rPr>
          <w:rFonts w:ascii="Times New Roman"/>
          <w:b w:val="false"/>
          <w:i w:val="false"/>
          <w:color w:val="000000"/>
          <w:sz w:val="28"/>
        </w:rPr>
        <w:t>
      13. Отсутствие привязки субсидирования к конечному результату и специализации регионов.</w:t>
      </w:r>
    </w:p>
    <w:p>
      <w:pPr>
        <w:spacing w:after="0"/>
        <w:ind w:left="0"/>
        <w:jc w:val="both"/>
      </w:pPr>
      <w:r>
        <w:rPr>
          <w:rFonts w:ascii="Times New Roman"/>
          <w:b w:val="false"/>
          <w:i w:val="false"/>
          <w:color w:val="000000"/>
          <w:sz w:val="28"/>
        </w:rPr>
        <w:t>
      14. Отсутствие приоритетности продукции внутри отраслей животноводства.</w:t>
      </w:r>
    </w:p>
    <w:p>
      <w:pPr>
        <w:spacing w:after="0"/>
        <w:ind w:left="0"/>
        <w:jc w:val="left"/>
      </w:pPr>
      <w:r>
        <w:rPr>
          <w:rFonts w:ascii="Times New Roman"/>
          <w:b/>
          <w:i w:val="false"/>
          <w:color w:val="000000"/>
        </w:rPr>
        <w:t xml:space="preserve"> 3.4. Аквакультура</w:t>
      </w:r>
    </w:p>
    <w:p>
      <w:pPr>
        <w:spacing w:after="0"/>
        <w:ind w:left="0"/>
        <w:jc w:val="both"/>
      </w:pPr>
      <w:r>
        <w:rPr>
          <w:rFonts w:ascii="Times New Roman"/>
          <w:b w:val="false"/>
          <w:i w:val="false"/>
          <w:color w:val="000000"/>
          <w:sz w:val="28"/>
        </w:rPr>
        <w:t xml:space="preserve">
      На сегодня в Казахстане основные рыбные ресурсы вылавливаются в естественных водоемах, при этом слабо развита аквакультура. Так, объем выращивания рыбы в 2015 году составил 0,7 тыс. тонн, а улов рыбы и других водных животных в естественных водоемах - 41,5 тыс. тонн. </w:t>
      </w:r>
    </w:p>
    <w:p>
      <w:pPr>
        <w:spacing w:after="0"/>
        <w:ind w:left="0"/>
        <w:jc w:val="both"/>
      </w:pPr>
      <w:r>
        <w:rPr>
          <w:rFonts w:ascii="Times New Roman"/>
          <w:b w:val="false"/>
          <w:i w:val="false"/>
          <w:color w:val="000000"/>
          <w:sz w:val="28"/>
        </w:rPr>
        <w:t xml:space="preserve">
      Выращивание рыбы осуществляют более 75 рыбоводных хозяйств, из них: 42 озерно-товарных рыбоводных хозяйства (далее - ОТРХ), 17 прудовых, 10 индустриальных рыбоводных хозяйств с установками замкнутого водообеспечения (далее - УЗВ), 3 бассейновых и 3 садковых рыбоводных хозяйств. </w:t>
      </w:r>
    </w:p>
    <w:p>
      <w:pPr>
        <w:spacing w:after="0"/>
        <w:ind w:left="0"/>
        <w:jc w:val="both"/>
      </w:pPr>
      <w:r>
        <w:rPr>
          <w:rFonts w:ascii="Times New Roman"/>
          <w:b w:val="false"/>
          <w:i w:val="false"/>
          <w:color w:val="000000"/>
          <w:sz w:val="28"/>
        </w:rPr>
        <w:t>
      Тем не менее, в отрасли существуют следующие проблемы:</w:t>
      </w:r>
    </w:p>
    <w:p>
      <w:pPr>
        <w:spacing w:after="0"/>
        <w:ind w:left="0"/>
        <w:jc w:val="both"/>
      </w:pPr>
      <w:r>
        <w:rPr>
          <w:rFonts w:ascii="Times New Roman"/>
          <w:b w:val="false"/>
          <w:i w:val="false"/>
          <w:color w:val="000000"/>
          <w:sz w:val="28"/>
        </w:rPr>
        <w:t>
      1. Необеспеченность частных рыбоводных хозяйств специализированными кормами.</w:t>
      </w:r>
    </w:p>
    <w:p>
      <w:pPr>
        <w:spacing w:after="0"/>
        <w:ind w:left="0"/>
        <w:jc w:val="both"/>
      </w:pPr>
      <w:r>
        <w:rPr>
          <w:rFonts w:ascii="Times New Roman"/>
          <w:b w:val="false"/>
          <w:i w:val="false"/>
          <w:color w:val="000000"/>
          <w:sz w:val="28"/>
        </w:rPr>
        <w:t>
      2. Недостаток информационно-консультационного обеспечения предпринимателей современными технологиями выращивания рыбы.</w:t>
      </w:r>
    </w:p>
    <w:p>
      <w:pPr>
        <w:spacing w:after="0"/>
        <w:ind w:left="0"/>
        <w:jc w:val="both"/>
      </w:pPr>
      <w:r>
        <w:rPr>
          <w:rFonts w:ascii="Times New Roman"/>
          <w:b w:val="false"/>
          <w:i w:val="false"/>
          <w:color w:val="000000"/>
          <w:sz w:val="28"/>
        </w:rPr>
        <w:t>
      3. Несовершенство нормативной правовой и нормативно-технической базы аквакультуры.</w:t>
      </w:r>
    </w:p>
    <w:p>
      <w:pPr>
        <w:spacing w:after="0"/>
        <w:ind w:left="0"/>
        <w:jc w:val="left"/>
      </w:pPr>
      <w:r>
        <w:rPr>
          <w:rFonts w:ascii="Times New Roman"/>
          <w:b/>
          <w:i w:val="false"/>
          <w:color w:val="000000"/>
        </w:rPr>
        <w:t xml:space="preserve"> 3.5. Производство органической сельскохозяйственной продукции</w:t>
      </w:r>
    </w:p>
    <w:p>
      <w:pPr>
        <w:spacing w:after="0"/>
        <w:ind w:left="0"/>
        <w:jc w:val="both"/>
      </w:pPr>
      <w:r>
        <w:rPr>
          <w:rFonts w:ascii="Times New Roman"/>
          <w:b w:val="false"/>
          <w:i w:val="false"/>
          <w:color w:val="000000"/>
          <w:sz w:val="28"/>
        </w:rPr>
        <w:t>
      Переход к ведению интенсивного сельского хозяйства, широкое использование генетически-модифицированных организмов (далее – ГМО), ядохимикатов, минеральных удобрений, антибиотиков и стимуляторов продуктивности животных оказывают негативное влияние не только на окружающую среду и здоровье людей, но также на экономическую и социальную устойчивость общества в целом. С помощью максимального использования биопотенциала почвы, растений, животных, органическое сельское хозяйство способно минимизировать экологические, социальные и экономические риски, а также предоставить возможность сельским жителям повысить уровень своих доходов, улучшить качество жизни. Производство экопродукции для казахстанских аграриев является перспективным, но пока недостаточно развитым, что открывает для них новые возможности. Это – инновационное направление, и одни из его задач – сохранение местных традиций и культуры, а также использование положительного опыта ведения сельского хозяйства, унаследованного от старших поколений.</w:t>
      </w:r>
    </w:p>
    <w:p>
      <w:pPr>
        <w:spacing w:after="0"/>
        <w:ind w:left="0"/>
        <w:jc w:val="both"/>
      </w:pPr>
      <w:r>
        <w:rPr>
          <w:rFonts w:ascii="Times New Roman"/>
          <w:b w:val="false"/>
          <w:i w:val="false"/>
          <w:color w:val="000000"/>
          <w:sz w:val="28"/>
        </w:rPr>
        <w:t xml:space="preserve">
      Кроме того, производство и реализация органической сельскохозяйственной продукции являются объективным национальным конкурентным преимуществом АПК Казахстана. </w:t>
      </w:r>
    </w:p>
    <w:p>
      <w:pPr>
        <w:spacing w:after="0"/>
        <w:ind w:left="0"/>
        <w:jc w:val="both"/>
      </w:pPr>
      <w:r>
        <w:rPr>
          <w:rFonts w:ascii="Times New Roman"/>
          <w:b w:val="false"/>
          <w:i w:val="false"/>
          <w:color w:val="000000"/>
          <w:sz w:val="28"/>
        </w:rPr>
        <w:t>
      Закон РК "О производстве органической продукции" предусматривает отказ от использования пестицидов, синтетических минеральных удобрений, регуляторов роста, искусственных пищевых добавок, а также запрещает использование ГМО. Получение органических продуктов сопровождается поддержанием и улучшением здоровья почвы, естественных экосистем, минимизирует угрозы, связанные с неустойчивостью развития, создает условия для здоровья и благополучия населения.</w:t>
      </w:r>
    </w:p>
    <w:p>
      <w:pPr>
        <w:spacing w:after="0"/>
        <w:ind w:left="0"/>
        <w:jc w:val="both"/>
      </w:pPr>
      <w:r>
        <w:rPr>
          <w:rFonts w:ascii="Times New Roman"/>
          <w:b w:val="false"/>
          <w:i w:val="false"/>
          <w:color w:val="000000"/>
          <w:sz w:val="28"/>
        </w:rPr>
        <w:t>
      Национальная система производства и оборота органической продукции должна быть совместима с международной и учитывать специфику сельского хозяйства Казахстана.</w:t>
      </w:r>
    </w:p>
    <w:p>
      <w:pPr>
        <w:spacing w:after="0"/>
        <w:ind w:left="0"/>
        <w:jc w:val="both"/>
      </w:pPr>
      <w:r>
        <w:rPr>
          <w:rFonts w:ascii="Times New Roman"/>
          <w:b w:val="false"/>
          <w:i w:val="false"/>
          <w:color w:val="000000"/>
          <w:sz w:val="28"/>
        </w:rPr>
        <w:t>
      Формирование системы ведения органического сельского хозяйства не означает отказ от индустриального сельскохозяйственного производства: и органическая, и индустриальная системы ведения сельскохозяйственного производства могут эффективно функционировать параллельно друг другу, постепенно трансформируясь в такую аграрную технологию, которая сможет удовлетворить текущие и возможные потребности в органических продуктах на внутреннем и международном рынках.</w:t>
      </w:r>
    </w:p>
    <w:p>
      <w:pPr>
        <w:spacing w:after="0"/>
        <w:ind w:left="0"/>
        <w:jc w:val="both"/>
      </w:pPr>
      <w:r>
        <w:rPr>
          <w:rFonts w:ascii="Times New Roman"/>
          <w:b w:val="false"/>
          <w:i w:val="false"/>
          <w:color w:val="000000"/>
          <w:sz w:val="28"/>
        </w:rPr>
        <w:t>
      Официальная статистика по состоянию на 2016 год не ведет учета предприятий, осуществляющих производство органической продукции.</w:t>
      </w:r>
    </w:p>
    <w:p>
      <w:pPr>
        <w:spacing w:after="0"/>
        <w:ind w:left="0"/>
        <w:jc w:val="both"/>
      </w:pPr>
      <w:r>
        <w:rPr>
          <w:rFonts w:ascii="Times New Roman"/>
          <w:b w:val="false"/>
          <w:i w:val="false"/>
          <w:color w:val="000000"/>
          <w:sz w:val="28"/>
        </w:rPr>
        <w:t>
      По данным Казахского научно-исследовательского института экономики АПК и развития сельских территорий на территории республики действуют 29 производителей органической продукции и 19 компаний, сертифицированных на переработку, хранение, транспортировку и другие операции с органическими продуктами. В 2015 году производство органической продукции составило около 300 тыс. тонн, из которых 62 тыс. тонн на сумму около 10 млн. долларов США были экспортированы в Великобританию, Италию, Германию, Францию, Бельгию, Нидерланды, Польшу, Россию, Украину и другие страны (см. приложение 23 к настоящей Программе).</w:t>
      </w:r>
    </w:p>
    <w:p>
      <w:pPr>
        <w:spacing w:after="0"/>
        <w:ind w:left="0"/>
        <w:jc w:val="both"/>
      </w:pPr>
      <w:r>
        <w:rPr>
          <w:rFonts w:ascii="Times New Roman"/>
          <w:b w:val="false"/>
          <w:i w:val="false"/>
          <w:color w:val="000000"/>
          <w:sz w:val="28"/>
        </w:rPr>
        <w:t>
      Развитие производства органической продукции сдерживают следующие проблемы:</w:t>
      </w:r>
    </w:p>
    <w:p>
      <w:pPr>
        <w:spacing w:after="0"/>
        <w:ind w:left="0"/>
        <w:jc w:val="both"/>
      </w:pPr>
      <w:r>
        <w:rPr>
          <w:rFonts w:ascii="Times New Roman"/>
          <w:b w:val="false"/>
          <w:i w:val="false"/>
          <w:color w:val="000000"/>
          <w:sz w:val="28"/>
        </w:rPr>
        <w:t>
      1. Несовершенство нормативной правовой базы в сфере производства и оборота органической продукции.</w:t>
      </w:r>
    </w:p>
    <w:p>
      <w:pPr>
        <w:spacing w:after="0"/>
        <w:ind w:left="0"/>
        <w:jc w:val="both"/>
      </w:pPr>
      <w:r>
        <w:rPr>
          <w:rFonts w:ascii="Times New Roman"/>
          <w:b w:val="false"/>
          <w:i w:val="false"/>
          <w:color w:val="000000"/>
          <w:sz w:val="28"/>
        </w:rPr>
        <w:t>
      2. Отсутствие в стране собственной системы сертификации производства органической продукции.</w:t>
      </w:r>
    </w:p>
    <w:p>
      <w:pPr>
        <w:spacing w:after="0"/>
        <w:ind w:left="0"/>
        <w:jc w:val="both"/>
      </w:pPr>
      <w:r>
        <w:rPr>
          <w:rFonts w:ascii="Times New Roman"/>
          <w:b w:val="false"/>
          <w:i w:val="false"/>
          <w:color w:val="000000"/>
          <w:sz w:val="28"/>
        </w:rPr>
        <w:t xml:space="preserve">
      3. Отсутствие в стране специализированных лабораторий по определению качества продукции. </w:t>
      </w:r>
    </w:p>
    <w:p>
      <w:pPr>
        <w:spacing w:after="0"/>
        <w:ind w:left="0"/>
        <w:jc w:val="both"/>
      </w:pPr>
      <w:r>
        <w:rPr>
          <w:rFonts w:ascii="Times New Roman"/>
          <w:b w:val="false"/>
          <w:i w:val="false"/>
          <w:color w:val="000000"/>
          <w:sz w:val="28"/>
        </w:rPr>
        <w:t>
      4. Узкий товарный ассортимент, как правило, продукции с большим сроком хранения с направленностью на потребителей премиум-сегмента.</w:t>
      </w:r>
    </w:p>
    <w:p>
      <w:pPr>
        <w:spacing w:after="0"/>
        <w:ind w:left="0"/>
        <w:jc w:val="both"/>
      </w:pPr>
      <w:r>
        <w:rPr>
          <w:rFonts w:ascii="Times New Roman"/>
          <w:b w:val="false"/>
          <w:i w:val="false"/>
          <w:color w:val="000000"/>
          <w:sz w:val="28"/>
        </w:rPr>
        <w:t>
      5. Низкая осведомленность СХТП и населения о преимуществах производства и потребления органической продукции.</w:t>
      </w:r>
    </w:p>
    <w:p>
      <w:pPr>
        <w:spacing w:after="0"/>
        <w:ind w:left="0"/>
        <w:jc w:val="both"/>
      </w:pPr>
      <w:r>
        <w:rPr>
          <w:rFonts w:ascii="Times New Roman"/>
          <w:b w:val="false"/>
          <w:i w:val="false"/>
          <w:color w:val="000000"/>
          <w:sz w:val="28"/>
        </w:rPr>
        <w:t>
      6. Недостаточный уровень минимизации и повторного использования отходов в АПК Казахстана.</w:t>
      </w:r>
    </w:p>
    <w:p>
      <w:pPr>
        <w:spacing w:after="0"/>
        <w:ind w:left="0"/>
        <w:jc w:val="left"/>
      </w:pPr>
      <w:r>
        <w:rPr>
          <w:rFonts w:ascii="Times New Roman"/>
          <w:b/>
          <w:i w:val="false"/>
          <w:color w:val="000000"/>
        </w:rPr>
        <w:t xml:space="preserve"> 3.6. Экспортный потенциал сельскохозяйственной продукции</w:t>
      </w:r>
    </w:p>
    <w:p>
      <w:pPr>
        <w:spacing w:after="0"/>
        <w:ind w:left="0"/>
        <w:jc w:val="both"/>
      </w:pPr>
      <w:r>
        <w:rPr>
          <w:rFonts w:ascii="Times New Roman"/>
          <w:b w:val="false"/>
          <w:i w:val="false"/>
          <w:color w:val="000000"/>
          <w:sz w:val="28"/>
        </w:rPr>
        <w:t>
      На основании анализа географического расположения Казахстана, емкостей рынка сельскохозяйственной продукции, транспортной доступности можно сделать вывод о том, что потенциальными рынками сбыта остаются страны ЕАЭС, СНГ, Китай, Иран, Афганистан и ОАЭ.</w:t>
      </w:r>
    </w:p>
    <w:p>
      <w:pPr>
        <w:spacing w:after="0"/>
        <w:ind w:left="0"/>
        <w:jc w:val="both"/>
      </w:pPr>
      <w:r>
        <w:rPr>
          <w:rFonts w:ascii="Times New Roman"/>
          <w:b w:val="false"/>
          <w:i w:val="false"/>
          <w:color w:val="000000"/>
          <w:sz w:val="28"/>
        </w:rPr>
        <w:t xml:space="preserve">
      Лидирующими по объему экспортируемыми продуктами по итогам 2015 года являются: </w:t>
      </w:r>
    </w:p>
    <w:p>
      <w:pPr>
        <w:spacing w:after="0"/>
        <w:ind w:left="0"/>
        <w:jc w:val="both"/>
      </w:pPr>
      <w:r>
        <w:rPr>
          <w:rFonts w:ascii="Times New Roman"/>
          <w:b w:val="false"/>
          <w:i w:val="false"/>
          <w:color w:val="000000"/>
          <w:sz w:val="28"/>
        </w:rPr>
        <w:t xml:space="preserve">
      - растениеводческая продукция – пшеница, ячмень, кукуруза, маслосемена; </w:t>
      </w:r>
    </w:p>
    <w:p>
      <w:pPr>
        <w:spacing w:after="0"/>
        <w:ind w:left="0"/>
        <w:jc w:val="both"/>
      </w:pPr>
      <w:r>
        <w:rPr>
          <w:rFonts w:ascii="Times New Roman"/>
          <w:b w:val="false"/>
          <w:i w:val="false"/>
          <w:color w:val="000000"/>
          <w:sz w:val="28"/>
        </w:rPr>
        <w:t xml:space="preserve">
      - животноводческая продукция – говядина, свинина, баранина, мясо птицы. </w:t>
      </w:r>
    </w:p>
    <w:p>
      <w:pPr>
        <w:spacing w:after="0"/>
        <w:ind w:left="0"/>
        <w:jc w:val="both"/>
      </w:pPr>
      <w:r>
        <w:rPr>
          <w:rFonts w:ascii="Times New Roman"/>
          <w:b w:val="false"/>
          <w:i w:val="false"/>
          <w:color w:val="000000"/>
          <w:sz w:val="28"/>
        </w:rPr>
        <w:t>
      В целом, в структуре импорта таких стран, как Россия, Узбекистан, Кыргызстан и Таджикистан, по отдельным видам продуктов растениеводства продукция из Казахстана занимает более 86%. Так за 2015 год от всего объема импортированной пшеницы России доля пшеницы из Казахстана составила 86,6 %. В импорте Узбекистана по пшенице, муке и маслосеменам доля продукции из Казахстана составляет 100%, 99,2% и 98,7% соответственно.</w:t>
      </w:r>
    </w:p>
    <w:p>
      <w:pPr>
        <w:spacing w:after="0"/>
        <w:ind w:left="0"/>
        <w:jc w:val="both"/>
      </w:pPr>
      <w:r>
        <w:rPr>
          <w:rFonts w:ascii="Times New Roman"/>
          <w:b w:val="false"/>
          <w:i w:val="false"/>
          <w:color w:val="000000"/>
          <w:sz w:val="28"/>
        </w:rPr>
        <w:t>
      По животноводческой продукции, учитывая внутреннюю обеспеченность отечественным производством, экспортный потенциал имеют говядина, свинина и баранина. Наибольшие объемы импорта данных продуктов наблюдаются в таких странах как Китай, Россия, Иран и ОАЭ. (см. приложение 24 к настоящей Программе).</w:t>
      </w:r>
    </w:p>
    <w:p>
      <w:pPr>
        <w:spacing w:after="0"/>
        <w:ind w:left="0"/>
        <w:jc w:val="left"/>
      </w:pPr>
      <w:r>
        <w:rPr>
          <w:rFonts w:ascii="Times New Roman"/>
          <w:b/>
          <w:i w:val="false"/>
          <w:color w:val="000000"/>
        </w:rPr>
        <w:t xml:space="preserve"> 3.7. Водное хозяйство</w:t>
      </w:r>
    </w:p>
    <w:p>
      <w:pPr>
        <w:spacing w:after="0"/>
        <w:ind w:left="0"/>
        <w:jc w:val="both"/>
      </w:pPr>
      <w:r>
        <w:rPr>
          <w:rFonts w:ascii="Times New Roman"/>
          <w:b w:val="false"/>
          <w:i w:val="false"/>
          <w:color w:val="000000"/>
          <w:sz w:val="28"/>
        </w:rPr>
        <w:t>
      Основной объем водных ресурсов в Казахстане обеспечивают поверхностные воды в среднегодовом объеме 101 км</w:t>
      </w:r>
      <w:r>
        <w:rPr>
          <w:rFonts w:ascii="Times New Roman"/>
          <w:b w:val="false"/>
          <w:i w:val="false"/>
          <w:color w:val="000000"/>
          <w:vertAlign w:val="superscript"/>
        </w:rPr>
        <w:t>3</w:t>
      </w:r>
      <w:r>
        <w:rPr>
          <w:rFonts w:ascii="Times New Roman"/>
          <w:b w:val="false"/>
          <w:i w:val="false"/>
          <w:color w:val="000000"/>
          <w:sz w:val="28"/>
        </w:rPr>
        <w:t>. Из них 56% формируются локально, а остальные 44% за счет стока трансграничных рек из Китая, Узбекистана, России и Кыргызстана (см. приложение 25 к настоящей Программе).</w:t>
      </w:r>
    </w:p>
    <w:p>
      <w:pPr>
        <w:spacing w:after="0"/>
        <w:ind w:left="0"/>
        <w:jc w:val="both"/>
      </w:pPr>
      <w:r>
        <w:rPr>
          <w:rFonts w:ascii="Times New Roman"/>
          <w:b w:val="false"/>
          <w:i w:val="false"/>
          <w:color w:val="000000"/>
          <w:sz w:val="28"/>
        </w:rPr>
        <w:t>
      Дополнительными источниками пресной воды являются подземные воды, утвержденные к эксплуатации запасы которых составляют 15,4 км</w:t>
      </w:r>
      <w:r>
        <w:rPr>
          <w:rFonts w:ascii="Times New Roman"/>
          <w:b w:val="false"/>
          <w:i w:val="false"/>
          <w:color w:val="000000"/>
          <w:vertAlign w:val="superscript"/>
        </w:rPr>
        <w:t>3</w:t>
      </w:r>
      <w:r>
        <w:rPr>
          <w:rFonts w:ascii="Times New Roman"/>
          <w:b w:val="false"/>
          <w:i w:val="false"/>
          <w:color w:val="000000"/>
          <w:sz w:val="28"/>
        </w:rPr>
        <w:t xml:space="preserve"> (из них в настоящее время добывается 1,2 км</w:t>
      </w:r>
      <w:r>
        <w:rPr>
          <w:rFonts w:ascii="Times New Roman"/>
          <w:b w:val="false"/>
          <w:i w:val="false"/>
          <w:color w:val="000000"/>
          <w:vertAlign w:val="superscript"/>
        </w:rPr>
        <w:t>3</w:t>
      </w:r>
      <w:r>
        <w:rPr>
          <w:rFonts w:ascii="Times New Roman"/>
          <w:b w:val="false"/>
          <w:i w:val="false"/>
          <w:color w:val="000000"/>
          <w:sz w:val="28"/>
        </w:rPr>
        <w:t xml:space="preserve"> в год), опресненные морские воды и прочие источники.</w:t>
      </w:r>
    </w:p>
    <w:p>
      <w:pPr>
        <w:spacing w:after="0"/>
        <w:ind w:left="0"/>
        <w:jc w:val="both"/>
      </w:pPr>
      <w:r>
        <w:rPr>
          <w:rFonts w:ascii="Times New Roman"/>
          <w:b w:val="false"/>
          <w:i w:val="false"/>
          <w:color w:val="000000"/>
          <w:sz w:val="28"/>
        </w:rPr>
        <w:t>
      Общий объем гарантированных водных ресурсов составляет 23,2 км</w:t>
      </w:r>
      <w:r>
        <w:rPr>
          <w:rFonts w:ascii="Times New Roman"/>
          <w:b w:val="false"/>
          <w:i w:val="false"/>
          <w:color w:val="000000"/>
          <w:vertAlign w:val="superscript"/>
        </w:rPr>
        <w:t>3</w:t>
      </w:r>
      <w:r>
        <w:rPr>
          <w:rFonts w:ascii="Times New Roman"/>
          <w:b w:val="false"/>
          <w:i w:val="false"/>
          <w:color w:val="000000"/>
          <w:sz w:val="28"/>
        </w:rPr>
        <w:t xml:space="preserve"> в год, за исключением необходимых для использования в природоохранных целях, обеспечения обязательного перетока в сопредельные государства. </w:t>
      </w:r>
    </w:p>
    <w:p>
      <w:pPr>
        <w:spacing w:after="0"/>
        <w:ind w:left="0"/>
        <w:jc w:val="both"/>
      </w:pPr>
      <w:r>
        <w:rPr>
          <w:rFonts w:ascii="Times New Roman"/>
          <w:b w:val="false"/>
          <w:i w:val="false"/>
          <w:color w:val="000000"/>
          <w:sz w:val="28"/>
        </w:rPr>
        <w:t>
      При неблагоприятных климатических и трансграничных гидрологических ситуациях в перспективе прогнозируется уменьшение поверхностного стока по Казахстану на 11,4 км3 в год к 2040 году. Прогнозное снижение притока воды по трансграничным рекам к 2040 году наблюдается в двух сценариях: первый – соседние страны полностью выбирают свой лимит согласно соглашениям или при равном делении водных ресурсов, второй – современные тенденции по увеличению водозабора соседними странами сохраняются, превышая установленную квоту (см. приложение 26 к настоящей Программе).</w:t>
      </w:r>
    </w:p>
    <w:p>
      <w:pPr>
        <w:spacing w:after="0"/>
        <w:ind w:left="0"/>
        <w:jc w:val="left"/>
      </w:pPr>
      <w:r>
        <w:rPr>
          <w:rFonts w:ascii="Times New Roman"/>
          <w:b/>
          <w:i w:val="false"/>
          <w:color w:val="000000"/>
        </w:rPr>
        <w:t xml:space="preserve"> Диаграмма 16. Обеспеченность водных бассейнов Казахстана, км</w:t>
      </w:r>
      <w:r>
        <w:rPr>
          <w:rFonts w:ascii="Times New Roman"/>
          <w:b/>
          <w:i w:val="false"/>
          <w:color w:val="000000"/>
          <w:vertAlign w:val="superscript"/>
        </w:rPr>
        <w:t>3</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объем водозабора в 2015 году составил 22,8 км</w:t>
      </w:r>
      <w:r>
        <w:rPr>
          <w:rFonts w:ascii="Times New Roman"/>
          <w:b w:val="false"/>
          <w:i w:val="false"/>
          <w:color w:val="000000"/>
          <w:vertAlign w:val="superscript"/>
        </w:rPr>
        <w:t>3</w:t>
      </w:r>
      <w:r>
        <w:rPr>
          <w:rFonts w:ascii="Times New Roman"/>
          <w:b w:val="false"/>
          <w:i w:val="false"/>
          <w:color w:val="000000"/>
          <w:sz w:val="28"/>
        </w:rPr>
        <w:t>, в том числе на нужды сельского хозяйства – 15,5 км</w:t>
      </w:r>
      <w:r>
        <w:rPr>
          <w:rFonts w:ascii="Times New Roman"/>
          <w:b w:val="false"/>
          <w:i w:val="false"/>
          <w:color w:val="000000"/>
          <w:vertAlign w:val="superscript"/>
        </w:rPr>
        <w:t>3</w:t>
      </w:r>
      <w:r>
        <w:rPr>
          <w:rFonts w:ascii="Times New Roman"/>
          <w:b w:val="false"/>
          <w:i w:val="false"/>
          <w:color w:val="000000"/>
          <w:sz w:val="28"/>
        </w:rPr>
        <w:t xml:space="preserve"> в год, из которых 12,2 км</w:t>
      </w:r>
      <w:r>
        <w:rPr>
          <w:rFonts w:ascii="Times New Roman"/>
          <w:b w:val="false"/>
          <w:i w:val="false"/>
          <w:color w:val="000000"/>
          <w:vertAlign w:val="superscript"/>
        </w:rPr>
        <w:t>3</w:t>
      </w:r>
      <w:r>
        <w:rPr>
          <w:rFonts w:ascii="Times New Roman"/>
          <w:b w:val="false"/>
          <w:i w:val="false"/>
          <w:color w:val="000000"/>
          <w:sz w:val="28"/>
        </w:rPr>
        <w:t xml:space="preserve"> в год отводится на нужды регулярного орошения, на площади 1,4 млн. га, а оставшиеся 3,3 км</w:t>
      </w:r>
      <w:r>
        <w:rPr>
          <w:rFonts w:ascii="Times New Roman"/>
          <w:b w:val="false"/>
          <w:i w:val="false"/>
          <w:color w:val="000000"/>
          <w:vertAlign w:val="superscript"/>
        </w:rPr>
        <w:t>3</w:t>
      </w:r>
      <w:r>
        <w:rPr>
          <w:rFonts w:ascii="Times New Roman"/>
          <w:b w:val="false"/>
          <w:i w:val="false"/>
          <w:color w:val="000000"/>
          <w:sz w:val="28"/>
        </w:rPr>
        <w:t xml:space="preserve"> в год распределены между сельхозводоснабжением, лиманным орошением, заливом сенокосов и обводнением пастбищ. </w:t>
      </w:r>
    </w:p>
    <w:p>
      <w:pPr>
        <w:spacing w:after="0"/>
        <w:ind w:left="0"/>
        <w:jc w:val="both"/>
      </w:pPr>
      <w:r>
        <w:rPr>
          <w:rFonts w:ascii="Times New Roman"/>
          <w:b w:val="false"/>
          <w:i w:val="false"/>
          <w:color w:val="000000"/>
          <w:sz w:val="28"/>
        </w:rPr>
        <w:t>
      Для сельскохозяйственных потребителей потери при транспортировке воды объясняются низким коэффициентом полезного действия (далее – КПД) (от 0,6 до 0,65) ирригационных систем. Использование водосберегающих технологий подачи и полива воды в сельском хозяйстве составляет менее 7% от используемых орошаемых земель или 95,8 тыс.га. Прогнозный средний объем водозабора на нужды сельского хозяйства составляет 21 км</w:t>
      </w:r>
      <w:r>
        <w:rPr>
          <w:rFonts w:ascii="Times New Roman"/>
          <w:b w:val="false"/>
          <w:i w:val="false"/>
          <w:color w:val="000000"/>
          <w:vertAlign w:val="superscript"/>
        </w:rPr>
        <w:t xml:space="preserve">3 </w:t>
      </w:r>
      <w:r>
        <w:rPr>
          <w:rFonts w:ascii="Times New Roman"/>
          <w:b w:val="false"/>
          <w:i w:val="false"/>
          <w:color w:val="000000"/>
          <w:sz w:val="28"/>
        </w:rPr>
        <w:t>в год.</w:t>
      </w:r>
    </w:p>
    <w:p>
      <w:pPr>
        <w:spacing w:after="0"/>
        <w:ind w:left="0"/>
        <w:jc w:val="both"/>
      </w:pPr>
      <w:r>
        <w:rPr>
          <w:rFonts w:ascii="Times New Roman"/>
          <w:b w:val="false"/>
          <w:i w:val="false"/>
          <w:color w:val="000000"/>
          <w:sz w:val="28"/>
        </w:rPr>
        <w:t xml:space="preserve">
      Низкая стоимость услуги по подаче воды для конечного потребителя приводит к неэффективному потреблению водных ресурсов СХТП и не побуждает к использованию эффективных с точки зрения водосбережения технологий и сельскохозяйственных культур, не позволяет обеспечить в полном объеме техобслуживание, эксплуатацию и ремонт водохозяйственных и ирригационных систем. </w:t>
      </w:r>
    </w:p>
    <w:p>
      <w:pPr>
        <w:spacing w:after="0"/>
        <w:ind w:left="0"/>
        <w:jc w:val="both"/>
      </w:pPr>
      <w:r>
        <w:rPr>
          <w:rFonts w:ascii="Times New Roman"/>
          <w:b w:val="false"/>
          <w:i w:val="false"/>
          <w:color w:val="000000"/>
          <w:sz w:val="28"/>
        </w:rPr>
        <w:t>
      В отрасли водного хозяйства имеются следующие проблемы:</w:t>
      </w:r>
    </w:p>
    <w:p>
      <w:pPr>
        <w:spacing w:after="0"/>
        <w:ind w:left="0"/>
        <w:jc w:val="both"/>
      </w:pPr>
      <w:r>
        <w:rPr>
          <w:rFonts w:ascii="Times New Roman"/>
          <w:b w:val="false"/>
          <w:i w:val="false"/>
          <w:color w:val="000000"/>
          <w:sz w:val="28"/>
        </w:rPr>
        <w:t>
      1. Неудовлетворительное техническое состояние водохранилищ, магистральных и распределительных каналов водохозяйственного и гидромелиоративного значения.</w:t>
      </w:r>
    </w:p>
    <w:p>
      <w:pPr>
        <w:spacing w:after="0"/>
        <w:ind w:left="0"/>
        <w:jc w:val="both"/>
      </w:pPr>
      <w:r>
        <w:rPr>
          <w:rFonts w:ascii="Times New Roman"/>
          <w:b w:val="false"/>
          <w:i w:val="false"/>
          <w:color w:val="000000"/>
          <w:sz w:val="28"/>
        </w:rPr>
        <w:t>
      2. Несовершенство нормативных требований к водосбережению и контроля по использованию водных ресурсов.</w:t>
      </w:r>
    </w:p>
    <w:p>
      <w:pPr>
        <w:spacing w:after="0"/>
        <w:ind w:left="0"/>
        <w:jc w:val="both"/>
      </w:pPr>
      <w:r>
        <w:rPr>
          <w:rFonts w:ascii="Times New Roman"/>
          <w:b w:val="false"/>
          <w:i w:val="false"/>
          <w:color w:val="000000"/>
          <w:sz w:val="28"/>
        </w:rPr>
        <w:t xml:space="preserve">
      3. Текущая стоимость услуги по подаче воды (тариф) не отвечает требованиям эффективного содержания, технического обслуживания и развития водохозяйственных систем. </w:t>
      </w:r>
    </w:p>
    <w:p>
      <w:pPr>
        <w:spacing w:after="0"/>
        <w:ind w:left="0"/>
        <w:jc w:val="both"/>
      </w:pPr>
      <w:r>
        <w:rPr>
          <w:rFonts w:ascii="Times New Roman"/>
          <w:b w:val="false"/>
          <w:i w:val="false"/>
          <w:color w:val="000000"/>
          <w:sz w:val="28"/>
        </w:rPr>
        <w:t>
      4. Неудовлетворительное состояние учета воды и недостаточное стимулирование водосбережения.</w:t>
      </w:r>
    </w:p>
    <w:p>
      <w:pPr>
        <w:spacing w:after="0"/>
        <w:ind w:left="0"/>
        <w:jc w:val="both"/>
      </w:pPr>
      <w:r>
        <w:rPr>
          <w:rFonts w:ascii="Times New Roman"/>
          <w:b w:val="false"/>
          <w:i w:val="false"/>
          <w:color w:val="000000"/>
          <w:sz w:val="28"/>
        </w:rPr>
        <w:t>
      5. Балансовая раздробленность ирригационной инфраструктуры в пределах одного орошаемого массива.</w:t>
      </w:r>
    </w:p>
    <w:p>
      <w:pPr>
        <w:spacing w:after="0"/>
        <w:ind w:left="0"/>
        <w:jc w:val="both"/>
      </w:pPr>
      <w:r>
        <w:rPr>
          <w:rFonts w:ascii="Times New Roman"/>
          <w:b w:val="false"/>
          <w:i w:val="false"/>
          <w:color w:val="000000"/>
          <w:sz w:val="28"/>
        </w:rPr>
        <w:t>
      6. Нехватка водохранилищ для аккумулирования талых вод.</w:t>
      </w:r>
    </w:p>
    <w:p>
      <w:pPr>
        <w:spacing w:after="0"/>
        <w:ind w:left="0"/>
        <w:jc w:val="both"/>
      </w:pPr>
      <w:r>
        <w:rPr>
          <w:rFonts w:ascii="Times New Roman"/>
          <w:b w:val="false"/>
          <w:i w:val="false"/>
          <w:color w:val="000000"/>
          <w:sz w:val="28"/>
        </w:rPr>
        <w:t>
      7. Тенденция роста материального ущерба от вредного воздействия вод вследствие паводков, наводнений, изменения берегов водных объектов, подтопления территорий подземными водами, заболачивания и засоления земель, водной эрозии, маловодья.</w:t>
      </w:r>
    </w:p>
    <w:p>
      <w:pPr>
        <w:spacing w:after="0"/>
        <w:ind w:left="0"/>
        <w:jc w:val="both"/>
      </w:pPr>
      <w:r>
        <w:rPr>
          <w:rFonts w:ascii="Times New Roman"/>
          <w:b w:val="false"/>
          <w:i w:val="false"/>
          <w:color w:val="000000"/>
          <w:sz w:val="28"/>
        </w:rPr>
        <w:t xml:space="preserve">
      8. Слабая материально-техническая оснащенность предприятий по эксплуатации водохозяйственных сооружений государственной собственности. </w:t>
      </w:r>
    </w:p>
    <w:p>
      <w:pPr>
        <w:spacing w:after="0"/>
        <w:ind w:left="0"/>
        <w:jc w:val="left"/>
      </w:pPr>
      <w:r>
        <w:rPr>
          <w:rFonts w:ascii="Times New Roman"/>
          <w:b/>
          <w:i w:val="false"/>
          <w:color w:val="000000"/>
        </w:rPr>
        <w:t xml:space="preserve"> 3.8. Земельные ресурсы</w:t>
      </w:r>
    </w:p>
    <w:p>
      <w:pPr>
        <w:spacing w:after="0"/>
        <w:ind w:left="0"/>
        <w:jc w:val="both"/>
      </w:pPr>
      <w:r>
        <w:rPr>
          <w:rFonts w:ascii="Times New Roman"/>
          <w:b w:val="false"/>
          <w:i w:val="false"/>
          <w:color w:val="000000"/>
          <w:sz w:val="28"/>
        </w:rPr>
        <w:t>
      Общая площадь сельскохозяйственных угодий Казахстана составляет 177,8 млн. га, в том числе пастбища– 146,9 млн. га, пашня и залежь – 26,7 млн. га, сенокосы – 4,2 млн. га (см. приложение 27 к настоящей Программе).</w:t>
      </w:r>
    </w:p>
    <w:p>
      <w:pPr>
        <w:spacing w:after="0"/>
        <w:ind w:left="0"/>
        <w:jc w:val="both"/>
      </w:pPr>
      <w:r>
        <w:rPr>
          <w:rFonts w:ascii="Times New Roman"/>
          <w:b w:val="false"/>
          <w:i w:val="false"/>
          <w:color w:val="000000"/>
          <w:sz w:val="28"/>
        </w:rPr>
        <w:t>
      По итогам инвентаризации 2012 – 2014 годов было выявлено 7,4 млн. га неиспользуемых земель, в том числе пашни – 0,9 млн. га, залежи – 1,2 млн. га, сенокосов – 0,08 млн. га, пастбищ – 5,2 млн. га, многолетних насаждений – 0,01 млн. га.</w:t>
      </w:r>
    </w:p>
    <w:p>
      <w:pPr>
        <w:spacing w:after="0"/>
        <w:ind w:left="0"/>
        <w:jc w:val="both"/>
      </w:pPr>
      <w:r>
        <w:rPr>
          <w:rFonts w:ascii="Times New Roman"/>
          <w:b w:val="false"/>
          <w:i w:val="false"/>
          <w:color w:val="000000"/>
          <w:sz w:val="28"/>
        </w:rPr>
        <w:t>
      Из неиспользуемых 7,4 млн. га земель начато освоение прежними землепользователями 3,36 млн.га, расторгнуты договора аренды по 3,0 млн. га, из которых вовлечено в сельхозоборот 1,7 млн. га (см. приложение 28 к настоящей Программе).</w:t>
      </w:r>
    </w:p>
    <w:p>
      <w:pPr>
        <w:spacing w:after="0"/>
        <w:ind w:left="0"/>
        <w:jc w:val="both"/>
      </w:pPr>
      <w:r>
        <w:rPr>
          <w:rFonts w:ascii="Times New Roman"/>
          <w:b w:val="false"/>
          <w:i w:val="false"/>
          <w:color w:val="000000"/>
          <w:sz w:val="28"/>
        </w:rPr>
        <w:t>
      Во всех регионах республики отмечаются устойчивая тенденция к ухудшению качества земель, снижение содержания гумуса, питательных веществ, видового состава растительности и еҰ продуктивности, что снижает потенциал сельскохозяйственного производства (см. приложение 29 к настоящей Программе).</w:t>
      </w:r>
    </w:p>
    <w:p>
      <w:pPr>
        <w:spacing w:after="0"/>
        <w:ind w:left="0"/>
        <w:jc w:val="both"/>
      </w:pPr>
      <w:r>
        <w:rPr>
          <w:rFonts w:ascii="Times New Roman"/>
          <w:b w:val="false"/>
          <w:i w:val="false"/>
          <w:color w:val="000000"/>
          <w:sz w:val="28"/>
        </w:rPr>
        <w:t xml:space="preserve">
      Не в полной мере проводятся мероприятия по повышению плодородия пахотных угодий и обводнению пастбищ. </w:t>
      </w:r>
    </w:p>
    <w:p>
      <w:pPr>
        <w:spacing w:after="0"/>
        <w:ind w:left="0"/>
        <w:jc w:val="both"/>
      </w:pPr>
      <w:r>
        <w:rPr>
          <w:rFonts w:ascii="Times New Roman"/>
          <w:b w:val="false"/>
          <w:i w:val="false"/>
          <w:color w:val="000000"/>
          <w:sz w:val="28"/>
        </w:rPr>
        <w:t>
      По итогам 2015 года почвы с низким содержанием гумуса (менее 4%) в структуре пашни на богаре составляли 14,6 млн. га или 72,8% от площади обследованной пашни, со средним содержанием гумуса (4 – 6%) – 5,3 млн. га или 25,9%, высоким (более 6%) – 0,3 млн. га или 1,3%. В условиях орошаемого земледелия низкообеспеченными являются 0,8 млн. га или 98,2% от площади обследованной пашни, среднеобеспеченными – 15,05 тыс. га или 1,8%.</w:t>
      </w:r>
    </w:p>
    <w:p>
      <w:pPr>
        <w:spacing w:after="0"/>
        <w:ind w:left="0"/>
        <w:jc w:val="both"/>
      </w:pPr>
      <w:r>
        <w:rPr>
          <w:rFonts w:ascii="Times New Roman"/>
          <w:b w:val="false"/>
          <w:i w:val="false"/>
          <w:color w:val="000000"/>
          <w:sz w:val="28"/>
        </w:rPr>
        <w:t xml:space="preserve">
      Почвы с низким содержанием легкогидролизуемого азота занимали площадь 11,3 млн. га или 55,8% от площади обследованной пашни богары, со средним – 4,4 млн. га или 22,0%, с высоким – площадь 4,5 млн. га или 22,2%. В условиях орошаемого земледелия низкообеспеченными являются 0,8 млн. га или 89,5% от обследованной площади пашни, среднеобеспеченными – 0,03 млн. га или 3,5% и высокообеспеченными – 0,06 млн. га или 7,0%. </w:t>
      </w:r>
    </w:p>
    <w:p>
      <w:pPr>
        <w:spacing w:after="0"/>
        <w:ind w:left="0"/>
        <w:jc w:val="both"/>
      </w:pPr>
      <w:r>
        <w:rPr>
          <w:rFonts w:ascii="Times New Roman"/>
          <w:b w:val="false"/>
          <w:i w:val="false"/>
          <w:color w:val="000000"/>
          <w:sz w:val="28"/>
        </w:rPr>
        <w:t xml:space="preserve">
      На низкообеспеченные подвижным фосфором почвы в структуре богары приходилось 9,3 млн. га или 46,2%, на среднеобеспеченные –7,9 млн. га или 39,5% и на высокообеспеченные – 2,9 млн. га или 14,3%. В условиях орошаемого земледелия почвы с низким содержанием подвижного фосфора занимали площадь 0,2 млн. га или 26,2%, со средним –443,2 тыс. га или 51,6% и с высоким – 190,7 тыс. га или 22,2% от обследованной площади пашни. </w:t>
      </w:r>
    </w:p>
    <w:p>
      <w:pPr>
        <w:spacing w:after="0"/>
        <w:ind w:left="0"/>
        <w:jc w:val="both"/>
      </w:pPr>
      <w:r>
        <w:rPr>
          <w:rFonts w:ascii="Times New Roman"/>
          <w:b w:val="false"/>
          <w:i w:val="false"/>
          <w:color w:val="000000"/>
          <w:sz w:val="28"/>
        </w:rPr>
        <w:t>
      По обменному калию пахотные угодья в условиях богарного земледелия обеспечены следующим образом: низко обеспечены – 1,9 млн. га или 9,4%, высокообеспечены – 16,4 млн. га или 81,4% от обследованных пахотных угодий. В условиях орошаемого земледелия почвы с низким содержанием подвижного калия занимают площадь 0,1 млн. га или 13,7%, средним – 0,3 млн. га или 33,3% и высоким – 0,5 млн. га или 53,0%.</w:t>
      </w:r>
    </w:p>
    <w:p>
      <w:pPr>
        <w:spacing w:after="0"/>
        <w:ind w:left="0"/>
        <w:jc w:val="both"/>
      </w:pPr>
      <w:r>
        <w:rPr>
          <w:rFonts w:ascii="Times New Roman"/>
          <w:b w:val="false"/>
          <w:i w:val="false"/>
          <w:color w:val="000000"/>
          <w:sz w:val="28"/>
        </w:rPr>
        <w:t xml:space="preserve">
      Кроме того, сельскохозяйственная деятельность сопровождается значительными эмиссиями парниковых газов в атмосферу от животноводства, в основном, выбросами метана в процессе энтеральной ферментации животных, метана и углекислого газа при хранении и использовании навоза, углекислого газа на пастбищах от экскрементов выпасаемых животных. От растениеводства выбросами углекислого газа и азотистых соединений, связанных с внесением в почву минеральных и органических удобрений, поступлением в почву биологических остатков урожая, высвобождением азота от минерализации органического вещества в почве, выбросами метана от производства риса. </w:t>
      </w:r>
    </w:p>
    <w:p>
      <w:pPr>
        <w:spacing w:after="0"/>
        <w:ind w:left="0"/>
        <w:jc w:val="both"/>
      </w:pPr>
      <w:r>
        <w:rPr>
          <w:rFonts w:ascii="Times New Roman"/>
          <w:b w:val="false"/>
          <w:i w:val="false"/>
          <w:color w:val="000000"/>
          <w:sz w:val="28"/>
        </w:rPr>
        <w:t>
      К примеру, на пашне, остающейся постоянно в севообороте, запасы почвенного углерода в горизонте почвы 0-30 см на 2015 год уменьшились в среднем на 17 % к 1990 году, в связи с чем увеличение масштабов сельскохозяйственного производства без модернизации технологий и соответствующего управления будет сопровождаться усилением потоков углекислого газа и закиси азота из почвы пахотных и пастбищных земель.</w:t>
      </w:r>
    </w:p>
    <w:p>
      <w:pPr>
        <w:spacing w:after="0"/>
        <w:ind w:left="0"/>
        <w:jc w:val="both"/>
      </w:pPr>
      <w:r>
        <w:rPr>
          <w:rFonts w:ascii="Times New Roman"/>
          <w:b w:val="false"/>
          <w:i w:val="false"/>
          <w:color w:val="000000"/>
          <w:sz w:val="28"/>
        </w:rPr>
        <w:t>
      Доброкачественными материалами почвенных и геоботанических обследований, отражающих качественное состояние сельскохозяйственных угодий, обеспечено всего 27,8 млн. га, что составляет 14,8% от общей потребности.</w:t>
      </w:r>
    </w:p>
    <w:p>
      <w:pPr>
        <w:spacing w:after="0"/>
        <w:ind w:left="0"/>
        <w:jc w:val="both"/>
      </w:pPr>
      <w:r>
        <w:rPr>
          <w:rFonts w:ascii="Times New Roman"/>
          <w:b w:val="false"/>
          <w:i w:val="false"/>
          <w:color w:val="000000"/>
          <w:sz w:val="28"/>
        </w:rPr>
        <w:t xml:space="preserve">
      Вместе с тем, информация о качественном состоянии земель сельскохозяйственного назначения является основой для их рационального и эффективного использования. </w:t>
      </w:r>
    </w:p>
    <w:p>
      <w:pPr>
        <w:spacing w:after="0"/>
        <w:ind w:left="0"/>
        <w:jc w:val="both"/>
      </w:pPr>
      <w:r>
        <w:rPr>
          <w:rFonts w:ascii="Times New Roman"/>
          <w:b w:val="false"/>
          <w:i w:val="false"/>
          <w:color w:val="000000"/>
          <w:sz w:val="28"/>
        </w:rPr>
        <w:t>
      Кроме того, качество сельскохозяйственных угодий напрямую влияет на их кадастровую (оценочную) стоимость, которая определяется на основании базовых ставок плату за землю с применением поправочных коэффициентов. Ввиду отсутствия доброкачественных материалов почвенных и геоботанических обследований коэффициенты применяются по материалам, изготовленным до 1990 года.</w:t>
      </w:r>
    </w:p>
    <w:p>
      <w:pPr>
        <w:spacing w:after="0"/>
        <w:ind w:left="0"/>
        <w:jc w:val="both"/>
      </w:pPr>
      <w:r>
        <w:rPr>
          <w:rFonts w:ascii="Times New Roman"/>
          <w:b w:val="false"/>
          <w:i w:val="false"/>
          <w:color w:val="000000"/>
          <w:sz w:val="28"/>
        </w:rPr>
        <w:t>
      Результаты вышеуказанных обследований наряду с другими видами изысканий, землеустроительных и земельно-кадастровых работ обеспечивают формирование сведений государственного земельного кадастра (далее – ГЗК) РК.</w:t>
      </w:r>
    </w:p>
    <w:p>
      <w:pPr>
        <w:spacing w:after="0"/>
        <w:ind w:left="0"/>
        <w:jc w:val="both"/>
      </w:pPr>
      <w:r>
        <w:rPr>
          <w:rFonts w:ascii="Times New Roman"/>
          <w:b w:val="false"/>
          <w:i w:val="false"/>
          <w:color w:val="000000"/>
          <w:sz w:val="28"/>
        </w:rPr>
        <w:t>
      Ведение ГЗК осуществляется некоммерческим акционерным обществом (далее – НАО) "Государственная корпорация "Правительство для граждан" Министерства информации и коммуникаций РК. Финансирование и организация работ по ведению ГЗК осуществляются Комитетом по управлению земельными ресурсами МСХ РК.</w:t>
      </w:r>
    </w:p>
    <w:p>
      <w:pPr>
        <w:spacing w:after="0"/>
        <w:ind w:left="0"/>
        <w:jc w:val="both"/>
      </w:pPr>
      <w:r>
        <w:rPr>
          <w:rFonts w:ascii="Times New Roman"/>
          <w:b w:val="false"/>
          <w:i w:val="false"/>
          <w:color w:val="000000"/>
          <w:sz w:val="28"/>
        </w:rPr>
        <w:t>
      Указом Главы государства от 18 августа 2016 года № 308 "О внесении изменений в Указ Президента РК от 6 мая 2016 года № 248 "О введении моратория на применение отдельных норм земельного законодательства" действующий мораторий продлен до 31 декабря 2021 года.</w:t>
      </w:r>
    </w:p>
    <w:p>
      <w:pPr>
        <w:spacing w:after="0"/>
        <w:ind w:left="0"/>
        <w:jc w:val="both"/>
      </w:pPr>
      <w:r>
        <w:rPr>
          <w:rFonts w:ascii="Times New Roman"/>
          <w:b w:val="false"/>
          <w:i w:val="false"/>
          <w:color w:val="000000"/>
          <w:sz w:val="28"/>
        </w:rPr>
        <w:t>
      Данное решение было принято по предложению Комиссии по земельной реформе, созданной распоряжением Премьер-Министра РК, и обосновано необходимостью получения достоверной информации о количественном и качественном состоянии земель сельскохозяйственного назначения.</w:t>
      </w:r>
    </w:p>
    <w:p>
      <w:pPr>
        <w:spacing w:after="0"/>
        <w:ind w:left="0"/>
        <w:jc w:val="both"/>
      </w:pPr>
      <w:r>
        <w:rPr>
          <w:rFonts w:ascii="Times New Roman"/>
          <w:b w:val="false"/>
          <w:i w:val="false"/>
          <w:color w:val="000000"/>
          <w:sz w:val="28"/>
        </w:rPr>
        <w:t>
      С этой целью на период действия моратория необходимо проведение анализа земельного фонда республики.</w:t>
      </w:r>
    </w:p>
    <w:p>
      <w:pPr>
        <w:spacing w:after="0"/>
        <w:ind w:left="0"/>
        <w:jc w:val="both"/>
      </w:pPr>
      <w:r>
        <w:rPr>
          <w:rFonts w:ascii="Times New Roman"/>
          <w:b w:val="false"/>
          <w:i w:val="false"/>
          <w:color w:val="000000"/>
          <w:sz w:val="28"/>
        </w:rPr>
        <w:t>
      Для получения достоверной информации о качестве сельскохозяйственных угодий необходимо проведение крупномасштабных почвенных и геоботанических обследований и бонитировки почв на площади не менее 66 млн. га.</w:t>
      </w:r>
    </w:p>
    <w:p>
      <w:pPr>
        <w:spacing w:after="0"/>
        <w:ind w:left="0"/>
        <w:jc w:val="both"/>
      </w:pPr>
      <w:r>
        <w:rPr>
          <w:rFonts w:ascii="Times New Roman"/>
          <w:b w:val="false"/>
          <w:i w:val="false"/>
          <w:color w:val="000000"/>
          <w:sz w:val="28"/>
        </w:rPr>
        <w:t>
      Почвенные и геоботанические карты по итогам проведенных изысканий хранятся на бумажных носителях, что существенно затрудняет их использование для оказания услуг по представлению соответствующей информации населению и заинтересованным государственным органам.</w:t>
      </w:r>
    </w:p>
    <w:p>
      <w:pPr>
        <w:spacing w:after="0"/>
        <w:ind w:left="0"/>
        <w:jc w:val="both"/>
      </w:pPr>
      <w:r>
        <w:rPr>
          <w:rFonts w:ascii="Times New Roman"/>
          <w:b w:val="false"/>
          <w:i w:val="false"/>
          <w:color w:val="000000"/>
          <w:sz w:val="28"/>
        </w:rPr>
        <w:t>
      В этой связи существует необходимость перевода имеющихся и изготовления новых материалов почвенных и геоботанических изысканий в электронный формат для возможности внесения изменений в течение всего периода их эксплуатации, проведения анализов, отслеживания динамики изменений параметров почвенного и растительного покрова с формированием необходимых справок, таблиц, диаграмм и т.д.</w:t>
      </w:r>
    </w:p>
    <w:p>
      <w:pPr>
        <w:spacing w:after="0"/>
        <w:ind w:left="0"/>
        <w:jc w:val="both"/>
      </w:pPr>
      <w:r>
        <w:rPr>
          <w:rFonts w:ascii="Times New Roman"/>
          <w:b w:val="false"/>
          <w:i w:val="false"/>
          <w:color w:val="000000"/>
          <w:sz w:val="28"/>
        </w:rPr>
        <w:t>
      Вместе с тем, ежегодный объем финансирования из РБ на проведение вышеуказанных мероприятий не удовлетворяет существующую потребность в получении актуальной информации о качественном состоянии сельскохозяйственных угодий и требует увеличения.</w:t>
      </w:r>
    </w:p>
    <w:p>
      <w:pPr>
        <w:spacing w:after="0"/>
        <w:ind w:left="0"/>
        <w:jc w:val="both"/>
      </w:pPr>
      <w:r>
        <w:rPr>
          <w:rFonts w:ascii="Times New Roman"/>
          <w:b w:val="false"/>
          <w:i w:val="false"/>
          <w:color w:val="000000"/>
          <w:sz w:val="28"/>
        </w:rPr>
        <w:t>
      В сфере земельных отношений имеются следующие проблемы:</w:t>
      </w:r>
    </w:p>
    <w:p>
      <w:pPr>
        <w:spacing w:after="0"/>
        <w:ind w:left="0"/>
        <w:jc w:val="both"/>
      </w:pPr>
      <w:r>
        <w:rPr>
          <w:rFonts w:ascii="Times New Roman"/>
          <w:b w:val="false"/>
          <w:i w:val="false"/>
          <w:color w:val="000000"/>
          <w:sz w:val="28"/>
        </w:rPr>
        <w:t>
      1. Ухудшение качества земель и их продуктивности.</w:t>
      </w:r>
    </w:p>
    <w:p>
      <w:pPr>
        <w:spacing w:after="0"/>
        <w:ind w:left="0"/>
        <w:jc w:val="both"/>
      </w:pPr>
      <w:r>
        <w:rPr>
          <w:rFonts w:ascii="Times New Roman"/>
          <w:b w:val="false"/>
          <w:i w:val="false"/>
          <w:color w:val="000000"/>
          <w:sz w:val="28"/>
        </w:rPr>
        <w:t>
      2. Малый объем доброкачественных материалов по почвенному и геоботаническому обследованию сельскохозяйственных угодий, бонитировке почв.</w:t>
      </w:r>
    </w:p>
    <w:p>
      <w:pPr>
        <w:spacing w:after="0"/>
        <w:ind w:left="0"/>
        <w:jc w:val="both"/>
      </w:pPr>
      <w:r>
        <w:rPr>
          <w:rFonts w:ascii="Times New Roman"/>
          <w:b w:val="false"/>
          <w:i w:val="false"/>
          <w:color w:val="000000"/>
          <w:sz w:val="28"/>
        </w:rPr>
        <w:t>
      3. Отсутствие актуальных данных для определения кадастровой стоимости земель сельскохозяйственного назначения.</w:t>
      </w:r>
    </w:p>
    <w:p>
      <w:pPr>
        <w:spacing w:after="0"/>
        <w:ind w:left="0"/>
        <w:jc w:val="both"/>
      </w:pPr>
      <w:r>
        <w:rPr>
          <w:rFonts w:ascii="Times New Roman"/>
          <w:b w:val="false"/>
          <w:i w:val="false"/>
          <w:color w:val="000000"/>
          <w:sz w:val="28"/>
        </w:rPr>
        <w:t>
      4. Низкий уровень освоения отгонных пастбищ в виду их недостаточной обводненности.</w:t>
      </w:r>
    </w:p>
    <w:p>
      <w:pPr>
        <w:spacing w:after="0"/>
        <w:ind w:left="0"/>
        <w:jc w:val="both"/>
      </w:pPr>
      <w:r>
        <w:rPr>
          <w:rFonts w:ascii="Times New Roman"/>
          <w:b w:val="false"/>
          <w:i w:val="false"/>
          <w:color w:val="000000"/>
          <w:sz w:val="28"/>
        </w:rPr>
        <w:t>
      6. Выбросы углекислого газа от сельского хозяйства.</w:t>
      </w:r>
    </w:p>
    <w:p>
      <w:pPr>
        <w:spacing w:after="0"/>
        <w:ind w:left="0"/>
        <w:jc w:val="left"/>
      </w:pPr>
      <w:r>
        <w:rPr>
          <w:rFonts w:ascii="Times New Roman"/>
          <w:b/>
          <w:i w:val="false"/>
          <w:color w:val="000000"/>
        </w:rPr>
        <w:t xml:space="preserve"> 3.9. Финансовые меры государственной поддержки</w:t>
      </w:r>
    </w:p>
    <w:p>
      <w:pPr>
        <w:spacing w:after="0"/>
        <w:ind w:left="0"/>
        <w:jc w:val="both"/>
      </w:pPr>
      <w:r>
        <w:rPr>
          <w:rFonts w:ascii="Times New Roman"/>
          <w:b w:val="false"/>
          <w:i w:val="false"/>
          <w:color w:val="000000"/>
          <w:sz w:val="28"/>
        </w:rPr>
        <w:t xml:space="preserve">
      Инструмент инвестиционного субсидирования направлен на частичную компенсацию (от 20% до 80%) инвестиционных затрат на строительно-монтажные работы, технику и оборудование по 19 направлениям (48 паспортов). Всего с начала реализации (2014 – 2015 годы) данной меры государственной поддержки были просубсидированы 2 729 субъектов АПК на общую сумму субсидий – 19,1 млрд. тенге, сумма привлеченных инвестиций составила 67,8 млрд. тенге. </w:t>
      </w:r>
    </w:p>
    <w:p>
      <w:pPr>
        <w:spacing w:after="0"/>
        <w:ind w:left="0"/>
        <w:jc w:val="both"/>
      </w:pPr>
      <w:r>
        <w:rPr>
          <w:rFonts w:ascii="Times New Roman"/>
          <w:b w:val="false"/>
          <w:i w:val="false"/>
          <w:color w:val="000000"/>
          <w:sz w:val="28"/>
        </w:rPr>
        <w:t>
      Основная доля привлеченных инвестиций за счет инвестиционных субсидий приходится на отрасль животноводства 55% (37,6 млрд. тенге), на растениеводство – 35% (23,2 млрд. тенге), на переработку животноводческой и растениеводческой продукции 10% (7 млрд. тенге).</w:t>
      </w:r>
    </w:p>
    <w:p>
      <w:pPr>
        <w:spacing w:after="0"/>
        <w:ind w:left="0"/>
        <w:jc w:val="both"/>
      </w:pPr>
      <w:r>
        <w:rPr>
          <w:rFonts w:ascii="Times New Roman"/>
          <w:b w:val="false"/>
          <w:i w:val="false"/>
          <w:color w:val="000000"/>
          <w:sz w:val="28"/>
        </w:rPr>
        <w:t xml:space="preserve">
      По итогам двух лет реализации данной меры государственной поддержки недофинансирование составило 35,4 млрд. тенге. </w:t>
      </w:r>
    </w:p>
    <w:p>
      <w:pPr>
        <w:spacing w:after="0"/>
        <w:ind w:left="0"/>
        <w:jc w:val="both"/>
      </w:pPr>
      <w:r>
        <w:rPr>
          <w:rFonts w:ascii="Times New Roman"/>
          <w:b w:val="false"/>
          <w:i w:val="false"/>
          <w:color w:val="000000"/>
          <w:sz w:val="28"/>
        </w:rPr>
        <w:t>
      По инструменту субсидирования ставок вознаграждения по кредитам субъектов АПК, лизингу сельскохозяйственной техники и животных, технологического оборудования удешевляется процентная ставка по кредитным/лизинговым договорам: для пополнения оборотных средств, приобретения основных средств и др. в национальной валюте – на 7%, в иностранной валюте – на 5%; для приобретения сельскохозяйственной техники и оборудования в отрасли животноводства и кормопроизводства, снижение ставки вознаграждения в национальной валюте – на 10% годовых и в иностранной валюте – на 7%.</w:t>
      </w:r>
    </w:p>
    <w:p>
      <w:pPr>
        <w:spacing w:after="0"/>
        <w:ind w:left="0"/>
        <w:jc w:val="both"/>
      </w:pPr>
      <w:r>
        <w:rPr>
          <w:rFonts w:ascii="Times New Roman"/>
          <w:b w:val="false"/>
          <w:i w:val="false"/>
          <w:color w:val="000000"/>
          <w:sz w:val="28"/>
        </w:rPr>
        <w:t>
      За 2014 – 2015 годы субсидирование процентной ставки осуществляется по обязательствам 4 601 субъекта АПК на общую сумму основного долга 243,2 млрд. тенге, в том числе по приобретенным субъектами АПК 12 254 единицам сельскохозяйственной техники.</w:t>
      </w:r>
    </w:p>
    <w:p>
      <w:pPr>
        <w:spacing w:after="0"/>
        <w:ind w:left="0"/>
        <w:jc w:val="both"/>
      </w:pPr>
      <w:r>
        <w:rPr>
          <w:rFonts w:ascii="Times New Roman"/>
          <w:b w:val="false"/>
          <w:i w:val="false"/>
          <w:color w:val="000000"/>
          <w:sz w:val="28"/>
        </w:rPr>
        <w:t>
      По видам деятельности основная доля участников приходится на растениеводческую отрасль 48,8%, переработку животноводческой и растениеводческой продукции 29,8%, животноводство 7,8% и прочие виды деятельности 13,4%.</w:t>
      </w:r>
    </w:p>
    <w:p>
      <w:pPr>
        <w:spacing w:after="0"/>
        <w:ind w:left="0"/>
        <w:jc w:val="both"/>
      </w:pPr>
      <w:r>
        <w:rPr>
          <w:rFonts w:ascii="Times New Roman"/>
          <w:b w:val="false"/>
          <w:i w:val="false"/>
          <w:color w:val="000000"/>
          <w:sz w:val="28"/>
        </w:rPr>
        <w:t>
      В целях снижения кредитной нагрузки субъектов АПК и рисков их банкротства с 2013 года реализуются меры финансового оздоровления обязательств субъектов АПК. Условиями финансового оздоровления предусматриваются продление сроков кредитования до 9 лет, снижение ставки вознаграждения до 14%, из которых 7% субсидируется из государственного бюджета, а также списание финансовыми институтами штрафов и пени.</w:t>
      </w:r>
    </w:p>
    <w:p>
      <w:pPr>
        <w:spacing w:after="0"/>
        <w:ind w:left="0"/>
        <w:jc w:val="both"/>
      </w:pPr>
      <w:r>
        <w:rPr>
          <w:rFonts w:ascii="Times New Roman"/>
          <w:b w:val="false"/>
          <w:i w:val="false"/>
          <w:color w:val="000000"/>
          <w:sz w:val="28"/>
        </w:rPr>
        <w:t xml:space="preserve">
      За 2013 – 2015 годы при реализации финансового оздоровления субъектов АПК одобрены заявки 404 субъектов АПК на общую сумму задолженности 520 млрд. тенге. С 2016 года прием новых заявок для участия в программе финансового оздоровления не осуществляется. </w:t>
      </w:r>
    </w:p>
    <w:p>
      <w:pPr>
        <w:spacing w:after="0"/>
        <w:ind w:left="0"/>
        <w:jc w:val="both"/>
      </w:pPr>
      <w:r>
        <w:rPr>
          <w:rFonts w:ascii="Times New Roman"/>
          <w:b w:val="false"/>
          <w:i w:val="false"/>
          <w:color w:val="000000"/>
          <w:sz w:val="28"/>
        </w:rPr>
        <w:t>
      На субсидирование процентной ставки в рамках финансового оздоровления субъектов АПК в 2013 – 2014 годы было выделено 7,2 млрд. тенге. В 2015 году – 18,9 млрд. тенге, в т.ч. 5,8 млрд. тенге средства Национального фонда РК, которые были полностью освоены. На 2016 год в РБ предусмотрены средства в размере 24,7 млрд. тенге. Ежегодно для субсидирования ставок вознаграждения требуется порядка 20 млрд. тенге, что составит 164,3 млрд. тенге до 2024 года.</w:t>
      </w:r>
    </w:p>
    <w:p>
      <w:pPr>
        <w:spacing w:after="0"/>
        <w:ind w:left="0"/>
        <w:jc w:val="left"/>
      </w:pPr>
      <w:r>
        <w:rPr>
          <w:rFonts w:ascii="Times New Roman"/>
          <w:b/>
          <w:i w:val="false"/>
          <w:color w:val="000000"/>
        </w:rPr>
        <w:t xml:space="preserve"> Диаграмма 17. Динамика общеотраслевых субсидий в 2013-2016 годы, млн. тенге</w:t>
      </w:r>
    </w:p>
    <w:p>
      <w:pPr>
        <w:spacing w:after="0"/>
        <w:ind w:left="0"/>
        <w:jc w:val="left"/>
      </w:pP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видам деятельности основная доля суммы оздоравливаемой задолженности приходится на растениеводческую отрасль 73%, животноводство 2%, переработку сельскохозяйственной продукции 3% и прочие виды деятельности 22%.</w:t>
      </w:r>
    </w:p>
    <w:p>
      <w:pPr>
        <w:spacing w:after="0"/>
        <w:ind w:left="0"/>
        <w:jc w:val="both"/>
      </w:pPr>
      <w:r>
        <w:rPr>
          <w:rFonts w:ascii="Times New Roman"/>
          <w:b w:val="false"/>
          <w:i w:val="false"/>
          <w:color w:val="000000"/>
          <w:sz w:val="28"/>
        </w:rPr>
        <w:t>
      От общей суммы одобренной к оздоровлению задолженности 72% или 376,4 млрд. тенге приходятся на займы крупных агрохолдингов.</w:t>
      </w:r>
    </w:p>
    <w:p>
      <w:pPr>
        <w:spacing w:after="0"/>
        <w:ind w:left="0"/>
        <w:jc w:val="both"/>
      </w:pPr>
      <w:r>
        <w:rPr>
          <w:rFonts w:ascii="Times New Roman"/>
          <w:b w:val="false"/>
          <w:i w:val="false"/>
          <w:color w:val="000000"/>
          <w:sz w:val="28"/>
        </w:rPr>
        <w:t>
      В рамках субсидирования страхования и гарантирования займов субъектов АПК субсидируется тарифная ставка страховой компании или гаранта. В 2015 году под страховое обеспечение прокредитованы 3 СХТП, общая сумма привлеченного кредита составила 7,9 млрд. тенге.</w:t>
      </w:r>
    </w:p>
    <w:p>
      <w:pPr>
        <w:spacing w:after="0"/>
        <w:ind w:left="0"/>
        <w:jc w:val="both"/>
      </w:pPr>
      <w:r>
        <w:rPr>
          <w:rFonts w:ascii="Times New Roman"/>
          <w:b w:val="false"/>
          <w:i w:val="false"/>
          <w:color w:val="000000"/>
          <w:sz w:val="28"/>
        </w:rPr>
        <w:t>
      Субсидирование суммы налога на добавленную стоимость (далее – НДС) заготовительным организациям начато в 2016 году с целью удешевления продукции заготовительных организации в размере исчисленного НДС. Выплаты произведены на сумму 140 млн. тенге 15 заготовительным организациям.</w:t>
      </w:r>
    </w:p>
    <w:p>
      <w:pPr>
        <w:spacing w:after="0"/>
        <w:ind w:left="0"/>
        <w:jc w:val="both"/>
      </w:pPr>
      <w:r>
        <w:rPr>
          <w:rFonts w:ascii="Times New Roman"/>
          <w:b w:val="false"/>
          <w:i w:val="false"/>
          <w:color w:val="000000"/>
          <w:sz w:val="28"/>
        </w:rPr>
        <w:t>
      По данным Национального Банка РК объем выданных кредитов как по отраслям экономики РК, так и в сельском хозяйстве ежегодно растет. При этом доля кредитов в сфере АПК в 2015 году составила 8%, что на 54% ниже показателя 2011 года.</w:t>
      </w:r>
    </w:p>
    <w:p>
      <w:pPr>
        <w:spacing w:after="0"/>
        <w:ind w:left="0"/>
        <w:jc w:val="both"/>
      </w:pPr>
      <w:r>
        <w:rPr>
          <w:rFonts w:ascii="Times New Roman"/>
          <w:b w:val="false"/>
          <w:i w:val="false"/>
          <w:color w:val="000000"/>
          <w:sz w:val="28"/>
        </w:rPr>
        <w:t>
      В 2015 году сумма кредитов, выданных субъектам АПК, составила 603,5 млрд. тенге, что на 61% меньше 2014 года.</w:t>
      </w:r>
    </w:p>
    <w:p>
      <w:pPr>
        <w:spacing w:after="0"/>
        <w:ind w:left="0"/>
        <w:jc w:val="left"/>
      </w:pPr>
      <w:r>
        <w:rPr>
          <w:rFonts w:ascii="Times New Roman"/>
          <w:b/>
          <w:i w:val="false"/>
          <w:color w:val="000000"/>
        </w:rPr>
        <w:t xml:space="preserve"> Диаграмма 18. Сумма выданных кредитов</w:t>
      </w:r>
    </w:p>
    <w:p>
      <w:pPr>
        <w:spacing w:after="0"/>
        <w:ind w:left="0"/>
        <w:jc w:val="left"/>
      </w:pPr>
      <w:r>
        <w:br/>
      </w:r>
    </w:p>
    <w:p>
      <w:pPr>
        <w:spacing w:after="0"/>
        <w:ind w:left="0"/>
        <w:jc w:val="both"/>
      </w:pPr>
      <w:r>
        <w:drawing>
          <wp:inline distT="0" distB="0" distL="0" distR="0">
            <wp:extent cx="1003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03300" cy="342900"/>
                    </a:xfrm>
                    <a:prstGeom prst="rect">
                      <a:avLst/>
                    </a:prstGeom>
                  </pic:spPr>
                </pic:pic>
              </a:graphicData>
            </a:graphic>
          </wp:inline>
        </w:drawing>
      </w:r>
    </w:p>
    <w:p>
      <w:pPr>
        <w:spacing w:after="0"/>
        <w:ind w:left="0"/>
        <w:jc w:val="both"/>
      </w:pPr>
      <w:r>
        <w:drawing>
          <wp:inline distT="0" distB="0" distL="0" distR="0">
            <wp:extent cx="1003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03300" cy="342900"/>
                    </a:xfrm>
                    <a:prstGeom prst="rect">
                      <a:avLst/>
                    </a:prstGeom>
                  </pic:spPr>
                </pic:pic>
              </a:graphicData>
            </a:graphic>
          </wp:inline>
        </w:drawing>
      </w:r>
    </w:p>
    <w:p>
      <w:pPr>
        <w:spacing w:after="0"/>
        <w:ind w:left="0"/>
        <w:jc w:val="both"/>
      </w:pPr>
      <w:r>
        <w:drawing>
          <wp:inline distT="0" distB="0" distL="0" distR="0">
            <wp:extent cx="125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57300" cy="419100"/>
                    </a:xfrm>
                    <a:prstGeom prst="rect">
                      <a:avLst/>
                    </a:prstGeom>
                  </pic:spPr>
                </pic:pic>
              </a:graphicData>
            </a:graphic>
          </wp:inline>
        </w:drawing>
      </w:r>
    </w:p>
    <w:p>
      <w:pPr>
        <w:spacing w:after="0"/>
        <w:ind w:left="0"/>
        <w:jc w:val="both"/>
      </w:pPr>
      <w:r>
        <w:drawing>
          <wp:inline distT="0" distB="0" distL="0" distR="0">
            <wp:extent cx="1003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03300" cy="342900"/>
                    </a:xfrm>
                    <a:prstGeom prst="rect">
                      <a:avLst/>
                    </a:prstGeom>
                  </pic:spPr>
                </pic:pic>
              </a:graphicData>
            </a:graphic>
          </wp:inline>
        </w:drawing>
      </w:r>
    </w:p>
    <w:p>
      <w:pPr>
        <w:spacing w:after="0"/>
        <w:ind w:left="0"/>
        <w:jc w:val="both"/>
      </w:pPr>
      <w:r>
        <w:drawing>
          <wp:inline distT="0" distB="0" distL="0" distR="0">
            <wp:extent cx="144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447800" cy="419100"/>
                    </a:xfrm>
                    <a:prstGeom prst="rect">
                      <a:avLst/>
                    </a:prstGeom>
                  </pic:spPr>
                </pic:pic>
              </a:graphicData>
            </a:graphic>
          </wp:inline>
        </w:drawing>
      </w:r>
    </w:p>
    <w:p>
      <w:pPr>
        <w:spacing w:after="0"/>
        <w:ind w:left="0"/>
        <w:jc w:val="both"/>
      </w:pPr>
      <w:r>
        <w:drawing>
          <wp:inline distT="0" distB="0" distL="0" distR="0">
            <wp:extent cx="144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47800" cy="419100"/>
                    </a:xfrm>
                    <a:prstGeom prst="rect">
                      <a:avLst/>
                    </a:prstGeom>
                  </pic:spPr>
                </pic:pic>
              </a:graphicData>
            </a:graphic>
          </wp:inline>
        </w:drawing>
      </w:r>
    </w:p>
    <w:p>
      <w:pPr>
        <w:spacing w:after="0"/>
        <w:ind w:left="0"/>
        <w:jc w:val="both"/>
      </w:pPr>
      <w:r>
        <w:drawing>
          <wp:inline distT="0" distB="0" distL="0" distR="0">
            <wp:extent cx="1231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31900" cy="342900"/>
                    </a:xfrm>
                    <a:prstGeom prst="rect">
                      <a:avLst/>
                    </a:prstGeom>
                  </pic:spPr>
                </pic:pic>
              </a:graphicData>
            </a:graphic>
          </wp:inline>
        </w:drawing>
      </w:r>
    </w:p>
    <w:p>
      <w:pPr>
        <w:spacing w:after="0"/>
        <w:ind w:left="0"/>
        <w:jc w:val="both"/>
      </w:pPr>
      <w:r>
        <w:drawing>
          <wp:inline distT="0" distB="0" distL="0" distR="0">
            <wp:extent cx="144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47800" cy="419100"/>
                    </a:xfrm>
                    <a:prstGeom prst="rect">
                      <a:avLst/>
                    </a:prstGeom>
                  </pic:spPr>
                </pic:pic>
              </a:graphicData>
            </a:graphic>
          </wp:inline>
        </w:drawing>
      </w:r>
    </w:p>
    <w:p>
      <w:pPr>
        <w:spacing w:after="0"/>
        <w:ind w:left="0"/>
        <w:jc w:val="both"/>
      </w:pPr>
      <w:r>
        <w:drawing>
          <wp:inline distT="0" distB="0" distL="0" distR="0">
            <wp:extent cx="162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25600" cy="342900"/>
                    </a:xfrm>
                    <a:prstGeom prst="rect">
                      <a:avLst/>
                    </a:prstGeom>
                  </pic:spPr>
                </pic:pic>
              </a:graphicData>
            </a:graphic>
          </wp:inline>
        </w:drawing>
      </w:r>
    </w:p>
    <w:p>
      <w:pPr>
        <w:spacing w:after="0"/>
        <w:ind w:left="0"/>
        <w:jc w:val="both"/>
      </w:pPr>
      <w:r>
        <w:drawing>
          <wp:inline distT="0" distB="0" distL="0" distR="0">
            <wp:extent cx="144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47800" cy="419100"/>
                    </a:xfrm>
                    <a:prstGeom prst="rect">
                      <a:avLst/>
                    </a:prstGeom>
                  </pic:spPr>
                </pic:pic>
              </a:graphicData>
            </a:graphic>
          </wp:inline>
        </w:drawing>
      </w:r>
    </w:p>
    <w:p>
      <w:pPr>
        <w:spacing w:after="0"/>
        <w:ind w:left="0"/>
        <w:jc w:val="both"/>
      </w:pPr>
      <w:r>
        <w:drawing>
          <wp:inline distT="0" distB="0" distL="0" distR="0">
            <wp:extent cx="1384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84300" cy="622300"/>
                    </a:xfrm>
                    <a:prstGeom prst="rect">
                      <a:avLst/>
                    </a:prstGeom>
                  </pic:spPr>
                </pic:pic>
              </a:graphicData>
            </a:graphic>
          </wp:inline>
        </w:drawing>
      </w:r>
    </w:p>
    <w:p>
      <w:pPr>
        <w:spacing w:after="0"/>
        <w:ind w:left="0"/>
        <w:jc w:val="both"/>
      </w:pPr>
      <w:r>
        <w:drawing>
          <wp:inline distT="0" distB="0" distL="0" distR="0">
            <wp:extent cx="14351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35100" cy="101600"/>
                    </a:xfrm>
                    <a:prstGeom prst="rect">
                      <a:avLst/>
                    </a:prstGeom>
                  </pic:spPr>
                </pic:pic>
              </a:graphicData>
            </a:graphic>
          </wp:inline>
        </w:drawing>
      </w:r>
    </w:p>
    <w:p>
      <w:pPr>
        <w:spacing w:after="0"/>
        <w:ind w:left="0"/>
        <w:jc w:val="both"/>
      </w:pPr>
      <w:r>
        <w:drawing>
          <wp:inline distT="0" distB="0" distL="0" distR="0">
            <wp:extent cx="1358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58900" cy="254000"/>
                    </a:xfrm>
                    <a:prstGeom prst="rect">
                      <a:avLst/>
                    </a:prstGeom>
                  </pic:spPr>
                </pic:pic>
              </a:graphicData>
            </a:graphic>
          </wp:inline>
        </w:drawing>
      </w:r>
    </w:p>
    <w:p>
      <w:pPr>
        <w:spacing w:after="0"/>
        <w:ind w:left="0"/>
        <w:jc w:val="both"/>
      </w:pPr>
      <w:r>
        <w:drawing>
          <wp:inline distT="0" distB="0" distL="0" distR="0">
            <wp:extent cx="13462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46200" cy="127000"/>
                    </a:xfrm>
                    <a:prstGeom prst="rect">
                      <a:avLst/>
                    </a:prstGeom>
                  </pic:spPr>
                </pic:pic>
              </a:graphicData>
            </a:graphic>
          </wp:inline>
        </w:drawing>
      </w:r>
    </w:p>
    <w:p>
      <w:pPr>
        <w:spacing w:after="0"/>
        <w:ind w:left="0"/>
        <w:jc w:val="both"/>
      </w:pPr>
      <w:r>
        <w:drawing>
          <wp:inline distT="0" distB="0" distL="0" distR="0">
            <wp:extent cx="1384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84300" cy="279400"/>
                    </a:xfrm>
                    <a:prstGeom prst="rect">
                      <a:avLst/>
                    </a:prstGeom>
                  </pic:spPr>
                </pic:pic>
              </a:graphicData>
            </a:graphic>
          </wp:inline>
        </w:drawing>
      </w:r>
    </w:p>
    <w:p>
      <w:pPr>
        <w:spacing w:after="0"/>
        <w:ind w:left="0"/>
        <w:jc w:val="both"/>
      </w:pPr>
      <w:r>
        <w:drawing>
          <wp:inline distT="0" distB="0" distL="0" distR="0">
            <wp:extent cx="184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841500" cy="342900"/>
                    </a:xfrm>
                    <a:prstGeom prst="rect">
                      <a:avLst/>
                    </a:prstGeom>
                  </pic:spPr>
                </pic:pic>
              </a:graphicData>
            </a:graphic>
          </wp:inline>
        </w:drawing>
      </w:r>
    </w:p>
    <w:p>
      <w:pPr>
        <w:spacing w:after="0"/>
        <w:ind w:left="0"/>
        <w:jc w:val="both"/>
      </w:pPr>
      <w:r>
        <w:drawing>
          <wp:inline distT="0" distB="0" distL="0" distR="0">
            <wp:extent cx="144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47800" cy="419100"/>
                    </a:xfrm>
                    <a:prstGeom prst="rect">
                      <a:avLst/>
                    </a:prstGeom>
                  </pic:spPr>
                </pic:pic>
              </a:graphicData>
            </a:graphic>
          </wp:inline>
        </w:drawing>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1 января 2016 года совокупный кредитный портфель банков второго уровня (далее – БВУ) и акционерного общества "Национальный управляющий холдинг "КазАгро" (далее – АО "НУХ "КазАгро") в сельском хозяйстве составил 1 448,0 млрд. тенге, из них 66% приходятся на БВУ и 34% на группу компаний АО "НУХ "КазАгро".</w:t>
      </w:r>
    </w:p>
    <w:p>
      <w:pPr>
        <w:spacing w:after="0"/>
        <w:ind w:left="0"/>
        <w:jc w:val="both"/>
      </w:pPr>
      <w:r>
        <w:rPr>
          <w:rFonts w:ascii="Times New Roman"/>
          <w:b w:val="false"/>
          <w:i w:val="false"/>
          <w:color w:val="000000"/>
          <w:sz w:val="28"/>
        </w:rPr>
        <w:t>
      Сумма просроченной задолженности субъектов АПК перед БВУ по состоянию на август 2016 года составляет 48,7 млрд. тенге, что на 44,6% меньше по сравнению с аналогичной датой 2014 года.</w:t>
      </w:r>
    </w:p>
    <w:p>
      <w:pPr>
        <w:spacing w:after="0"/>
        <w:ind w:left="0"/>
        <w:jc w:val="left"/>
      </w:pPr>
      <w:r>
        <w:rPr>
          <w:rFonts w:ascii="Times New Roman"/>
          <w:b/>
          <w:i w:val="false"/>
          <w:color w:val="000000"/>
        </w:rPr>
        <w:t xml:space="preserve"> Диаграмма 19. Сумма просроченной задолженности субъектов АПК перед БВУ</w:t>
      </w:r>
    </w:p>
    <w:p>
      <w:pPr>
        <w:spacing w:after="0"/>
        <w:ind w:left="0"/>
        <w:jc w:val="left"/>
      </w:pPr>
      <w:r>
        <w:br/>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 Резкое снижение суммы просроченной задолженности в 2015 году связано с эффектом от реализации программы финансового оздоровления субъектов АПК</w:t>
      </w:r>
    </w:p>
    <w:p>
      <w:pPr>
        <w:spacing w:after="0"/>
        <w:ind w:left="0"/>
        <w:jc w:val="both"/>
      </w:pPr>
      <w:r>
        <w:rPr>
          <w:rFonts w:ascii="Times New Roman"/>
          <w:b w:val="false"/>
          <w:i w:val="false"/>
          <w:color w:val="000000"/>
          <w:sz w:val="28"/>
        </w:rPr>
        <w:t xml:space="preserve">
      БВУ преимущественно кредитуют крупные устойчивые хозяйства для пополнения оборотных средств на обеспечение краткосрочного производственного процесса. При этом доля сельского хозяйства в структуре банковского кредитования неуклонно сокращается. Так, если в 2012 году она составляла 6,2%, в 2015 году – 1,9%. </w:t>
      </w:r>
    </w:p>
    <w:p>
      <w:pPr>
        <w:spacing w:after="0"/>
        <w:ind w:left="0"/>
        <w:jc w:val="both"/>
      </w:pPr>
      <w:r>
        <w:rPr>
          <w:rFonts w:ascii="Times New Roman"/>
          <w:b w:val="false"/>
          <w:i w:val="false"/>
          <w:color w:val="000000"/>
          <w:sz w:val="28"/>
        </w:rPr>
        <w:t>
      На рынке кредитования сельского хозяйства доминируют финансовые институты АО "НУХ "КазАгро"", предоставляющие услуги кредитования и лизинга по ставкам вознаграждения значительно ниже рыночных. В результате, долгосрочные инвестиции в сельское хозяйство стали в основном зависеть от государственного финансирования.</w:t>
      </w:r>
    </w:p>
    <w:p>
      <w:pPr>
        <w:spacing w:after="0"/>
        <w:ind w:left="0"/>
        <w:jc w:val="both"/>
      </w:pPr>
      <w:r>
        <w:rPr>
          <w:rFonts w:ascii="Times New Roman"/>
          <w:b w:val="false"/>
          <w:i w:val="false"/>
          <w:color w:val="000000"/>
          <w:sz w:val="28"/>
        </w:rPr>
        <w:t xml:space="preserve">
      За 2011 – 2015 годы через финансовые организации, входящие в состав АО "НУХ "КазАгро"", из средств РБ было выделено 410,5 млрд. тенге, из них 318 млрд. тенге в виде краткосрочных бюджетных кредитов, 92,5 млрд. тенге направлены на пополнение уставных капиталов компаний. </w:t>
      </w:r>
    </w:p>
    <w:p>
      <w:pPr>
        <w:spacing w:after="0"/>
        <w:ind w:left="0"/>
        <w:jc w:val="both"/>
      </w:pPr>
      <w:r>
        <w:rPr>
          <w:rFonts w:ascii="Times New Roman"/>
          <w:b w:val="false"/>
          <w:i w:val="false"/>
          <w:color w:val="000000"/>
          <w:sz w:val="28"/>
        </w:rPr>
        <w:t>
      АО "НУХ "КазАгро" ориентировано на инвестиционную поддержку малого и среднего бизнеса. Через АО "КазАгроФинанс" ежегодно приобретается более 60% техники в стране. Участие БВУ и других частных финансовых организаций в финансировании малого и среднего бизнеса (далее – МСБ) в аграрном секторе незначительно.</w:t>
      </w:r>
    </w:p>
    <w:p>
      <w:pPr>
        <w:spacing w:after="0"/>
        <w:ind w:left="0"/>
        <w:jc w:val="both"/>
      </w:pPr>
      <w:r>
        <w:rPr>
          <w:rFonts w:ascii="Times New Roman"/>
          <w:b w:val="false"/>
          <w:i w:val="false"/>
          <w:color w:val="000000"/>
          <w:sz w:val="28"/>
        </w:rPr>
        <w:t xml:space="preserve">
      Действующая система страхования состоит из обязательного и добровольного страхования. </w:t>
      </w:r>
    </w:p>
    <w:p>
      <w:pPr>
        <w:spacing w:after="0"/>
        <w:ind w:left="0"/>
        <w:jc w:val="both"/>
      </w:pPr>
      <w:r>
        <w:rPr>
          <w:rFonts w:ascii="Times New Roman"/>
          <w:b w:val="false"/>
          <w:i w:val="false"/>
          <w:color w:val="000000"/>
          <w:sz w:val="28"/>
        </w:rPr>
        <w:t>
      Правовой основой обязательного страхования является Закон РК "Об обязательном страховании в растениеводстве" (далее – Закон), который обязывает страховать зерновые, масличные культуры, сахарную свеклу и хлопок.</w:t>
      </w:r>
    </w:p>
    <w:p>
      <w:pPr>
        <w:spacing w:after="0"/>
        <w:ind w:left="0"/>
        <w:jc w:val="left"/>
      </w:pPr>
      <w:r>
        <w:rPr>
          <w:rFonts w:ascii="Times New Roman"/>
          <w:b/>
          <w:i w:val="false"/>
          <w:color w:val="000000"/>
        </w:rPr>
        <w:t xml:space="preserve"> Диаграмма 20. Динамика роста количества страховых компаний и обществ взаимного страхования (ОВС)</w:t>
      </w:r>
    </w:p>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Работа в рамках первоначальной редакции Закона позволяла достичь поставленных целей. После неоднократного внесения поправок в Закон из шести страховщиков на данном рынке остались только две страховые компании и четырнадцать обществ взаимного страхования (далее – ОВС). Значительная часть посевов формально застрахована ОВС. </w:t>
      </w:r>
    </w:p>
    <w:p>
      <w:pPr>
        <w:spacing w:after="0"/>
        <w:ind w:left="0"/>
        <w:jc w:val="both"/>
      </w:pPr>
      <w:r>
        <w:rPr>
          <w:rFonts w:ascii="Times New Roman"/>
          <w:b w:val="false"/>
          <w:i w:val="false"/>
          <w:color w:val="000000"/>
          <w:sz w:val="28"/>
        </w:rPr>
        <w:t>
      За время действия Закона (2006 – 2015 годы) было застраховано в среднем 5,4 млн. га посевной площади в год, из них 558 тыс. га подвергались неблагоприятным природным явлениям (10%) (см. приложение 30 к настоящей Программе).</w:t>
      </w:r>
    </w:p>
    <w:p>
      <w:pPr>
        <w:spacing w:after="0"/>
        <w:ind w:left="0"/>
        <w:jc w:val="both"/>
      </w:pPr>
      <w:r>
        <w:rPr>
          <w:rFonts w:ascii="Times New Roman"/>
          <w:b w:val="false"/>
          <w:i w:val="false"/>
          <w:color w:val="000000"/>
          <w:sz w:val="28"/>
        </w:rPr>
        <w:t>
      Добровольное страхование в сельском хозяйстве применяется во вмененной форме при предоставлении в лизинг техники и сельскохозяйственных животных. Вмененная форма применяется к лицензированным хлебоприемным предприятиям.</w:t>
      </w:r>
    </w:p>
    <w:p>
      <w:pPr>
        <w:spacing w:after="0"/>
        <w:ind w:left="0"/>
        <w:jc w:val="both"/>
      </w:pPr>
      <w:r>
        <w:rPr>
          <w:rFonts w:ascii="Times New Roman"/>
          <w:b w:val="false"/>
          <w:i w:val="false"/>
          <w:color w:val="000000"/>
          <w:sz w:val="28"/>
        </w:rPr>
        <w:t>
      Гарантирование обязательств субъектов АПК перед финансовыми институтами осуществляется преимущественно социально-предпринимательскими корпорациями (далее – СПК) и БВУ.</w:t>
      </w:r>
    </w:p>
    <w:p>
      <w:pPr>
        <w:spacing w:after="0"/>
        <w:ind w:left="0"/>
        <w:jc w:val="both"/>
      </w:pPr>
      <w:r>
        <w:rPr>
          <w:rFonts w:ascii="Times New Roman"/>
          <w:b w:val="false"/>
          <w:i w:val="false"/>
          <w:color w:val="000000"/>
          <w:sz w:val="28"/>
        </w:rPr>
        <w:t xml:space="preserve">
      БВУ и СПК за выпуск гарантий взимается комиссия в среднем от 1% до 7% от суммы гарантии. </w:t>
      </w:r>
    </w:p>
    <w:p>
      <w:pPr>
        <w:spacing w:after="0"/>
        <w:ind w:left="0"/>
        <w:jc w:val="both"/>
      </w:pPr>
      <w:r>
        <w:rPr>
          <w:rFonts w:ascii="Times New Roman"/>
          <w:b w:val="false"/>
          <w:i w:val="false"/>
          <w:color w:val="000000"/>
          <w:sz w:val="28"/>
        </w:rPr>
        <w:t xml:space="preserve">
      Акционерное общество "Национальная компания "Продовольственная корпорация"" (далее – АО "НК "Продкорпорация"") под гарантию СПК за 2011 – 2016 годы было профинансировано 9 063 СХТП на общую сумму 85,8 млрд. тенге. </w:t>
      </w:r>
    </w:p>
    <w:p>
      <w:pPr>
        <w:spacing w:after="0"/>
        <w:ind w:left="0"/>
        <w:jc w:val="both"/>
      </w:pPr>
      <w:r>
        <w:rPr>
          <w:rFonts w:ascii="Times New Roman"/>
          <w:b w:val="false"/>
          <w:i w:val="false"/>
          <w:color w:val="000000"/>
          <w:sz w:val="28"/>
        </w:rPr>
        <w:t>
      В сфере финансовых мер государственной поддержки имеются следующие проблемы:</w:t>
      </w:r>
    </w:p>
    <w:p>
      <w:pPr>
        <w:spacing w:after="0"/>
        <w:ind w:left="0"/>
        <w:jc w:val="both"/>
      </w:pPr>
      <w:r>
        <w:rPr>
          <w:rFonts w:ascii="Times New Roman"/>
          <w:b w:val="false"/>
          <w:i w:val="false"/>
          <w:color w:val="000000"/>
          <w:sz w:val="28"/>
        </w:rPr>
        <w:t xml:space="preserve">
      1. Низкая степень доступности кредитов и субсидий для большинства СХТП. </w:t>
      </w:r>
    </w:p>
    <w:p>
      <w:pPr>
        <w:spacing w:after="0"/>
        <w:ind w:left="0"/>
        <w:jc w:val="both"/>
      </w:pPr>
      <w:r>
        <w:rPr>
          <w:rFonts w:ascii="Times New Roman"/>
          <w:b w:val="false"/>
          <w:i w:val="false"/>
          <w:color w:val="000000"/>
          <w:sz w:val="28"/>
        </w:rPr>
        <w:t>
      2. Отсутствие привязки субсидирования к конечному результату и специализации регионов.</w:t>
      </w:r>
    </w:p>
    <w:p>
      <w:pPr>
        <w:spacing w:after="0"/>
        <w:ind w:left="0"/>
        <w:jc w:val="both"/>
      </w:pPr>
      <w:r>
        <w:rPr>
          <w:rFonts w:ascii="Times New Roman"/>
          <w:b w:val="false"/>
          <w:i w:val="false"/>
          <w:color w:val="000000"/>
          <w:sz w:val="28"/>
        </w:rPr>
        <w:t>
      3. Ориентированность инвестиционного субсидирования на крупные производства при недоступности для мелких СХТП и слабом контроле за исполнением целевых показателей.</w:t>
      </w:r>
    </w:p>
    <w:p>
      <w:pPr>
        <w:spacing w:after="0"/>
        <w:ind w:left="0"/>
        <w:jc w:val="both"/>
      </w:pPr>
      <w:r>
        <w:rPr>
          <w:rFonts w:ascii="Times New Roman"/>
          <w:b w:val="false"/>
          <w:i w:val="false"/>
          <w:color w:val="000000"/>
          <w:sz w:val="28"/>
        </w:rPr>
        <w:t>
      4. Субсидирование ставок вознаграждения при кредитовании субъектов АПК, лизинге сельскохозяйственной техники и животных, технологического оборудования не стимулирует БВУ и лизинговые компании к снижению процентных ставок по кредитам и лизингу.</w:t>
      </w:r>
    </w:p>
    <w:p>
      <w:pPr>
        <w:spacing w:after="0"/>
        <w:ind w:left="0"/>
        <w:jc w:val="both"/>
      </w:pPr>
      <w:r>
        <w:rPr>
          <w:rFonts w:ascii="Times New Roman"/>
          <w:b w:val="false"/>
          <w:i w:val="false"/>
          <w:color w:val="000000"/>
          <w:sz w:val="28"/>
        </w:rPr>
        <w:t>
      5. Риски повторного появления проблем неисполнения обязательств по займам и угроза банкротства, несмотря на финансовое оздоровление.</w:t>
      </w:r>
    </w:p>
    <w:p>
      <w:pPr>
        <w:spacing w:after="0"/>
        <w:ind w:left="0"/>
        <w:jc w:val="both"/>
      </w:pPr>
      <w:r>
        <w:rPr>
          <w:rFonts w:ascii="Times New Roman"/>
          <w:b w:val="false"/>
          <w:i w:val="false"/>
          <w:color w:val="000000"/>
          <w:sz w:val="28"/>
        </w:rPr>
        <w:t>
      6. Отсутствие должного интереса страховых компаний и гарантов к механизму субсидирования страхования и гарантирования займов субъектов АПК из-за высоких кредитных рисков отрасли.</w:t>
      </w:r>
    </w:p>
    <w:p>
      <w:pPr>
        <w:spacing w:after="0"/>
        <w:ind w:left="0"/>
        <w:jc w:val="both"/>
      </w:pPr>
      <w:r>
        <w:rPr>
          <w:rFonts w:ascii="Times New Roman"/>
          <w:b w:val="false"/>
          <w:i w:val="false"/>
          <w:color w:val="000000"/>
          <w:sz w:val="28"/>
        </w:rPr>
        <w:t>
      7. Несовершенство механизма субсидирования суммы НДС заготовительным организациям: субсидии выплачиваются по итогам года; субсидии учитываются в составе совокупного годового дохода, что снижает долю от реализации сельскохозяйственной продукции, являющейся основным условием выплаты субсидии</w:t>
      </w:r>
    </w:p>
    <w:p>
      <w:pPr>
        <w:spacing w:after="0"/>
        <w:ind w:left="0"/>
        <w:jc w:val="both"/>
      </w:pPr>
      <w:r>
        <w:rPr>
          <w:rFonts w:ascii="Times New Roman"/>
          <w:b w:val="false"/>
          <w:i w:val="false"/>
          <w:color w:val="000000"/>
          <w:sz w:val="28"/>
        </w:rPr>
        <w:t>
      8. Нехватка ликвидного залогового обеспечения в сельской местности.</w:t>
      </w:r>
    </w:p>
    <w:p>
      <w:pPr>
        <w:spacing w:after="0"/>
        <w:ind w:left="0"/>
        <w:jc w:val="both"/>
      </w:pPr>
      <w:r>
        <w:rPr>
          <w:rFonts w:ascii="Times New Roman"/>
          <w:b w:val="false"/>
          <w:i w:val="false"/>
          <w:color w:val="000000"/>
          <w:sz w:val="28"/>
        </w:rPr>
        <w:t>
      9. Зависимость СХТП от достаточности финансовых ресурсов в кредитующих организациях АО "НУХ "КазАгро".</w:t>
      </w:r>
    </w:p>
    <w:p>
      <w:pPr>
        <w:spacing w:after="0"/>
        <w:ind w:left="0"/>
        <w:jc w:val="both"/>
      </w:pPr>
      <w:r>
        <w:rPr>
          <w:rFonts w:ascii="Times New Roman"/>
          <w:b w:val="false"/>
          <w:i w:val="false"/>
          <w:color w:val="000000"/>
          <w:sz w:val="28"/>
        </w:rPr>
        <w:t xml:space="preserve">
      10. Низкий уровень конкуренции на рынке финансовых услуг ввиду слабой представленности частных финансовых организаций в сельской местности при слабом институциональном развитии кредитных товариществ. </w:t>
      </w:r>
    </w:p>
    <w:p>
      <w:pPr>
        <w:spacing w:after="0"/>
        <w:ind w:left="0"/>
        <w:jc w:val="both"/>
      </w:pPr>
      <w:r>
        <w:rPr>
          <w:rFonts w:ascii="Times New Roman"/>
          <w:b w:val="false"/>
          <w:i w:val="false"/>
          <w:color w:val="000000"/>
          <w:sz w:val="28"/>
        </w:rPr>
        <w:t>
      11. Отсутствие целевых долгосрочных займов на финансирование АПК в рамках программ сотрудничества Правительства РК и международных финансовых организаций.</w:t>
      </w:r>
    </w:p>
    <w:p>
      <w:pPr>
        <w:spacing w:after="0"/>
        <w:ind w:left="0"/>
        <w:jc w:val="both"/>
      </w:pPr>
      <w:r>
        <w:rPr>
          <w:rFonts w:ascii="Times New Roman"/>
          <w:b w:val="false"/>
          <w:i w:val="false"/>
          <w:color w:val="000000"/>
          <w:sz w:val="28"/>
        </w:rPr>
        <w:t>
      12. Высокие природно-климатические, эпизоотические, фитосанитарные, карантинные, экономические риски отрасли.</w:t>
      </w:r>
    </w:p>
    <w:p>
      <w:pPr>
        <w:spacing w:after="0"/>
        <w:ind w:left="0"/>
        <w:jc w:val="both"/>
      </w:pPr>
      <w:r>
        <w:rPr>
          <w:rFonts w:ascii="Times New Roman"/>
          <w:b w:val="false"/>
          <w:i w:val="false"/>
          <w:color w:val="000000"/>
          <w:sz w:val="28"/>
        </w:rPr>
        <w:t>
      13. Отсутствие источников долгосрочного фондирования у частных финансовых организаций.</w:t>
      </w:r>
    </w:p>
    <w:p>
      <w:pPr>
        <w:spacing w:after="0"/>
        <w:ind w:left="0"/>
        <w:jc w:val="both"/>
      </w:pPr>
      <w:r>
        <w:rPr>
          <w:rFonts w:ascii="Times New Roman"/>
          <w:b w:val="false"/>
          <w:i w:val="false"/>
          <w:color w:val="000000"/>
          <w:sz w:val="28"/>
        </w:rPr>
        <w:t>
      14. Деятельность ОВС в отличие от деятельности страховых компаний не контролируется государственными регулирующими органами (МСХ РК и Национального Банка РК).</w:t>
      </w:r>
    </w:p>
    <w:p>
      <w:pPr>
        <w:spacing w:after="0"/>
        <w:ind w:left="0"/>
        <w:jc w:val="both"/>
      </w:pPr>
      <w:r>
        <w:rPr>
          <w:rFonts w:ascii="Times New Roman"/>
          <w:b w:val="false"/>
          <w:i w:val="false"/>
          <w:color w:val="000000"/>
          <w:sz w:val="28"/>
        </w:rPr>
        <w:t>
      15. Несовершенство законодательства позволяет ОВС выступать и в роли страховщика, и в роли страхователя, что искажает суть страхования.</w:t>
      </w:r>
    </w:p>
    <w:p>
      <w:pPr>
        <w:spacing w:after="0"/>
        <w:ind w:left="0"/>
        <w:jc w:val="both"/>
      </w:pPr>
      <w:r>
        <w:rPr>
          <w:rFonts w:ascii="Times New Roman"/>
          <w:b w:val="false"/>
          <w:i w:val="false"/>
          <w:color w:val="000000"/>
          <w:sz w:val="28"/>
        </w:rPr>
        <w:t>
      16. ОВС в основной массе создаются местными исполнительными органами и общественными организациями, что превратило ОВС дополнительным финансовым бременем для СХТП – фермеры платят премии и не получают выплаты должным образом.</w:t>
      </w:r>
    </w:p>
    <w:p>
      <w:pPr>
        <w:spacing w:after="0"/>
        <w:ind w:left="0"/>
        <w:jc w:val="both"/>
      </w:pPr>
      <w:r>
        <w:rPr>
          <w:rFonts w:ascii="Times New Roman"/>
          <w:b w:val="false"/>
          <w:i w:val="false"/>
          <w:color w:val="000000"/>
          <w:sz w:val="28"/>
        </w:rPr>
        <w:t xml:space="preserve">
      17. Большинство мелких хозяйств не соблюдают даже упрощенные агротехнологии, что значительно увеличивает степень рисков, и на риски неблагоприятных природных явлений накладываются риски бесхозяйственности, которые никак не могут покрываться страхованием. </w:t>
      </w:r>
    </w:p>
    <w:p>
      <w:pPr>
        <w:spacing w:after="0"/>
        <w:ind w:left="0"/>
        <w:jc w:val="both"/>
      </w:pPr>
      <w:r>
        <w:rPr>
          <w:rFonts w:ascii="Times New Roman"/>
          <w:b w:val="false"/>
          <w:i w:val="false"/>
          <w:color w:val="000000"/>
          <w:sz w:val="28"/>
        </w:rPr>
        <w:t xml:space="preserve">
      18. Законодательство не позволяет страховым компаниям требовать соблюдения агротехнологий и не предусматривает возможности отказа в страховании при явном несоответствии клиента страховым требованиям. </w:t>
      </w:r>
    </w:p>
    <w:p>
      <w:pPr>
        <w:spacing w:after="0"/>
        <w:ind w:left="0"/>
        <w:jc w:val="both"/>
      </w:pPr>
      <w:r>
        <w:rPr>
          <w:rFonts w:ascii="Times New Roman"/>
          <w:b w:val="false"/>
          <w:i w:val="false"/>
          <w:color w:val="000000"/>
          <w:sz w:val="28"/>
        </w:rPr>
        <w:t>
      19. Действующие тарифы по страхованию зерновых культур согласно Закону и нормативам затрат, установленные, соответственно, в 2004 и 2009 годы, не обеспечивают СХТП полноценной суммой возмещения понесенных убытков.</w:t>
      </w:r>
    </w:p>
    <w:p>
      <w:pPr>
        <w:spacing w:after="0"/>
        <w:ind w:left="0"/>
        <w:jc w:val="both"/>
      </w:pPr>
      <w:r>
        <w:rPr>
          <w:rFonts w:ascii="Times New Roman"/>
          <w:b w:val="false"/>
          <w:i w:val="false"/>
          <w:color w:val="000000"/>
          <w:sz w:val="28"/>
        </w:rPr>
        <w:t>
      20. Неразвитость инструментов гарантирования обязательств субъектов АПК.</w:t>
      </w:r>
    </w:p>
    <w:p>
      <w:pPr>
        <w:spacing w:after="0"/>
        <w:ind w:left="0"/>
        <w:jc w:val="left"/>
      </w:pPr>
      <w:r>
        <w:rPr>
          <w:rFonts w:ascii="Times New Roman"/>
          <w:b/>
          <w:i w:val="false"/>
          <w:color w:val="000000"/>
        </w:rPr>
        <w:t xml:space="preserve"> 3.10. Сопутствующие сферы деятельности АПК Техническая оснащенность. Сельхозмашиностроение</w:t>
      </w:r>
    </w:p>
    <w:p>
      <w:pPr>
        <w:spacing w:after="0"/>
        <w:ind w:left="0"/>
        <w:jc w:val="both"/>
      </w:pPr>
      <w:r>
        <w:rPr>
          <w:rFonts w:ascii="Times New Roman"/>
          <w:b w:val="false"/>
          <w:i w:val="false"/>
          <w:color w:val="000000"/>
          <w:sz w:val="28"/>
        </w:rPr>
        <w:t>
      По состоянию на 1 января 2016 года парк основных видов сельскохозяйственной техники Казахстана составляют: тракторы – 152 тыс. единиц, зерноуборочные комбайны – 42 тыс. единиц, посевные комплексы – 3,5 тыс. единиц, сеялки – 86,1 тыс. единиц, жатки – 15,6 тыс. единиц, которых со сроком эксплуатации свыше 15 лет: тракторы – 84%; комбайны – 54%; сеялки – более 88%; жатки – 73% (см. приложение 31 к настоящей Программе).</w:t>
      </w:r>
    </w:p>
    <w:p>
      <w:pPr>
        <w:spacing w:after="0"/>
        <w:ind w:left="0"/>
        <w:jc w:val="both"/>
      </w:pPr>
      <w:r>
        <w:rPr>
          <w:rFonts w:ascii="Times New Roman"/>
          <w:b w:val="false"/>
          <w:i w:val="false"/>
          <w:color w:val="000000"/>
          <w:sz w:val="28"/>
        </w:rPr>
        <w:t xml:space="preserve">
      Учитывая, что средние амортизационные сроки сельскохозяйственной техники составляют 10-12 лет, можно сделать вывод о том, что реальные сроки эксплуатации техники превышают нормативные на 3 – 10 лет. </w:t>
      </w:r>
    </w:p>
    <w:p>
      <w:pPr>
        <w:spacing w:after="0"/>
        <w:ind w:left="0"/>
        <w:jc w:val="both"/>
      </w:pPr>
      <w:r>
        <w:rPr>
          <w:rFonts w:ascii="Times New Roman"/>
          <w:b w:val="false"/>
          <w:i w:val="false"/>
          <w:color w:val="000000"/>
          <w:sz w:val="28"/>
        </w:rPr>
        <w:t>
      Темпы обновления по основным видам сельскохозяйственной техники (кроме посевных комплексов) при требуемом технологическом уровне обновления 10 – 12,5% в год составляют: по тракторам – 1,2%; комбайнам – 2,8%; сеялкам – 0,6%, жаткам – 1,6%. Среднегодовой объем закупа сельскохозяйственной техники составляет 80 млрд. тенге, в том числе отечественного производства - 20,5 млрд. тенге.</w:t>
      </w:r>
    </w:p>
    <w:p>
      <w:pPr>
        <w:spacing w:after="0"/>
        <w:ind w:left="0"/>
        <w:jc w:val="left"/>
      </w:pPr>
      <w:r>
        <w:rPr>
          <w:rFonts w:ascii="Times New Roman"/>
          <w:b/>
          <w:i w:val="false"/>
          <w:color w:val="000000"/>
        </w:rPr>
        <w:t xml:space="preserve"> Диаграмма 21. Наличие сельскохозяйственной техники на 2016 год, единиц</w:t>
      </w:r>
    </w:p>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 действующих 30 предприятий (заводов) по производству сельскохозяйственной техники и комплектующих основными производителями являются 15, на которых работает около 2,1 тыс. человек. </w:t>
      </w:r>
    </w:p>
    <w:p>
      <w:pPr>
        <w:spacing w:after="0"/>
        <w:ind w:left="0"/>
        <w:jc w:val="both"/>
      </w:pPr>
      <w:r>
        <w:rPr>
          <w:rFonts w:ascii="Times New Roman"/>
          <w:b w:val="false"/>
          <w:i w:val="false"/>
          <w:color w:val="000000"/>
          <w:sz w:val="28"/>
        </w:rPr>
        <w:t>
      К ним относятся: ТОО "Семаз" (тракторы МТЗ), ТОО "Комбайновый завод Вектор" (комбайны), АО "Агромашхолдинг" (комбайны Есиль), ТОО "Фирма Дафа" (навесное оборудование), ТОО "ДонМар" (жатки), ТОО "КазКИОТИ" (тракторы).</w:t>
      </w:r>
    </w:p>
    <w:p>
      <w:pPr>
        <w:spacing w:after="0"/>
        <w:ind w:left="0"/>
        <w:jc w:val="both"/>
      </w:pPr>
      <w:r>
        <w:rPr>
          <w:rFonts w:ascii="Times New Roman"/>
          <w:b w:val="false"/>
          <w:i w:val="false"/>
          <w:color w:val="000000"/>
          <w:sz w:val="28"/>
        </w:rPr>
        <w:t xml:space="preserve">
      Из общего объема отечественного сборочного производства сельскохозяйственной техники на сборку тракторов и комбайнов приходится 93%, на навесное оборудование – 7%. </w:t>
      </w:r>
    </w:p>
    <w:p>
      <w:pPr>
        <w:spacing w:after="0"/>
        <w:ind w:left="0"/>
        <w:jc w:val="both"/>
      </w:pPr>
      <w:r>
        <w:rPr>
          <w:rFonts w:ascii="Times New Roman"/>
          <w:b w:val="false"/>
          <w:i w:val="false"/>
          <w:color w:val="000000"/>
          <w:sz w:val="28"/>
        </w:rPr>
        <w:t xml:space="preserve">
      Созданные совместные сборочные производства загружены в недостаточной степени. Уровень локализации в большинстве случаев составляет менее 35%, что приводит к прямой зависимости цены на отечественную технику от стоимости импортируемых комплектующих. </w:t>
      </w:r>
    </w:p>
    <w:p>
      <w:pPr>
        <w:spacing w:after="0"/>
        <w:ind w:left="0"/>
        <w:jc w:val="both"/>
      </w:pPr>
      <w:r>
        <w:rPr>
          <w:rFonts w:ascii="Times New Roman"/>
          <w:b w:val="false"/>
          <w:i w:val="false"/>
          <w:color w:val="000000"/>
          <w:sz w:val="28"/>
        </w:rPr>
        <w:t>
      По итогам 2015 года на долю отечественных сборочных предприятий пришлось в среднем 30% от количества приобретенной сельскохозяйственной техники в Казахстане: по комбайнам – 49,5%, тракторам 34,8%, прочей технике – 20%. Оставшийся спрос на сельскохозяйственную технику удовлетворяется за счет импорта.</w:t>
      </w:r>
    </w:p>
    <w:p>
      <w:pPr>
        <w:spacing w:after="0"/>
        <w:ind w:left="0"/>
        <w:jc w:val="both"/>
      </w:pPr>
      <w:r>
        <w:rPr>
          <w:rFonts w:ascii="Times New Roman"/>
          <w:b w:val="false"/>
          <w:i w:val="false"/>
          <w:color w:val="000000"/>
          <w:sz w:val="28"/>
        </w:rPr>
        <w:t>
      В области технической оснащенности отрасли и сельскохозяйственного машиностроения имеются следующие проблемы:</w:t>
      </w:r>
    </w:p>
    <w:p>
      <w:pPr>
        <w:spacing w:after="0"/>
        <w:ind w:left="0"/>
        <w:jc w:val="both"/>
      </w:pPr>
      <w:r>
        <w:rPr>
          <w:rFonts w:ascii="Times New Roman"/>
          <w:b w:val="false"/>
          <w:i w:val="false"/>
          <w:color w:val="000000"/>
          <w:sz w:val="28"/>
        </w:rPr>
        <w:t>
      1.      Высокий уровень износа основных видов сельскохозяйственной техники.</w:t>
      </w:r>
    </w:p>
    <w:p>
      <w:pPr>
        <w:spacing w:after="0"/>
        <w:ind w:left="0"/>
        <w:jc w:val="both"/>
      </w:pPr>
      <w:r>
        <w:rPr>
          <w:rFonts w:ascii="Times New Roman"/>
          <w:b w:val="false"/>
          <w:i w:val="false"/>
          <w:color w:val="000000"/>
          <w:sz w:val="28"/>
        </w:rPr>
        <w:t>
      2.      Недостаточные темпы обновления сельскохозяйственной техники.</w:t>
      </w:r>
    </w:p>
    <w:p>
      <w:pPr>
        <w:spacing w:after="0"/>
        <w:ind w:left="0"/>
        <w:jc w:val="both"/>
      </w:pPr>
      <w:r>
        <w:rPr>
          <w:rFonts w:ascii="Times New Roman"/>
          <w:b w:val="false"/>
          <w:i w:val="false"/>
          <w:color w:val="000000"/>
          <w:sz w:val="28"/>
        </w:rPr>
        <w:t>
      3. Низкий уровень локализации и производства комплектующих.</w:t>
      </w:r>
    </w:p>
    <w:p>
      <w:pPr>
        <w:spacing w:after="0"/>
        <w:ind w:left="0"/>
        <w:jc w:val="both"/>
      </w:pPr>
      <w:r>
        <w:rPr>
          <w:rFonts w:ascii="Times New Roman"/>
          <w:b w:val="false"/>
          <w:i w:val="false"/>
          <w:color w:val="000000"/>
          <w:sz w:val="28"/>
        </w:rPr>
        <w:t>
      4. Неразвитость системы сервисного обслуживания.</w:t>
      </w:r>
    </w:p>
    <w:p>
      <w:pPr>
        <w:spacing w:after="0"/>
        <w:ind w:left="0"/>
        <w:jc w:val="both"/>
      </w:pPr>
      <w:r>
        <w:rPr>
          <w:rFonts w:ascii="Times New Roman"/>
          <w:b w:val="false"/>
          <w:i w:val="false"/>
          <w:color w:val="000000"/>
          <w:sz w:val="28"/>
        </w:rPr>
        <w:t xml:space="preserve">
      5. Недостаточный уровень механизации животноводческих ферм. </w:t>
      </w:r>
    </w:p>
    <w:p>
      <w:pPr>
        <w:spacing w:after="0"/>
        <w:ind w:left="0"/>
        <w:jc w:val="left"/>
      </w:pPr>
      <w:r>
        <w:rPr>
          <w:rFonts w:ascii="Times New Roman"/>
          <w:b/>
          <w:i w:val="false"/>
          <w:color w:val="000000"/>
        </w:rPr>
        <w:t xml:space="preserve"> Агрохимия</w:t>
      </w:r>
    </w:p>
    <w:p>
      <w:pPr>
        <w:spacing w:after="0"/>
        <w:ind w:left="0"/>
        <w:jc w:val="both"/>
      </w:pPr>
      <w:r>
        <w:rPr>
          <w:rFonts w:ascii="Times New Roman"/>
          <w:b w:val="false"/>
          <w:i w:val="false"/>
          <w:color w:val="000000"/>
          <w:sz w:val="28"/>
        </w:rPr>
        <w:t>
      В Казахстане производством минеральных удобрений (фосфорные и азотные удобрения) в основном занимаются ТОО "Казфосфат" (суперфосфат, аммофос) и ТОО "КазАзот" (нитрат аммония).</w:t>
      </w:r>
    </w:p>
    <w:p>
      <w:pPr>
        <w:spacing w:after="0"/>
        <w:ind w:left="0"/>
        <w:jc w:val="both"/>
      </w:pPr>
      <w:r>
        <w:rPr>
          <w:rFonts w:ascii="Times New Roman"/>
          <w:b w:val="false"/>
          <w:i w:val="false"/>
          <w:color w:val="000000"/>
          <w:sz w:val="28"/>
        </w:rPr>
        <w:t>
      Калийные удобрения не производятся, однако ведутся геологоразведочные работы на месторождении калийного сырья в западном регионе Казахстана.</w:t>
      </w:r>
    </w:p>
    <w:p>
      <w:pPr>
        <w:spacing w:after="0"/>
        <w:ind w:left="0"/>
        <w:jc w:val="both"/>
      </w:pPr>
      <w:r>
        <w:rPr>
          <w:rFonts w:ascii="Times New Roman"/>
          <w:b w:val="false"/>
          <w:i w:val="false"/>
          <w:color w:val="000000"/>
          <w:sz w:val="28"/>
        </w:rPr>
        <w:t>
      В 2015 году потребление азотных удобрений составило 419,7 тыс. тонн, из которых 184,7 тыс. тонн или 44% зарубежного производства. При этом в Казахстане произведено 311,1 тыс. тонн. Потребление фосфорных удобрений составило 84,6 тыс. тонн, из которых 0,13 тыс. тонн или 0,15% зарубежного производства. При этом в Казахстане было произведено 93,2 тыс. тонн этого вида удобрений. Потребление калийных удобрений в 2015 году составило</w:t>
      </w:r>
      <w:r>
        <w:br/>
      </w:r>
      <w:r>
        <w:rPr>
          <w:rFonts w:ascii="Times New Roman"/>
          <w:b w:val="false"/>
          <w:i w:val="false"/>
          <w:color w:val="000000"/>
          <w:sz w:val="28"/>
        </w:rPr>
        <w:t>9,7 тыс. тонн, весь объем которых приходится на импорт.</w:t>
      </w:r>
    </w:p>
    <w:p>
      <w:pPr>
        <w:spacing w:after="0"/>
        <w:ind w:left="0"/>
        <w:jc w:val="both"/>
      </w:pPr>
      <w:r>
        <w:rPr>
          <w:rFonts w:ascii="Times New Roman"/>
          <w:b w:val="false"/>
          <w:i w:val="false"/>
          <w:color w:val="000000"/>
          <w:sz w:val="28"/>
        </w:rPr>
        <w:t>
      Рынок комплексных удобрений в Республике Казахстан также состоит полностью из импортной продукции и составляет порядка 10,1 тыс. тонн в год. При этом обеспеченность страны за счет отечественного производства минеральных удобрений составляет около 35% от научно-обоснованной потребности.</w:t>
      </w:r>
    </w:p>
    <w:p>
      <w:pPr>
        <w:spacing w:after="0"/>
        <w:ind w:left="0"/>
        <w:jc w:val="both"/>
      </w:pPr>
      <w:r>
        <w:rPr>
          <w:rFonts w:ascii="Times New Roman"/>
          <w:b w:val="false"/>
          <w:i w:val="false"/>
          <w:color w:val="000000"/>
          <w:sz w:val="28"/>
        </w:rPr>
        <w:t>
      В среднем за последние 5 лет (2011 – 2015 годы) ежегодно ввозились порядка 288 тыс. тонн в физическом весе различных видов минеральных удобрений. Растут и объемы экспорта – в среднем экспортируется порядка 190,0 тыс. тонн в год.</w:t>
      </w:r>
    </w:p>
    <w:p>
      <w:pPr>
        <w:spacing w:after="0"/>
        <w:ind w:left="0"/>
        <w:jc w:val="both"/>
      </w:pPr>
      <w:r>
        <w:rPr>
          <w:rFonts w:ascii="Times New Roman"/>
          <w:b w:val="false"/>
          <w:i w:val="false"/>
          <w:color w:val="000000"/>
          <w:sz w:val="28"/>
        </w:rPr>
        <w:t>
      В отрасли агрохимии имеются следующие проблемы:</w:t>
      </w:r>
    </w:p>
    <w:p>
      <w:pPr>
        <w:spacing w:after="0"/>
        <w:ind w:left="0"/>
        <w:jc w:val="both"/>
      </w:pPr>
      <w:r>
        <w:rPr>
          <w:rFonts w:ascii="Times New Roman"/>
          <w:b w:val="false"/>
          <w:i w:val="false"/>
          <w:color w:val="000000"/>
          <w:sz w:val="28"/>
        </w:rPr>
        <w:t>
      1. Высокая стоимость минеральных удобрений при ежегодном росте цен.</w:t>
      </w:r>
    </w:p>
    <w:p>
      <w:pPr>
        <w:spacing w:after="0"/>
        <w:ind w:left="0"/>
        <w:jc w:val="both"/>
      </w:pPr>
      <w:r>
        <w:rPr>
          <w:rFonts w:ascii="Times New Roman"/>
          <w:b w:val="false"/>
          <w:i w:val="false"/>
          <w:color w:val="000000"/>
          <w:sz w:val="28"/>
        </w:rPr>
        <w:t>
      2. Отсутствие законодательного закрепления разрешительной процедуры по государственной регистрации агрохимикатов и разрешительного документа на право применения агрохимикатов на территории страны в перечне разрешений второй категории.</w:t>
      </w:r>
    </w:p>
    <w:p>
      <w:pPr>
        <w:spacing w:after="0"/>
        <w:ind w:left="0"/>
        <w:jc w:val="both"/>
      </w:pPr>
      <w:r>
        <w:rPr>
          <w:rFonts w:ascii="Times New Roman"/>
          <w:b w:val="false"/>
          <w:i w:val="false"/>
          <w:color w:val="000000"/>
          <w:sz w:val="28"/>
        </w:rPr>
        <w:t>
      3. Узкий ассортимент минеральных удобрений, выпускаемых отечественными предприятиями, и высокая стоимость.</w:t>
      </w:r>
    </w:p>
    <w:p>
      <w:pPr>
        <w:spacing w:after="0"/>
        <w:ind w:left="0"/>
        <w:jc w:val="left"/>
      </w:pPr>
      <w:r>
        <w:rPr>
          <w:rFonts w:ascii="Times New Roman"/>
          <w:b/>
          <w:i w:val="false"/>
          <w:color w:val="000000"/>
        </w:rPr>
        <w:t xml:space="preserve"> Налоговая политика</w:t>
      </w:r>
    </w:p>
    <w:p>
      <w:pPr>
        <w:spacing w:after="0"/>
        <w:ind w:left="0"/>
        <w:jc w:val="both"/>
      </w:pPr>
      <w:r>
        <w:rPr>
          <w:rFonts w:ascii="Times New Roman"/>
          <w:b w:val="false"/>
          <w:i w:val="false"/>
          <w:color w:val="000000"/>
          <w:sz w:val="28"/>
        </w:rPr>
        <w:t>
      Законодательством для субъектов АПК предусмотрены специальные налоговые режимы:</w:t>
      </w:r>
    </w:p>
    <w:p>
      <w:pPr>
        <w:spacing w:after="0"/>
        <w:ind w:left="0"/>
        <w:jc w:val="both"/>
      </w:pPr>
      <w:r>
        <w:rPr>
          <w:rFonts w:ascii="Times New Roman"/>
          <w:b w:val="false"/>
          <w:i w:val="false"/>
          <w:color w:val="000000"/>
          <w:sz w:val="28"/>
        </w:rPr>
        <w:t>
      1. Для крестьянских или фермерских хозяйств – единый земельный налог (далее - ЕЗН). По данным налоговых органов за 2014 год количество субъектов-плательщиков ЕЗН составило 125,4 тысяч единиц, занятых в крестьянских (фермерских) хозяйствах (далее – К(Ф)Х) – 476,2 тыс. человек, уплачено в бюджет 4,1 млрд. тенге.</w:t>
      </w:r>
    </w:p>
    <w:p>
      <w:pPr>
        <w:spacing w:after="0"/>
        <w:ind w:left="0"/>
        <w:jc w:val="both"/>
      </w:pPr>
      <w:r>
        <w:rPr>
          <w:rFonts w:ascii="Times New Roman"/>
          <w:b w:val="false"/>
          <w:i w:val="false"/>
          <w:color w:val="000000"/>
          <w:sz w:val="28"/>
        </w:rPr>
        <w:t>
      2. Для производителей сельскохозяйственной продукции, продукции аквакультуры и сельскохозяйственных кооперативов. По данным налоговых органов за 2014 год количество субъектов, использующих данный режим, составило -1,9 тысяч, занято 117,4 тыс. человек, уплачено в бюджет 12,1 млрд. тенге налогов и иных платежей.</w:t>
      </w:r>
    </w:p>
    <w:p>
      <w:pPr>
        <w:spacing w:after="0"/>
        <w:ind w:left="0"/>
        <w:jc w:val="both"/>
      </w:pPr>
      <w:r>
        <w:rPr>
          <w:rFonts w:ascii="Times New Roman"/>
          <w:b w:val="false"/>
          <w:i w:val="false"/>
          <w:color w:val="000000"/>
          <w:sz w:val="28"/>
        </w:rPr>
        <w:t>
      В структуре налогов наибольшую долю занимает НДС (в среднем за 5 лет – 53,5%).</w:t>
      </w:r>
    </w:p>
    <w:p>
      <w:pPr>
        <w:spacing w:after="0"/>
        <w:ind w:left="0"/>
        <w:jc w:val="both"/>
      </w:pPr>
      <w:r>
        <w:rPr>
          <w:rFonts w:ascii="Times New Roman"/>
          <w:b w:val="false"/>
          <w:i w:val="false"/>
          <w:color w:val="000000"/>
          <w:sz w:val="28"/>
        </w:rPr>
        <w:t>
      Несмотря на ее значительную долю в общей структуре поступлений от сельского хозяйства, в структуре поступлений в целом по всем отраслям экономики НДС составляет всего 1,6% (см. приложение 32 к настоящей Программе).</w:t>
      </w:r>
    </w:p>
    <w:p>
      <w:pPr>
        <w:spacing w:after="0"/>
        <w:ind w:left="0"/>
        <w:jc w:val="both"/>
      </w:pPr>
      <w:r>
        <w:rPr>
          <w:rFonts w:ascii="Times New Roman"/>
          <w:b w:val="false"/>
          <w:i w:val="false"/>
          <w:color w:val="000000"/>
          <w:sz w:val="28"/>
        </w:rPr>
        <w:t>
      По НДС предусмотрена льгота – уменьшение исчисленной суммы НДС на 70%. Общее количество субъектов, пользующихся данной льготой, – 1147, сумма льготы составляет 5899 млн. тенге:</w:t>
      </w:r>
    </w:p>
    <w:p>
      <w:pPr>
        <w:spacing w:after="0"/>
        <w:ind w:left="0"/>
        <w:jc w:val="both"/>
      </w:pPr>
      <w:r>
        <w:rPr>
          <w:rFonts w:ascii="Times New Roman"/>
          <w:b w:val="false"/>
          <w:i w:val="false"/>
          <w:color w:val="000000"/>
          <w:sz w:val="28"/>
        </w:rPr>
        <w:t>
      - по организациям, осуществляющим переработку сельскохозяйственного сырья, – 3 117 млн. тенге;</w:t>
      </w:r>
    </w:p>
    <w:p>
      <w:pPr>
        <w:spacing w:after="0"/>
        <w:ind w:left="0"/>
        <w:jc w:val="both"/>
      </w:pPr>
      <w:r>
        <w:rPr>
          <w:rFonts w:ascii="Times New Roman"/>
          <w:b w:val="false"/>
          <w:i w:val="false"/>
          <w:color w:val="000000"/>
          <w:sz w:val="28"/>
        </w:rPr>
        <w:t>
      - по производителям сельскохозяйственной продукции, продукции аквакультуры и сельскохозяйственным кооперативам – 2782 млн. тенге.</w:t>
      </w:r>
    </w:p>
    <w:p>
      <w:pPr>
        <w:spacing w:after="0"/>
        <w:ind w:left="0"/>
        <w:jc w:val="both"/>
      </w:pPr>
      <w:r>
        <w:rPr>
          <w:rFonts w:ascii="Times New Roman"/>
          <w:b w:val="false"/>
          <w:i w:val="false"/>
          <w:color w:val="000000"/>
          <w:sz w:val="28"/>
        </w:rPr>
        <w:t>
      Удельный вес налогов в сумме затрат составляет в сельском хозяйстве 6%.</w:t>
      </w:r>
    </w:p>
    <w:p>
      <w:pPr>
        <w:spacing w:after="0"/>
        <w:ind w:left="0"/>
        <w:jc w:val="both"/>
      </w:pPr>
      <w:r>
        <w:rPr>
          <w:rFonts w:ascii="Times New Roman"/>
          <w:b w:val="false"/>
          <w:i w:val="false"/>
          <w:color w:val="000000"/>
          <w:sz w:val="28"/>
        </w:rPr>
        <w:t>
      За 2015 год рентабельность отрасли в связи с убыточностью составила минус 11%.</w:t>
      </w:r>
    </w:p>
    <w:p>
      <w:pPr>
        <w:spacing w:after="0"/>
        <w:ind w:left="0"/>
        <w:jc w:val="left"/>
      </w:pPr>
      <w:r>
        <w:rPr>
          <w:rFonts w:ascii="Times New Roman"/>
          <w:b/>
          <w:i w:val="false"/>
          <w:color w:val="000000"/>
        </w:rPr>
        <w:t xml:space="preserve"> Торгово-логистическая инфраструктура</w:t>
      </w:r>
    </w:p>
    <w:p>
      <w:pPr>
        <w:spacing w:after="0"/>
        <w:ind w:left="0"/>
        <w:jc w:val="both"/>
      </w:pPr>
      <w:r>
        <w:rPr>
          <w:rFonts w:ascii="Times New Roman"/>
          <w:b w:val="false"/>
          <w:i w:val="false"/>
          <w:color w:val="000000"/>
          <w:sz w:val="28"/>
        </w:rPr>
        <w:t>
      В настоящее время продвижение продовольственных товаров от производителей к потребителям осуществляется в стихийном режиме. К примеру, плодоовощная продукция закупается посредниками непосредственно с полей фермеров и владельцев ЛПХ. Аналогичная ситуация и на рынке мясопродуктов, когда множество мелких товаропроизводителей самостоятельно, без соблюдения санитарных требований осуществляют забой скота и транспортируют мясо на рынки для оптовой реализации.</w:t>
      </w:r>
    </w:p>
    <w:p>
      <w:pPr>
        <w:spacing w:after="0"/>
        <w:ind w:left="0"/>
        <w:jc w:val="both"/>
      </w:pPr>
      <w:r>
        <w:rPr>
          <w:rFonts w:ascii="Times New Roman"/>
          <w:b w:val="false"/>
          <w:i w:val="false"/>
          <w:color w:val="000000"/>
          <w:sz w:val="28"/>
        </w:rPr>
        <w:t xml:space="preserve">
      Кроме того, посредники, одновременно являясь владельцами грузовых машин, выборочно подходят к производителям сельскохозяйственной продукции. Во-первых, основным критерием является объем продукции, т.е. если объем продукции недостаточен для полной загрузки автомашин, то сделка не совершается. Во-вторых, автопарк на рынке перевозок в основном состоит из морально и физически устаревших автомобилей, значительно ухудшающих качество плодоовощной продукции во время перевозки (усушка, утряска, порча). В-третьих, посредники, в целях покрытия всех производственных и непредвиденных затрат, а также получения максимальной прибыли осуществляют двух-трехкратную надбавку к стоимости продукции СХТП, что, в свою очередь, приводит к необоснованному росту цен для потребителей. В-четвертых, посредники берут на себя риски убытков, так как отсутствуют какие-либо гарантии сбыта той продукции, которую они приобретают у аграриев. К примеру, существуют риски ДТП по пути следования, невостребованность или резкое снижение цен товара в пункте назначения. И в-пятых, отсутствие организованности на рынке перевозок полностью исключает возможность для государственных органов осуществлять регулирование товаропотоков между регионами. </w:t>
      </w:r>
    </w:p>
    <w:p>
      <w:pPr>
        <w:spacing w:after="0"/>
        <w:ind w:left="0"/>
        <w:jc w:val="both"/>
      </w:pPr>
      <w:r>
        <w:rPr>
          <w:rFonts w:ascii="Times New Roman"/>
          <w:b w:val="false"/>
          <w:i w:val="false"/>
          <w:color w:val="000000"/>
          <w:sz w:val="28"/>
        </w:rPr>
        <w:t>
      Для решения этих проблем в стране предпринимаются меры по развитию транспортной логистики и складской инфраструктуры. Так, на территории Казахстана функционирует 21 транспортно-логистический центр (далее – ТЛЦ). Вместе с тем, имеющиеся мощности современной инфраструктуры недостаточны для полного устранения проблем.</w:t>
      </w:r>
    </w:p>
    <w:p>
      <w:pPr>
        <w:spacing w:after="0"/>
        <w:ind w:left="0"/>
        <w:jc w:val="both"/>
      </w:pPr>
      <w:r>
        <w:rPr>
          <w:rFonts w:ascii="Times New Roman"/>
          <w:b w:val="false"/>
          <w:i w:val="false"/>
          <w:color w:val="000000"/>
          <w:sz w:val="28"/>
        </w:rPr>
        <w:t xml:space="preserve">
      Слабым звеном в логистической цепи является торговля. Внутренний и внешний потоки продовольственных товаров в основном приходятся на малые предприятия – 80% рынка (средние – 17%, крупные – 3%). </w:t>
      </w:r>
    </w:p>
    <w:p>
      <w:pPr>
        <w:spacing w:after="0"/>
        <w:ind w:left="0"/>
        <w:jc w:val="both"/>
      </w:pPr>
      <w:r>
        <w:rPr>
          <w:rFonts w:ascii="Times New Roman"/>
          <w:b w:val="false"/>
          <w:i w:val="false"/>
          <w:color w:val="000000"/>
          <w:sz w:val="28"/>
        </w:rPr>
        <w:t xml:space="preserve">
      Оптовая торговля в основном выполняется в разных местах и многие розничные рынки в раннее утро выполняют функцию оптовых рынков. При этом, в каждом казахстанском городе есть специализированные оптовые рынки, расположенные на старых продовольственных складах, где продовольственные поставки унаследовали старую централизованную систему. </w:t>
      </w:r>
    </w:p>
    <w:p>
      <w:pPr>
        <w:spacing w:after="0"/>
        <w:ind w:left="0"/>
        <w:jc w:val="both"/>
      </w:pPr>
      <w:r>
        <w:rPr>
          <w:rFonts w:ascii="Times New Roman"/>
          <w:b w:val="false"/>
          <w:i w:val="false"/>
          <w:color w:val="000000"/>
          <w:sz w:val="28"/>
        </w:rPr>
        <w:t>
      Речь идет о достаточно небольших зданиях, где продаются плодоовощная продукция, а также мясо и другие нескоропортящиеся продовольственные продукты, колбасные изделия и т.д.</w:t>
      </w:r>
    </w:p>
    <w:p>
      <w:pPr>
        <w:spacing w:after="0"/>
        <w:ind w:left="0"/>
        <w:jc w:val="both"/>
      </w:pPr>
      <w:r>
        <w:rPr>
          <w:rFonts w:ascii="Times New Roman"/>
          <w:b w:val="false"/>
          <w:i w:val="false"/>
          <w:color w:val="000000"/>
          <w:sz w:val="28"/>
        </w:rPr>
        <w:t xml:space="preserve">
      В целом, всеми этими оптовыми рынками управляют частные предприятия, которые являются либо владельцами этих зданий и земельных участков, либо арендуют их. Но чаще всего оптовые рынки предоставляются местными исполнительными властями. </w:t>
      </w:r>
    </w:p>
    <w:p>
      <w:pPr>
        <w:spacing w:after="0"/>
        <w:ind w:left="0"/>
        <w:jc w:val="both"/>
      </w:pPr>
      <w:r>
        <w:rPr>
          <w:rFonts w:ascii="Times New Roman"/>
          <w:b w:val="false"/>
          <w:i w:val="false"/>
          <w:color w:val="000000"/>
          <w:sz w:val="28"/>
        </w:rPr>
        <w:t xml:space="preserve">
      Эти рынки всегда состоят из разных отделов, предназначенных, в частности, для приема оптовых продавцов, реализующих продукцию с автомобилей и торговых пунктов (две категорий операторов рынка описываются в следующей главе). Покупатели имеют доступ к оптовым рынкам, которые смешивают деятельность оптовой и розничной торговли. </w:t>
      </w:r>
    </w:p>
    <w:p>
      <w:pPr>
        <w:spacing w:after="0"/>
        <w:ind w:left="0"/>
        <w:jc w:val="both"/>
      </w:pPr>
      <w:r>
        <w:rPr>
          <w:rFonts w:ascii="Times New Roman"/>
          <w:b w:val="false"/>
          <w:i w:val="false"/>
          <w:color w:val="000000"/>
          <w:sz w:val="28"/>
        </w:rPr>
        <w:t>
      Очевидно, что рынки выполняют свои функции по организации торговли на этом уровне. Вместе с тем, условия реализации продукции не соответствуют санитарно-гигиеническим требованиям, в частности, при реализации скоропортящейся продукции.</w:t>
      </w:r>
    </w:p>
    <w:p>
      <w:pPr>
        <w:spacing w:after="0"/>
        <w:ind w:left="0"/>
        <w:jc w:val="both"/>
      </w:pPr>
      <w:r>
        <w:rPr>
          <w:rFonts w:ascii="Times New Roman"/>
          <w:b w:val="false"/>
          <w:i w:val="false"/>
          <w:color w:val="000000"/>
          <w:sz w:val="28"/>
        </w:rPr>
        <w:t>
      Это приводит к таким последствиям как высокие цены, волатильность цен в межсезонье, сложность формирования крупных партий, необеспечение постоянных поставок продовольственных товаров.</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1. Неразвитость торгово-логистической инфраструктуры.</w:t>
      </w:r>
    </w:p>
    <w:p>
      <w:pPr>
        <w:spacing w:after="0"/>
        <w:ind w:left="0"/>
        <w:jc w:val="both"/>
      </w:pPr>
      <w:r>
        <w:rPr>
          <w:rFonts w:ascii="Times New Roman"/>
          <w:b w:val="false"/>
          <w:i w:val="false"/>
          <w:color w:val="000000"/>
          <w:sz w:val="28"/>
        </w:rPr>
        <w:t>
      2. Присутствие неконтролируемого количества посреднических звеньев.</w:t>
      </w:r>
    </w:p>
    <w:p>
      <w:pPr>
        <w:spacing w:after="0"/>
        <w:ind w:left="0"/>
        <w:jc w:val="both"/>
      </w:pPr>
      <w:r>
        <w:rPr>
          <w:rFonts w:ascii="Times New Roman"/>
          <w:b w:val="false"/>
          <w:i w:val="false"/>
          <w:color w:val="000000"/>
          <w:sz w:val="28"/>
        </w:rPr>
        <w:t>
      3. Отсутствие связей между розничными торговыми предприятиями и СХТП.</w:t>
      </w:r>
    </w:p>
    <w:p>
      <w:pPr>
        <w:spacing w:after="0"/>
        <w:ind w:left="0"/>
        <w:jc w:val="both"/>
      </w:pPr>
      <w:r>
        <w:rPr>
          <w:rFonts w:ascii="Times New Roman"/>
          <w:b w:val="false"/>
          <w:i w:val="false"/>
          <w:color w:val="000000"/>
          <w:sz w:val="28"/>
        </w:rPr>
        <w:t>
      4. Наличие потерь и расходов в системе распределения продовольственных товаров при их движении между регионами республики.</w:t>
      </w:r>
    </w:p>
    <w:p>
      <w:pPr>
        <w:spacing w:after="0"/>
        <w:ind w:left="0"/>
        <w:jc w:val="both"/>
      </w:pPr>
      <w:r>
        <w:rPr>
          <w:rFonts w:ascii="Times New Roman"/>
          <w:b w:val="false"/>
          <w:i w:val="false"/>
          <w:color w:val="000000"/>
          <w:sz w:val="28"/>
        </w:rPr>
        <w:t>
      5. Отсутствие гарантированных рынков сбыта для мелких и средних СХТП.</w:t>
      </w:r>
    </w:p>
    <w:p>
      <w:pPr>
        <w:spacing w:after="0"/>
        <w:ind w:left="0"/>
        <w:jc w:val="both"/>
      </w:pPr>
      <w:r>
        <w:rPr>
          <w:rFonts w:ascii="Times New Roman"/>
          <w:b w:val="false"/>
          <w:i w:val="false"/>
          <w:color w:val="000000"/>
          <w:sz w:val="28"/>
        </w:rPr>
        <w:t>
      6. Отсутствие организационных, технических и технологических возможностей для формирования крупных, стабильных партий для экспорта.</w:t>
      </w:r>
    </w:p>
    <w:p>
      <w:pPr>
        <w:spacing w:after="0"/>
        <w:ind w:left="0"/>
        <w:jc w:val="left"/>
      </w:pPr>
      <w:r>
        <w:rPr>
          <w:rFonts w:ascii="Times New Roman"/>
          <w:b/>
          <w:i w:val="false"/>
          <w:color w:val="000000"/>
        </w:rPr>
        <w:t xml:space="preserve"> Информационно-маркетинговое обеспечение</w:t>
      </w:r>
    </w:p>
    <w:p>
      <w:pPr>
        <w:spacing w:after="0"/>
        <w:ind w:left="0"/>
        <w:jc w:val="both"/>
      </w:pPr>
      <w:r>
        <w:rPr>
          <w:rFonts w:ascii="Times New Roman"/>
          <w:b w:val="false"/>
          <w:i w:val="false"/>
          <w:color w:val="000000"/>
          <w:sz w:val="28"/>
        </w:rPr>
        <w:t>
      В АПК Казахстана информационно-маркетинговым обеспечением на безвозмездной основе занимались следующие специализированные организации: АО "КазАгроМаркетинг" и центры по распространению знаний, созданные на базе научно-исследовательских институтов (далее – НИИ) и опытно-производственных хозяйств (далее – ОПХ). В 2016 году данная деятельность была передана в ведение Национальной палаты предпринимателей РК "Атамекен" (далее – НПП РК "Атамекен"). Всего информационно-маркетинговым обеспечением ежегодно охвачено более 60 тыс. субъектов АПК.</w:t>
      </w:r>
    </w:p>
    <w:p>
      <w:pPr>
        <w:spacing w:after="0"/>
        <w:ind w:left="0"/>
        <w:jc w:val="both"/>
      </w:pPr>
      <w:r>
        <w:rPr>
          <w:rFonts w:ascii="Times New Roman"/>
          <w:b w:val="false"/>
          <w:i w:val="false"/>
          <w:color w:val="000000"/>
          <w:sz w:val="28"/>
        </w:rPr>
        <w:t>
      Также акционерное общество "Национальное агентство по экспорту и инвестициям "KAZNEX INVEST" (далее – АО "KAZNEX INVEST") ежегодно поддерживает участие казахстанских производителей в выставках за рубежом, налаживание контактов, экспорт путем компенсации части затрат на проведение выставок и продвижение экспорта.</w:t>
      </w:r>
    </w:p>
    <w:p>
      <w:pPr>
        <w:spacing w:after="0"/>
        <w:ind w:left="0"/>
        <w:jc w:val="both"/>
      </w:pPr>
      <w:r>
        <w:rPr>
          <w:rFonts w:ascii="Times New Roman"/>
          <w:b w:val="false"/>
          <w:i w:val="false"/>
          <w:color w:val="000000"/>
          <w:sz w:val="28"/>
        </w:rPr>
        <w:t xml:space="preserve">
      Кроме того, информационную и маркетинговую поддержку в вопросах сбыта, сбора и распространения данных играют отраслевые ассоциации предпринимателей. </w:t>
      </w:r>
    </w:p>
    <w:p>
      <w:pPr>
        <w:spacing w:after="0"/>
        <w:ind w:left="0"/>
        <w:jc w:val="both"/>
      </w:pPr>
      <w:r>
        <w:rPr>
          <w:rFonts w:ascii="Times New Roman"/>
          <w:b w:val="false"/>
          <w:i w:val="false"/>
          <w:color w:val="000000"/>
          <w:sz w:val="28"/>
        </w:rPr>
        <w:t xml:space="preserve">
      Проблемы: </w:t>
      </w:r>
    </w:p>
    <w:p>
      <w:pPr>
        <w:spacing w:after="0"/>
        <w:ind w:left="0"/>
        <w:jc w:val="both"/>
      </w:pPr>
      <w:r>
        <w:rPr>
          <w:rFonts w:ascii="Times New Roman"/>
          <w:b w:val="false"/>
          <w:i w:val="false"/>
          <w:color w:val="000000"/>
          <w:sz w:val="28"/>
        </w:rPr>
        <w:t>
      1. Недостаточный охват субъектов АПК качественным информационно-маркетинговым обеспечением.</w:t>
      </w:r>
    </w:p>
    <w:p>
      <w:pPr>
        <w:spacing w:after="0"/>
        <w:ind w:left="0"/>
        <w:jc w:val="both"/>
      </w:pPr>
      <w:r>
        <w:rPr>
          <w:rFonts w:ascii="Times New Roman"/>
          <w:b w:val="false"/>
          <w:i w:val="false"/>
          <w:color w:val="000000"/>
          <w:sz w:val="28"/>
        </w:rPr>
        <w:t>
      2. Неразвитая инфраструктура для систем повышения квалификации, консультационных и информационных услуг в аграрном секторе экономики.</w:t>
      </w:r>
    </w:p>
    <w:p>
      <w:pPr>
        <w:spacing w:after="0"/>
        <w:ind w:left="0"/>
        <w:jc w:val="left"/>
      </w:pPr>
      <w:r>
        <w:rPr>
          <w:rFonts w:ascii="Times New Roman"/>
          <w:b/>
          <w:i w:val="false"/>
          <w:color w:val="000000"/>
        </w:rPr>
        <w:t xml:space="preserve"> Трансферт эффективных зарубежных технологий</w:t>
      </w:r>
    </w:p>
    <w:p>
      <w:pPr>
        <w:spacing w:after="0"/>
        <w:ind w:left="0"/>
        <w:jc w:val="both"/>
      </w:pPr>
      <w:r>
        <w:rPr>
          <w:rFonts w:ascii="Times New Roman"/>
          <w:b w:val="false"/>
          <w:i w:val="false"/>
          <w:color w:val="000000"/>
          <w:sz w:val="28"/>
        </w:rPr>
        <w:t xml:space="preserve">
      В настоящее время трансферт эффективных зарубежных технологий осуществляется разрозненно, в рамках отдельных инвестиционных проектов. Системный подход к отбору оптимальных технологических решений, их апробации, адаптации и распространению отсутствует. </w:t>
      </w:r>
    </w:p>
    <w:p>
      <w:pPr>
        <w:spacing w:after="0"/>
        <w:ind w:left="0"/>
        <w:jc w:val="both"/>
      </w:pPr>
      <w:r>
        <w:rPr>
          <w:rFonts w:ascii="Times New Roman"/>
          <w:b w:val="false"/>
          <w:i w:val="false"/>
          <w:color w:val="000000"/>
          <w:sz w:val="28"/>
        </w:rPr>
        <w:t>
      Основными проблемами в сфере трансферта технологий являются:</w:t>
      </w:r>
    </w:p>
    <w:p>
      <w:pPr>
        <w:spacing w:after="0"/>
        <w:ind w:left="0"/>
        <w:jc w:val="both"/>
      </w:pPr>
      <w:r>
        <w:rPr>
          <w:rFonts w:ascii="Times New Roman"/>
          <w:b w:val="false"/>
          <w:i w:val="false"/>
          <w:color w:val="000000"/>
          <w:sz w:val="28"/>
        </w:rPr>
        <w:t>
      1. Отсутствие структурированной, объективной информации о наиболее актуальных технологических задачах, технологиях, подходах к их решению в странах – технологических лидерах с сопоставимыми условиями для ведения сельского хозяйства.</w:t>
      </w:r>
    </w:p>
    <w:p>
      <w:pPr>
        <w:spacing w:after="0"/>
        <w:ind w:left="0"/>
        <w:jc w:val="both"/>
      </w:pPr>
      <w:r>
        <w:rPr>
          <w:rFonts w:ascii="Times New Roman"/>
          <w:b w:val="false"/>
          <w:i w:val="false"/>
          <w:color w:val="000000"/>
          <w:sz w:val="28"/>
        </w:rPr>
        <w:t>
      2. Не осуществляется технологическое прогнозирование в АПК, которое позволило бы сфокусировать ресурсы на перспективных задачах и заранее, в партнерстве с зарубежными организациями - носителями необходимых компетенций, приступить к их решению.</w:t>
      </w:r>
    </w:p>
    <w:p>
      <w:pPr>
        <w:spacing w:after="0"/>
        <w:ind w:left="0"/>
        <w:jc w:val="left"/>
      </w:pPr>
      <w:r>
        <w:rPr>
          <w:rFonts w:ascii="Times New Roman"/>
          <w:b/>
          <w:i w:val="false"/>
          <w:color w:val="000000"/>
        </w:rPr>
        <w:t xml:space="preserve"> Научное и кадровое обеспечение</w:t>
      </w:r>
    </w:p>
    <w:p>
      <w:pPr>
        <w:spacing w:after="0"/>
        <w:ind w:left="0"/>
        <w:jc w:val="both"/>
      </w:pPr>
      <w:r>
        <w:rPr>
          <w:rFonts w:ascii="Times New Roman"/>
          <w:b w:val="false"/>
          <w:i w:val="false"/>
          <w:color w:val="000000"/>
          <w:sz w:val="28"/>
        </w:rPr>
        <w:t xml:space="preserve">
      Научными исследованиями в сфере АПК в Республике Казахстан заняты НИИ и ОПХ некоммерческого акционерного общества "Национальный аграрный научно-образовательный центр" (далее НАО "НАНОЦ"), другие НИИ, ОПХ и высшие учебные заведения (далее – ВУЗы). Общий объем финансирования научных исследований в 2015 году составил 0,15% от валового продукта сельского хозяйства, что примерно в 10 раз ниже, чем в среднем в странах - технологических лидерах. </w:t>
      </w:r>
    </w:p>
    <w:p>
      <w:pPr>
        <w:spacing w:after="0"/>
        <w:ind w:left="0"/>
        <w:jc w:val="both"/>
      </w:pPr>
      <w:r>
        <w:rPr>
          <w:rFonts w:ascii="Times New Roman"/>
          <w:b w:val="false"/>
          <w:i w:val="false"/>
          <w:color w:val="000000"/>
          <w:sz w:val="28"/>
        </w:rPr>
        <w:t xml:space="preserve">
      Приоритетами высшего и послевузовского образования Казахстана являются триединство образования, науки и производства, а также усиление интеграции университетов и бизнес-структур. </w:t>
      </w:r>
    </w:p>
    <w:p>
      <w:pPr>
        <w:spacing w:after="0"/>
        <w:ind w:left="0"/>
        <w:jc w:val="both"/>
      </w:pPr>
      <w:r>
        <w:rPr>
          <w:rFonts w:ascii="Times New Roman"/>
          <w:b w:val="false"/>
          <w:i w:val="false"/>
          <w:color w:val="000000"/>
          <w:sz w:val="28"/>
        </w:rPr>
        <w:t>
      Используя опыт АОО "Назарбаев Университет", ведется поэтапная трансформация Казахского национального аграрного университета (далее – КазНАУ) и Казахского аграрно-технического университета имени Сакена Сейфуллина (далее – КазАТУ) в исследовательские университеты. КазНАУ и КазАТУ уже второй год участвуют в подготовке кадров для реализации проектов Государственной программы индустриально-инновационного развития (далее – ГПИИР).</w:t>
      </w:r>
    </w:p>
    <w:p>
      <w:pPr>
        <w:spacing w:after="0"/>
        <w:ind w:left="0"/>
        <w:jc w:val="both"/>
      </w:pPr>
      <w:r>
        <w:rPr>
          <w:rFonts w:ascii="Times New Roman"/>
          <w:b w:val="false"/>
          <w:i w:val="false"/>
          <w:color w:val="000000"/>
          <w:sz w:val="28"/>
        </w:rPr>
        <w:t xml:space="preserve">
      С учетом регионального принципа и многолетнего опыта в сфере подготовки аграрных кадров, наличия профессионального научно-педагогического потенциала, а также тесного взаимодействия с ведущими зарубежными университетами и передовыми отечественными агроформированиями усилия трех ведущих аграрных ВУЗов направлены на подготовку конкурентоспособных кадров для АПК. </w:t>
      </w:r>
    </w:p>
    <w:p>
      <w:pPr>
        <w:spacing w:after="0"/>
        <w:ind w:left="0"/>
        <w:jc w:val="both"/>
      </w:pPr>
      <w:r>
        <w:rPr>
          <w:rFonts w:ascii="Times New Roman"/>
          <w:b w:val="false"/>
          <w:i w:val="false"/>
          <w:color w:val="000000"/>
          <w:sz w:val="28"/>
        </w:rPr>
        <w:t>
      Подготовку кадров по специальностям "сельскохозяйственные науки, услуги и ветеринария" с высшим образованием осуществляют 23 ВУЗа (из них 7 частных), в том числе:</w:t>
      </w:r>
    </w:p>
    <w:p>
      <w:pPr>
        <w:spacing w:after="0"/>
        <w:ind w:left="0"/>
        <w:jc w:val="both"/>
      </w:pPr>
      <w:r>
        <w:rPr>
          <w:rFonts w:ascii="Times New Roman"/>
          <w:b w:val="false"/>
          <w:i w:val="false"/>
          <w:color w:val="000000"/>
          <w:sz w:val="28"/>
        </w:rPr>
        <w:t>
      - три высших образовательных учреждения РК. В КазНАУ ведется подготовка по 14 аграрным специальностям, в КазАТУ – по 13 и Западно-Казахстанском аграрно-техническом университете имени Жангирхана (далее – ЗКАТУ) – по 11;</w:t>
      </w:r>
    </w:p>
    <w:p>
      <w:pPr>
        <w:spacing w:after="0"/>
        <w:ind w:left="0"/>
        <w:jc w:val="both"/>
      </w:pPr>
      <w:r>
        <w:rPr>
          <w:rFonts w:ascii="Times New Roman"/>
          <w:b w:val="false"/>
          <w:i w:val="false"/>
          <w:color w:val="000000"/>
          <w:sz w:val="28"/>
        </w:rPr>
        <w:t>
      - девять ВУЗов со специализированными аграрными факультетами;</w:t>
      </w:r>
    </w:p>
    <w:p>
      <w:pPr>
        <w:spacing w:after="0"/>
        <w:ind w:left="0"/>
        <w:jc w:val="both"/>
      </w:pPr>
      <w:r>
        <w:rPr>
          <w:rFonts w:ascii="Times New Roman"/>
          <w:b w:val="false"/>
          <w:i w:val="false"/>
          <w:color w:val="000000"/>
          <w:sz w:val="28"/>
        </w:rPr>
        <w:t>
      - 11 непрофильных ВУЗов, в которых ведется подготовка по аграрным специальностям.</w:t>
      </w:r>
    </w:p>
    <w:p>
      <w:pPr>
        <w:spacing w:after="0"/>
        <w:ind w:left="0"/>
        <w:jc w:val="both"/>
      </w:pPr>
      <w:r>
        <w:rPr>
          <w:rFonts w:ascii="Times New Roman"/>
          <w:b w:val="false"/>
          <w:i w:val="false"/>
          <w:color w:val="000000"/>
          <w:sz w:val="28"/>
        </w:rPr>
        <w:t>
      Необходимо отметить, что вышеуказанные ВУЗы имеют институциональную и специализированную аккредитации международных аккредитационных агентств: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КазНАУ: </w:t>
      </w:r>
    </w:p>
    <w:p>
      <w:pPr>
        <w:spacing w:after="0"/>
        <w:ind w:left="0"/>
        <w:jc w:val="both"/>
      </w:pPr>
      <w:r>
        <w:rPr>
          <w:rFonts w:ascii="Times New Roman"/>
          <w:b w:val="false"/>
          <w:i w:val="false"/>
          <w:color w:val="000000"/>
          <w:sz w:val="28"/>
        </w:rPr>
        <w:t>
      - институциональная аккредитация получена в 2014 году (агентство НКАОКО);</w:t>
      </w:r>
    </w:p>
    <w:p>
      <w:pPr>
        <w:spacing w:after="0"/>
        <w:ind w:left="0"/>
        <w:jc w:val="both"/>
      </w:pPr>
      <w:r>
        <w:rPr>
          <w:rFonts w:ascii="Times New Roman"/>
          <w:b w:val="false"/>
          <w:i w:val="false"/>
          <w:color w:val="000000"/>
          <w:sz w:val="28"/>
        </w:rPr>
        <w:t>
      - специализированная аккредитация получена по 13 образовательным программам в 2015 году (ACQUIN и НААР) и по 3 в 2016 (НААР).</w:t>
      </w:r>
    </w:p>
    <w:p>
      <w:pPr>
        <w:spacing w:after="0"/>
        <w:ind w:left="0"/>
        <w:jc w:val="both"/>
      </w:pPr>
      <w:r>
        <w:rPr>
          <w:rFonts w:ascii="Times New Roman"/>
          <w:b w:val="false"/>
          <w:i w:val="false"/>
          <w:color w:val="000000"/>
          <w:sz w:val="28"/>
        </w:rPr>
        <w:t>
      </w:t>
      </w:r>
      <w:r>
        <w:rPr>
          <w:rFonts w:ascii="Times New Roman"/>
          <w:b w:val="false"/>
          <w:i/>
          <w:color w:val="000000"/>
          <w:sz w:val="28"/>
        </w:rPr>
        <w:t>КазАТУ:</w:t>
      </w:r>
    </w:p>
    <w:p>
      <w:pPr>
        <w:spacing w:after="0"/>
        <w:ind w:left="0"/>
        <w:jc w:val="both"/>
      </w:pPr>
      <w:r>
        <w:rPr>
          <w:rFonts w:ascii="Times New Roman"/>
          <w:b w:val="false"/>
          <w:i w:val="false"/>
          <w:color w:val="000000"/>
          <w:sz w:val="28"/>
        </w:rPr>
        <w:t>
      - институциональная аккредитация получена в 2014 году (НААР);</w:t>
      </w:r>
    </w:p>
    <w:p>
      <w:pPr>
        <w:spacing w:after="0"/>
        <w:ind w:left="0"/>
        <w:jc w:val="both"/>
      </w:pPr>
      <w:r>
        <w:rPr>
          <w:rFonts w:ascii="Times New Roman"/>
          <w:b w:val="false"/>
          <w:i w:val="false"/>
          <w:color w:val="000000"/>
          <w:sz w:val="28"/>
        </w:rPr>
        <w:t>
      - специализированная аккредитация получена в 2015 году по 79 образовательным программам (НААР).</w:t>
      </w:r>
    </w:p>
    <w:p>
      <w:pPr>
        <w:spacing w:after="0"/>
        <w:ind w:left="0"/>
        <w:jc w:val="both"/>
      </w:pPr>
      <w:r>
        <w:rPr>
          <w:rFonts w:ascii="Times New Roman"/>
          <w:b w:val="false"/>
          <w:i w:val="false"/>
          <w:color w:val="000000"/>
          <w:sz w:val="28"/>
        </w:rPr>
        <w:t>
      </w:t>
      </w:r>
      <w:r>
        <w:rPr>
          <w:rFonts w:ascii="Times New Roman"/>
          <w:b w:val="false"/>
          <w:i/>
          <w:color w:val="000000"/>
          <w:sz w:val="28"/>
        </w:rPr>
        <w:t>ЗКАТУ:</w:t>
      </w:r>
    </w:p>
    <w:p>
      <w:pPr>
        <w:spacing w:after="0"/>
        <w:ind w:left="0"/>
        <w:jc w:val="both"/>
      </w:pPr>
      <w:r>
        <w:rPr>
          <w:rFonts w:ascii="Times New Roman"/>
          <w:b w:val="false"/>
          <w:i w:val="false"/>
          <w:color w:val="000000"/>
          <w:sz w:val="28"/>
        </w:rPr>
        <w:t>
      - институциональная аккредитация получена в 2014 году (агентство НКАОКО);</w:t>
      </w:r>
    </w:p>
    <w:p>
      <w:pPr>
        <w:spacing w:after="0"/>
        <w:ind w:left="0"/>
        <w:jc w:val="both"/>
      </w:pPr>
      <w:r>
        <w:rPr>
          <w:rFonts w:ascii="Times New Roman"/>
          <w:b w:val="false"/>
          <w:i w:val="false"/>
          <w:color w:val="000000"/>
          <w:sz w:val="28"/>
        </w:rPr>
        <w:t>
      - специализированная аккредитация получена по 38 образовательным программам в 2014 году и по 19 – в 2015 (НКАОКО).</w:t>
      </w:r>
    </w:p>
    <w:p>
      <w:pPr>
        <w:spacing w:after="0"/>
        <w:ind w:left="0"/>
        <w:jc w:val="both"/>
      </w:pPr>
      <w:r>
        <w:rPr>
          <w:rFonts w:ascii="Times New Roman"/>
          <w:b w:val="false"/>
          <w:i w:val="false"/>
          <w:color w:val="000000"/>
          <w:sz w:val="28"/>
        </w:rPr>
        <w:t xml:space="preserve">
      При этом отрасль, несмотря на выделение значительного количества грантов на сельскохозяйственные специальности, испытывает значительный дефицит кадров с высшим образованием. В 2014 – 2016 годы общая потребность в специалистах и научных кадрах для АПК составила 6 456 человек, из них в 2014 году – 1575 человек, 2015 году – 2 240 человек, 2016 году – 2 641 человек. Нехватка кадров ощущается, в основном, по таким специальностям как ученые-агрономы, ветеринарные врачи, зооинженеры, инженеры-механики сельскохозяйственного производства, инженеры-технологи по переработке сельскохозяйственной продукции, экономисты, бухгалтера и т.п. По данным местных исполнительных органов около 80% субъектов АПК испытывают потребность в специалистах. Из числа руководителей более 13 тысяч СХТП-юридических лиц только 12% имеют </w:t>
      </w:r>
    </w:p>
    <w:p>
      <w:pPr>
        <w:spacing w:after="0"/>
        <w:ind w:left="0"/>
        <w:jc w:val="both"/>
      </w:pPr>
      <w:r>
        <w:rPr>
          <w:rFonts w:ascii="Times New Roman"/>
          <w:b w:val="false"/>
          <w:i w:val="false"/>
          <w:color w:val="000000"/>
          <w:sz w:val="28"/>
        </w:rPr>
        <w:t>
      Важную роль в массовом обеспечении кадрами сельского хозяйства играет средне-специальное образование. В Казахстане с учетом природно-климатических условий и сложившейся специализации регионов на 1 октября 2015 года функционируют 807 колледжей, в том числе 462 государственных. Подготовка кадров для АПК в рамках технического и профессионального обучения (далее - ТиПО) ведется по 21 специальности. Подготовку кадров аграрного профиля со средним специальным образованием ведут 62 колледжа, расположенные во всех регионах страны, за исключением Мангистауской области. Из них всего 20% расположены в сельской местности.</w:t>
      </w:r>
    </w:p>
    <w:p>
      <w:pPr>
        <w:spacing w:after="0"/>
        <w:ind w:left="0"/>
        <w:jc w:val="both"/>
      </w:pPr>
      <w:r>
        <w:rPr>
          <w:rFonts w:ascii="Times New Roman"/>
          <w:b w:val="false"/>
          <w:i w:val="false"/>
          <w:color w:val="000000"/>
          <w:sz w:val="28"/>
        </w:rPr>
        <w:t xml:space="preserve">
      Уровень практико-ориентированности обучающих программ не отвечает современным требованиям подготовки кадров, удельный вес практических часов составляет около 20-25%. При этом наблюдается слабая материально-техническая база учреждений образования ТиПО, готовящих кадры по аграрным специальностям. Наблюдаются слабая интеграция и неполное взаимодействие ВУЗов и учреждений ТиПО с передовыми хозяйствами и предприятиями. Только 22 % населения страны считает ТиПО престижным. </w:t>
      </w:r>
    </w:p>
    <w:p>
      <w:pPr>
        <w:spacing w:after="0"/>
        <w:ind w:left="0"/>
        <w:jc w:val="both"/>
      </w:pPr>
      <w:r>
        <w:rPr>
          <w:rFonts w:ascii="Times New Roman"/>
          <w:b w:val="false"/>
          <w:i w:val="false"/>
          <w:color w:val="000000"/>
          <w:sz w:val="28"/>
        </w:rPr>
        <w:t>
      В то же время, из всех субъектов АПК 80% составляют мелкие крестьянские и фермерские хозяйства, которые нуждаются в профильных специалистах. При этом на производстве не хватает агрономов, зоотехников, веттехников, мастеров-наладчиков и т.д.</w:t>
      </w:r>
    </w:p>
    <w:p>
      <w:pPr>
        <w:spacing w:after="0"/>
        <w:ind w:left="0"/>
        <w:jc w:val="both"/>
      </w:pPr>
      <w:r>
        <w:rPr>
          <w:rFonts w:ascii="Times New Roman"/>
          <w:b w:val="false"/>
          <w:i w:val="false"/>
          <w:color w:val="000000"/>
          <w:sz w:val="28"/>
        </w:rPr>
        <w:t>
      Ранее практически в каждом районе функционировали профессионально-технические училища (лицеи, школы), которые готовили рабочих массовых профессий, таких как трактористы-машинисты сельскохозяйственного производства, наладчики сельскохозяйственных машин и тракторов, слесари-ремонтники, операторы машинного доения, плодоовощеводы, операторы по ветеринарной обработке животных, птицеводы, коневоды, операторы животноводческих комплексов, рыбоводы, и т.д. При этом обучение проводилось от 10 (на базе среднего образования) до 36 месяцев (на базе неполного среднего образования – выпускники 8-9 классов).</w:t>
      </w:r>
    </w:p>
    <w:p>
      <w:pPr>
        <w:spacing w:after="0"/>
        <w:ind w:left="0"/>
        <w:jc w:val="both"/>
      </w:pPr>
      <w:r>
        <w:rPr>
          <w:rFonts w:ascii="Times New Roman"/>
          <w:b w:val="false"/>
          <w:i w:val="false"/>
          <w:color w:val="000000"/>
          <w:sz w:val="28"/>
        </w:rPr>
        <w:t>
      Основные направления вузовской деятельности слабо ориентированы на решение производственных проблем бизнеса и привитие практических навыков обучающимся. Совместно с отраслевыми объединениями СХТП, местными исполнительными органами слабо ведется работа по мониторингу потребностей в кадрах, привлечению молодых специалистов в рамках проекта "С дипломом в село" и вовлечению сельской молодежи в различные общественные проекты. Нецеленаправленно проводится работа по повышению престижа сельскохозяйственных профессий.</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xml:space="preserve">
      1. Низкая конкурентоспособность отечественных научных разработок. </w:t>
      </w:r>
    </w:p>
    <w:p>
      <w:pPr>
        <w:spacing w:after="0"/>
        <w:ind w:left="0"/>
        <w:jc w:val="both"/>
      </w:pPr>
      <w:r>
        <w:rPr>
          <w:rFonts w:ascii="Times New Roman"/>
          <w:b w:val="false"/>
          <w:i w:val="false"/>
          <w:color w:val="000000"/>
          <w:sz w:val="28"/>
        </w:rPr>
        <w:t>
      2. Недостаточная ориентированность научных исследований на наиболее актуальные задачи.</w:t>
      </w:r>
    </w:p>
    <w:p>
      <w:pPr>
        <w:spacing w:after="0"/>
        <w:ind w:left="0"/>
        <w:jc w:val="both"/>
      </w:pPr>
      <w:r>
        <w:rPr>
          <w:rFonts w:ascii="Times New Roman"/>
          <w:b w:val="false"/>
          <w:i w:val="false"/>
          <w:color w:val="000000"/>
          <w:sz w:val="28"/>
        </w:rPr>
        <w:t>
      3. Неэффективная система распределения финансирования на научные исследования.</w:t>
      </w:r>
    </w:p>
    <w:p>
      <w:pPr>
        <w:spacing w:after="0"/>
        <w:ind w:left="0"/>
        <w:jc w:val="both"/>
      </w:pPr>
      <w:r>
        <w:rPr>
          <w:rFonts w:ascii="Times New Roman"/>
          <w:b w:val="false"/>
          <w:i w:val="false"/>
          <w:color w:val="000000"/>
          <w:sz w:val="28"/>
        </w:rPr>
        <w:t>
      4. Недостаточное финансирование аграрной науки.</w:t>
      </w:r>
    </w:p>
    <w:p>
      <w:pPr>
        <w:spacing w:after="0"/>
        <w:ind w:left="0"/>
        <w:jc w:val="both"/>
      </w:pPr>
      <w:r>
        <w:rPr>
          <w:rFonts w:ascii="Times New Roman"/>
          <w:b w:val="false"/>
          <w:i w:val="false"/>
          <w:color w:val="000000"/>
          <w:sz w:val="28"/>
        </w:rPr>
        <w:t>
      5. Неразвитость механизмов передачи научных результатов в производство.</w:t>
      </w:r>
    </w:p>
    <w:p>
      <w:pPr>
        <w:spacing w:after="0"/>
        <w:ind w:left="0"/>
        <w:jc w:val="both"/>
      </w:pPr>
      <w:r>
        <w:rPr>
          <w:rFonts w:ascii="Times New Roman"/>
          <w:b w:val="false"/>
          <w:i w:val="false"/>
          <w:color w:val="000000"/>
          <w:sz w:val="28"/>
        </w:rPr>
        <w:t>
      6. Отсутствие системы подготовки рабочих массовых профессий.</w:t>
      </w:r>
    </w:p>
    <w:p>
      <w:pPr>
        <w:spacing w:after="0"/>
        <w:ind w:left="0"/>
        <w:jc w:val="both"/>
      </w:pPr>
      <w:r>
        <w:rPr>
          <w:rFonts w:ascii="Times New Roman"/>
          <w:b w:val="false"/>
          <w:i w:val="false"/>
          <w:color w:val="000000"/>
          <w:sz w:val="28"/>
        </w:rPr>
        <w:t>
      7. Качество подготовки специалистов с высшим и средним специальным образованием не соответствует требованиям производства.</w:t>
      </w:r>
    </w:p>
    <w:p>
      <w:pPr>
        <w:spacing w:after="0"/>
        <w:ind w:left="0"/>
        <w:jc w:val="both"/>
      </w:pPr>
      <w:r>
        <w:rPr>
          <w:rFonts w:ascii="Times New Roman"/>
          <w:b w:val="false"/>
          <w:i w:val="false"/>
          <w:color w:val="000000"/>
          <w:sz w:val="28"/>
        </w:rPr>
        <w:t>
      8. Низкая доля трудоустройства в сельскохозяйственных предприятиях выпускников учебных заведений аграрного профиля.</w:t>
      </w:r>
    </w:p>
    <w:p>
      <w:pPr>
        <w:spacing w:after="0"/>
        <w:ind w:left="0"/>
        <w:jc w:val="both"/>
      </w:pPr>
      <w:r>
        <w:rPr>
          <w:rFonts w:ascii="Times New Roman"/>
          <w:b w:val="false"/>
          <w:i w:val="false"/>
          <w:color w:val="000000"/>
          <w:sz w:val="28"/>
        </w:rPr>
        <w:t>
      9. Слабая материально-техническая база большинства учебных заведений.</w:t>
      </w:r>
    </w:p>
    <w:p>
      <w:pPr>
        <w:spacing w:after="0"/>
        <w:ind w:left="0"/>
        <w:jc w:val="both"/>
      </w:pPr>
      <w:r>
        <w:rPr>
          <w:rFonts w:ascii="Times New Roman"/>
          <w:b w:val="false"/>
          <w:i w:val="false"/>
          <w:color w:val="000000"/>
          <w:sz w:val="28"/>
        </w:rPr>
        <w:t>
      10. Низкая степень мотивации молодых специалистов для закрепления на селе.</w:t>
      </w:r>
    </w:p>
    <w:p>
      <w:pPr>
        <w:spacing w:after="0"/>
        <w:ind w:left="0"/>
        <w:jc w:val="left"/>
      </w:pPr>
      <w:r>
        <w:rPr>
          <w:rFonts w:ascii="Times New Roman"/>
          <w:b/>
          <w:i w:val="false"/>
          <w:color w:val="000000"/>
        </w:rPr>
        <w:t xml:space="preserve"> Развитие государственных услуг и информационных технологий</w:t>
      </w:r>
    </w:p>
    <w:p>
      <w:pPr>
        <w:spacing w:after="0"/>
        <w:ind w:left="0"/>
        <w:jc w:val="both"/>
      </w:pPr>
      <w:r>
        <w:rPr>
          <w:rFonts w:ascii="Times New Roman"/>
          <w:b w:val="false"/>
          <w:i w:val="false"/>
          <w:color w:val="000000"/>
          <w:sz w:val="28"/>
        </w:rPr>
        <w:t xml:space="preserve">
      В сфере сельского хозяйства оказываются 101 государственная услуга, из них 38 государственных услуг оказываются населению через НАО "Государственная корпорация "Правительство для граждан". </w:t>
      </w:r>
    </w:p>
    <w:p>
      <w:pPr>
        <w:spacing w:after="0"/>
        <w:ind w:left="0"/>
        <w:jc w:val="both"/>
      </w:pPr>
      <w:r>
        <w:rPr>
          <w:rFonts w:ascii="Times New Roman"/>
          <w:b w:val="false"/>
          <w:i w:val="false"/>
          <w:color w:val="000000"/>
          <w:sz w:val="28"/>
        </w:rPr>
        <w:t>
      По состоянию на 1 января 2016 года проведена оптимизация по 52% государственным услугам. Через портал электронного правительства оказываются 73 государственные услуги. В конкурентную среду переданы 2 государственные услуги.</w:t>
      </w:r>
    </w:p>
    <w:p>
      <w:pPr>
        <w:spacing w:after="0"/>
        <w:ind w:left="0"/>
        <w:jc w:val="both"/>
      </w:pPr>
      <w:r>
        <w:rPr>
          <w:rFonts w:ascii="Times New Roman"/>
          <w:b w:val="false"/>
          <w:i w:val="false"/>
          <w:color w:val="000000"/>
          <w:sz w:val="28"/>
        </w:rPr>
        <w:t xml:space="preserve">
      В сельском хозяйстве РК доля СХТП, применяющих цифровые технологии при производстве сельскохозяйственной продукции, незначительна, что негативно сказывается на росте урожайности и сокращении расходов при ведении сельского хозяйства. </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1. Количество государственных услуг, оказываемых через НАО "Государственная корпорация "Правительство для граждан" не соответствует уровню запросов.</w:t>
      </w:r>
    </w:p>
    <w:p>
      <w:pPr>
        <w:spacing w:after="0"/>
        <w:ind w:left="0"/>
        <w:jc w:val="both"/>
      </w:pPr>
      <w:r>
        <w:rPr>
          <w:rFonts w:ascii="Times New Roman"/>
          <w:b w:val="false"/>
          <w:i w:val="false"/>
          <w:color w:val="000000"/>
          <w:sz w:val="28"/>
        </w:rPr>
        <w:t xml:space="preserve">
      2. Процедуры автоматизации государственных услуг требуют модернизации и расширения. </w:t>
      </w:r>
    </w:p>
    <w:p>
      <w:pPr>
        <w:spacing w:after="0"/>
        <w:ind w:left="0"/>
        <w:jc w:val="both"/>
      </w:pPr>
      <w:r>
        <w:rPr>
          <w:rFonts w:ascii="Times New Roman"/>
          <w:b w:val="false"/>
          <w:i w:val="false"/>
          <w:color w:val="000000"/>
          <w:sz w:val="28"/>
        </w:rPr>
        <w:t>
      3. Оказание государственных услуг, несвойственных государственным органам.</w:t>
      </w:r>
    </w:p>
    <w:p>
      <w:pPr>
        <w:spacing w:after="0"/>
        <w:ind w:left="0"/>
        <w:jc w:val="both"/>
      </w:pPr>
      <w:r>
        <w:rPr>
          <w:rFonts w:ascii="Times New Roman"/>
          <w:b w:val="false"/>
          <w:i w:val="false"/>
          <w:color w:val="000000"/>
          <w:sz w:val="28"/>
        </w:rPr>
        <w:t>
      4. Недостаточный уровень автоматизации процессов:</w:t>
      </w:r>
    </w:p>
    <w:p>
      <w:pPr>
        <w:spacing w:after="0"/>
        <w:ind w:left="0"/>
        <w:jc w:val="both"/>
      </w:pPr>
      <w:r>
        <w:rPr>
          <w:rFonts w:ascii="Times New Roman"/>
          <w:b w:val="false"/>
          <w:i w:val="false"/>
          <w:color w:val="000000"/>
          <w:sz w:val="28"/>
        </w:rPr>
        <w:t xml:space="preserve">
      - субсидирования и других мер государственной поддержки; </w:t>
      </w:r>
    </w:p>
    <w:p>
      <w:pPr>
        <w:spacing w:after="0"/>
        <w:ind w:left="0"/>
        <w:jc w:val="both"/>
      </w:pPr>
      <w:r>
        <w:rPr>
          <w:rFonts w:ascii="Times New Roman"/>
          <w:b w:val="false"/>
          <w:i w:val="false"/>
          <w:color w:val="000000"/>
          <w:sz w:val="28"/>
        </w:rPr>
        <w:t xml:space="preserve">
      - учета сельскохозяйственной техники; </w:t>
      </w:r>
    </w:p>
    <w:p>
      <w:pPr>
        <w:spacing w:after="0"/>
        <w:ind w:left="0"/>
        <w:jc w:val="both"/>
      </w:pPr>
      <w:r>
        <w:rPr>
          <w:rFonts w:ascii="Times New Roman"/>
          <w:b w:val="false"/>
          <w:i w:val="false"/>
          <w:color w:val="000000"/>
          <w:sz w:val="28"/>
        </w:rPr>
        <w:t>
      - прослеживаемости животноводческой продукции (ветеринарная и пищевая безопасность);</w:t>
      </w:r>
    </w:p>
    <w:p>
      <w:pPr>
        <w:spacing w:after="0"/>
        <w:ind w:left="0"/>
        <w:jc w:val="both"/>
      </w:pPr>
      <w:r>
        <w:rPr>
          <w:rFonts w:ascii="Times New Roman"/>
          <w:b w:val="false"/>
          <w:i w:val="false"/>
          <w:color w:val="000000"/>
          <w:sz w:val="28"/>
        </w:rPr>
        <w:t>
      - прослеживаемости растениеводческой продукции (фитосанитарная и пищевая безопасность);</w:t>
      </w:r>
    </w:p>
    <w:p>
      <w:pPr>
        <w:spacing w:after="0"/>
        <w:ind w:left="0"/>
        <w:jc w:val="both"/>
      </w:pPr>
      <w:r>
        <w:rPr>
          <w:rFonts w:ascii="Times New Roman"/>
          <w:b w:val="false"/>
          <w:i w:val="false"/>
          <w:color w:val="000000"/>
          <w:sz w:val="28"/>
        </w:rPr>
        <w:t>
      - прослеживаемости рыбной продукции (теневой оборот рыбной продукции, пищевая безопасность);</w:t>
      </w:r>
    </w:p>
    <w:p>
      <w:pPr>
        <w:spacing w:after="0"/>
        <w:ind w:left="0"/>
        <w:jc w:val="both"/>
      </w:pPr>
      <w:r>
        <w:rPr>
          <w:rFonts w:ascii="Times New Roman"/>
          <w:b w:val="false"/>
          <w:i w:val="false"/>
          <w:color w:val="000000"/>
          <w:sz w:val="28"/>
        </w:rPr>
        <w:t xml:space="preserve">
      - мониторинга и управления земельными ресурсами; </w:t>
      </w:r>
    </w:p>
    <w:p>
      <w:pPr>
        <w:spacing w:after="0"/>
        <w:ind w:left="0"/>
        <w:jc w:val="both"/>
      </w:pPr>
      <w:r>
        <w:rPr>
          <w:rFonts w:ascii="Times New Roman"/>
          <w:b w:val="false"/>
          <w:i w:val="false"/>
          <w:color w:val="000000"/>
          <w:sz w:val="28"/>
        </w:rPr>
        <w:t>
      - мониторинга и учета лесного фонда и предотвращения лесных пожаров;</w:t>
      </w:r>
    </w:p>
    <w:p>
      <w:pPr>
        <w:spacing w:after="0"/>
        <w:ind w:left="0"/>
        <w:jc w:val="both"/>
      </w:pPr>
      <w:r>
        <w:rPr>
          <w:rFonts w:ascii="Times New Roman"/>
          <w:b w:val="false"/>
          <w:i w:val="false"/>
          <w:color w:val="000000"/>
          <w:sz w:val="28"/>
        </w:rPr>
        <w:t>
      - мониторинга и учета водных ресурсов.</w:t>
      </w:r>
    </w:p>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p>
      <w:pPr>
        <w:spacing w:after="0"/>
        <w:ind w:left="0"/>
        <w:jc w:val="both"/>
      </w:pPr>
      <w:r>
        <w:rPr>
          <w:rFonts w:ascii="Times New Roman"/>
          <w:b w:val="false"/>
          <w:i w:val="false"/>
          <w:color w:val="000000"/>
          <w:sz w:val="28"/>
        </w:rPr>
        <w:t>
      Исходя из проведенного анализа, выявленных проблем и вышестоящих документов Системы государственного планирования, целью Программы является обеспечение производства востребованной на рынках конкурентоспособной продукцией АПК.</w:t>
      </w:r>
    </w:p>
    <w:p>
      <w:pPr>
        <w:spacing w:after="0"/>
        <w:ind w:left="0"/>
        <w:jc w:val="both"/>
      </w:pPr>
      <w:r>
        <w:rPr>
          <w:rFonts w:ascii="Times New Roman"/>
          <w:b w:val="false"/>
          <w:i w:val="false"/>
          <w:color w:val="000000"/>
          <w:sz w:val="28"/>
        </w:rPr>
        <w:t>
      Востребованность продукции предполагает определение приоритетных товарных групп, производство которых необходимо для обеспечения потребностей внутреннего рынка и реализации экспортного потенциала АПК.</w:t>
      </w:r>
    </w:p>
    <w:p>
      <w:pPr>
        <w:spacing w:after="0"/>
        <w:ind w:left="0"/>
        <w:jc w:val="both"/>
      </w:pPr>
      <w:r>
        <w:rPr>
          <w:rFonts w:ascii="Times New Roman"/>
          <w:b w:val="false"/>
          <w:i w:val="false"/>
          <w:color w:val="000000"/>
          <w:sz w:val="28"/>
        </w:rPr>
        <w:t>
      Конкурентоспособность продукции предполагает решение вопросов ресурсообеспечения, развитие инфраструктуры и реализацию стимулирующей государственной политики в АПК.</w:t>
      </w:r>
    </w:p>
    <w:p>
      <w:pPr>
        <w:spacing w:after="0"/>
        <w:ind w:left="0"/>
        <w:jc w:val="both"/>
      </w:pPr>
      <w:r>
        <w:rPr>
          <w:rFonts w:ascii="Times New Roman"/>
          <w:b w:val="false"/>
          <w:i w:val="false"/>
          <w:color w:val="000000"/>
          <w:sz w:val="28"/>
        </w:rPr>
        <w:t>
      Достижение цели будет измеряться следующими целевыми индикаторами: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244"/>
        <w:gridCol w:w="544"/>
        <w:gridCol w:w="397"/>
        <w:gridCol w:w="1392"/>
        <w:gridCol w:w="1462"/>
        <w:gridCol w:w="1462"/>
        <w:gridCol w:w="1058"/>
        <w:gridCol w:w="1058"/>
        <w:gridCol w:w="1058"/>
        <w:gridCol w:w="1058"/>
        <w:gridCol w:w="105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физического объема производительности труда в сельском хозяйстве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валовой продукции (услуг) сельского хозяйства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гг. Астаны и Алматы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производства продукции растениеводства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производства продукции животноводства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производства продукции аквакультуры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оптовой торговли продовольственными товарами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гг. Астаны и Алматы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both"/>
      </w:pPr>
      <w:r>
        <w:rPr>
          <w:rFonts w:ascii="Times New Roman"/>
          <w:b w:val="false"/>
          <w:i w:val="false"/>
          <w:color w:val="000000"/>
          <w:sz w:val="28"/>
        </w:rPr>
        <w:t>
      Индикативные параметры достижения поставленной цели указаны в приложении 33.</w:t>
      </w:r>
    </w:p>
    <w:p>
      <w:pPr>
        <w:spacing w:after="0"/>
        <w:ind w:left="0"/>
        <w:jc w:val="left"/>
      </w:pPr>
      <w:r>
        <w:rPr>
          <w:rFonts w:ascii="Times New Roman"/>
          <w:b/>
          <w:i w:val="false"/>
          <w:color w:val="000000"/>
        </w:rPr>
        <w:t xml:space="preserve"> 4.1. Создание сельскохозяйственных кооперативов</w:t>
      </w:r>
    </w:p>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1371"/>
        <w:gridCol w:w="514"/>
        <w:gridCol w:w="402"/>
        <w:gridCol w:w="1185"/>
        <w:gridCol w:w="1480"/>
        <w:gridCol w:w="1480"/>
        <w:gridCol w:w="1070"/>
        <w:gridCol w:w="1071"/>
        <w:gridCol w:w="1071"/>
        <w:gridCol w:w="1071"/>
        <w:gridCol w:w="1071"/>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созданных сельскохозяйственных кооперативов (крестьянских и домашних хозяйств)</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созданных сельскохозяйственных кооперативов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bl>
    <w:p>
      <w:pPr>
        <w:spacing w:after="0"/>
        <w:ind w:left="0"/>
        <w:jc w:val="left"/>
      </w:pPr>
      <w:r>
        <w:rPr>
          <w:rFonts w:ascii="Times New Roman"/>
          <w:b/>
          <w:i w:val="false"/>
          <w:color w:val="000000"/>
        </w:rPr>
        <w:t xml:space="preserve"> 4.2. Насыщение внутреннего рынка отечественной продукцией</w:t>
      </w:r>
    </w:p>
    <w:p>
      <w:pPr>
        <w:spacing w:after="0"/>
        <w:ind w:left="0"/>
        <w:jc w:val="both"/>
      </w:pPr>
      <w:r>
        <w:rPr>
          <w:rFonts w:ascii="Times New Roman"/>
          <w:b w:val="false"/>
          <w:i w:val="false"/>
          <w:color w:val="000000"/>
          <w:sz w:val="28"/>
        </w:rPr>
        <w:t>
      Для обеспечения внутренних потребностей в продовольствии необходимо развитие производства следующих приоритетных видов продукции: мяса птицы, мясных изделий, молочных продуктов, рыбы, растительного масла, плодоовощной продукции и сахара.</w:t>
      </w:r>
    </w:p>
    <w:p>
      <w:pPr>
        <w:spacing w:after="0"/>
        <w:ind w:left="0"/>
        <w:jc w:val="both"/>
      </w:pPr>
      <w:r>
        <w:rPr>
          <w:rFonts w:ascii="Times New Roman"/>
          <w:b w:val="false"/>
          <w:i w:val="false"/>
          <w:color w:val="000000"/>
          <w:sz w:val="28"/>
        </w:rPr>
        <w:t>
      Выполнение данной задачи будет измеряться следующим показателем результата: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7"/>
        <w:gridCol w:w="666"/>
        <w:gridCol w:w="428"/>
        <w:gridCol w:w="1262"/>
        <w:gridCol w:w="1575"/>
        <w:gridCol w:w="1575"/>
        <w:gridCol w:w="1140"/>
        <w:gridCol w:w="1140"/>
        <w:gridCol w:w="1140"/>
        <w:gridCol w:w="1140"/>
        <w:gridCol w:w="1140"/>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импорта продовольственных товаров</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гг. Астаны и Алматы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bl>
    <w:p>
      <w:pPr>
        <w:spacing w:after="0"/>
        <w:ind w:left="0"/>
        <w:jc w:val="left"/>
      </w:pPr>
      <w:r>
        <w:rPr>
          <w:rFonts w:ascii="Times New Roman"/>
          <w:b/>
          <w:i w:val="false"/>
          <w:color w:val="000000"/>
        </w:rPr>
        <w:t xml:space="preserve"> 4.3. Развитие экспортного потенциала</w:t>
      </w:r>
    </w:p>
    <w:p>
      <w:pPr>
        <w:spacing w:after="0"/>
        <w:ind w:left="0"/>
        <w:jc w:val="both"/>
      </w:pPr>
      <w:r>
        <w:rPr>
          <w:rFonts w:ascii="Times New Roman"/>
          <w:b w:val="false"/>
          <w:i w:val="false"/>
          <w:color w:val="000000"/>
          <w:sz w:val="28"/>
        </w:rPr>
        <w:t>
      Наибольший экспортный потенциал имеется по следующим приоритетным видам продукции, внутреннее потребление которой в настоящее время полностью обеспечивается собственным производством: говядина, баранина, свинина, а также по продукции, пользующейся повышенным спросом на внешних рынках: зерно, маслосемена, картофель и продукты их переработки (включая органическую продукцию).</w:t>
      </w:r>
    </w:p>
    <w:p>
      <w:pPr>
        <w:spacing w:after="0"/>
        <w:ind w:left="0"/>
        <w:jc w:val="both"/>
      </w:pPr>
      <w:r>
        <w:rPr>
          <w:rFonts w:ascii="Times New Roman"/>
          <w:b w:val="false"/>
          <w:i w:val="false"/>
          <w:color w:val="000000"/>
          <w:sz w:val="28"/>
        </w:rPr>
        <w:t>
      Выполнение данной задачи будет измеряться следующим показателем результата: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729"/>
        <w:gridCol w:w="618"/>
        <w:gridCol w:w="397"/>
        <w:gridCol w:w="1172"/>
        <w:gridCol w:w="1462"/>
        <w:gridCol w:w="1462"/>
        <w:gridCol w:w="1058"/>
        <w:gridCol w:w="1058"/>
        <w:gridCol w:w="1058"/>
        <w:gridCol w:w="1059"/>
        <w:gridCol w:w="1059"/>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продовольственных товаров3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гг. Астаны и Алматы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bl>
    <w:p>
      <w:pPr>
        <w:spacing w:after="0"/>
        <w:ind w:left="0"/>
        <w:jc w:val="left"/>
      </w:pPr>
      <w:r>
        <w:rPr>
          <w:rFonts w:ascii="Times New Roman"/>
          <w:b/>
          <w:i w:val="false"/>
          <w:color w:val="000000"/>
        </w:rPr>
        <w:t xml:space="preserve"> 4.4.Наращивание производства приоритетных видов растениеводческой продукции для насыщения внутреннего рынка, реализации экспортного потенциала и расширения кормовой базы для животноводства</w:t>
      </w:r>
    </w:p>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77"/>
        <w:gridCol w:w="516"/>
        <w:gridCol w:w="403"/>
        <w:gridCol w:w="1077"/>
        <w:gridCol w:w="1484"/>
        <w:gridCol w:w="1484"/>
        <w:gridCol w:w="1074"/>
        <w:gridCol w:w="1074"/>
        <w:gridCol w:w="1074"/>
        <w:gridCol w:w="1299"/>
        <w:gridCol w:w="1300"/>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ячменя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овса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кукурузы на зерно</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риса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маслосемян</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кормовых культур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свеклы сахарной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хлопка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картофеля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овощей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плодово-ягодных и винограда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bl>
    <w:p>
      <w:pPr>
        <w:spacing w:after="0"/>
        <w:ind w:left="0"/>
        <w:jc w:val="both"/>
      </w:pPr>
      <w:r>
        <w:rPr>
          <w:rFonts w:ascii="Times New Roman"/>
          <w:b w:val="false"/>
          <w:i w:val="false"/>
          <w:color w:val="000000"/>
          <w:sz w:val="28"/>
        </w:rPr>
        <w:t>
      Достижению показателей результатов развития растениеводства будет способствовать своевременное и качественное проведение фитосанитарных мероприятий.</w:t>
      </w:r>
    </w:p>
    <w:p>
      <w:pPr>
        <w:spacing w:after="0"/>
        <w:ind w:left="0"/>
        <w:jc w:val="left"/>
      </w:pPr>
      <w:r>
        <w:rPr>
          <w:rFonts w:ascii="Times New Roman"/>
          <w:b/>
          <w:i w:val="false"/>
          <w:color w:val="000000"/>
        </w:rPr>
        <w:t xml:space="preserve"> 4.5.Наращивание производства приоритетных видов животноводческой продукции для увеличения их переработки и экспорта</w:t>
      </w:r>
    </w:p>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432"/>
        <w:gridCol w:w="1274"/>
        <w:gridCol w:w="1591"/>
        <w:gridCol w:w="1591"/>
        <w:gridCol w:w="1151"/>
        <w:gridCol w:w="1151"/>
        <w:gridCol w:w="1151"/>
        <w:gridCol w:w="1151"/>
        <w:gridCol w:w="1152"/>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мяса птицы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гг. Астаны и Алматы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говядины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гг. Астаны и Алматы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баранины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гг. Астаны и Алматы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свинины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гг. Астаны и Алматы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молока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гг. Астаны и Алматы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bl>
    <w:p>
      <w:pPr>
        <w:spacing w:after="0"/>
        <w:ind w:left="0"/>
        <w:jc w:val="both"/>
      </w:pPr>
      <w:r>
        <w:rPr>
          <w:rFonts w:ascii="Times New Roman"/>
          <w:b w:val="false"/>
          <w:i w:val="false"/>
          <w:color w:val="000000"/>
          <w:sz w:val="28"/>
        </w:rPr>
        <w:t>
      Достижению показателей результатов развития животноводства будет способствовать своевременное и качественное проведение ветеринарных мероприятий.</w:t>
      </w:r>
    </w:p>
    <w:p>
      <w:pPr>
        <w:spacing w:after="0"/>
        <w:ind w:left="0"/>
        <w:jc w:val="left"/>
      </w:pPr>
      <w:r>
        <w:rPr>
          <w:rFonts w:ascii="Times New Roman"/>
          <w:b/>
          <w:i w:val="false"/>
          <w:color w:val="000000"/>
        </w:rPr>
        <w:t xml:space="preserve"> 4.6.Увеличение объемов выращивания ценных видов рыб для насыщения внутреннего рынка</w:t>
      </w:r>
    </w:p>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45"/>
        <w:gridCol w:w="569"/>
        <w:gridCol w:w="445"/>
        <w:gridCol w:w="1065"/>
        <w:gridCol w:w="1639"/>
        <w:gridCol w:w="1639"/>
        <w:gridCol w:w="1185"/>
        <w:gridCol w:w="1186"/>
        <w:gridCol w:w="1186"/>
        <w:gridCol w:w="1186"/>
        <w:gridCol w:w="1186"/>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выращивания осетровых</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выращивания лососевых</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выращивания сиговых</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выращивания растительноядных</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выращивания карповых</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bl>
    <w:p>
      <w:pPr>
        <w:spacing w:after="0"/>
        <w:ind w:left="0"/>
        <w:jc w:val="left"/>
      </w:pPr>
      <w:r>
        <w:rPr>
          <w:rFonts w:ascii="Times New Roman"/>
          <w:b/>
          <w:i w:val="false"/>
          <w:color w:val="000000"/>
        </w:rPr>
        <w:t xml:space="preserve"> 4.7.Развитие отраслей переработки сельскохозяйственной продукции и пищевой промышленности</w:t>
      </w:r>
    </w:p>
    <w:p>
      <w:pPr>
        <w:spacing w:after="0"/>
        <w:ind w:left="0"/>
        <w:jc w:val="both"/>
      </w:pPr>
      <w:r>
        <w:rPr>
          <w:rFonts w:ascii="Times New Roman"/>
          <w:b w:val="false"/>
          <w:i w:val="false"/>
          <w:color w:val="000000"/>
          <w:sz w:val="28"/>
        </w:rPr>
        <w:t>
      Развитие отраслей переработки сельскохозяйственной продукции и пищевой промышленности будет направлено на производство приоритетных видов продукции для насыщения внутреннего рынка продовольственными товарами, обеспечения потребностей животноводства в комбинированных кормах и реализации экспортного потенциала.</w:t>
      </w:r>
    </w:p>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763"/>
        <w:gridCol w:w="532"/>
        <w:gridCol w:w="416"/>
        <w:gridCol w:w="1458"/>
        <w:gridCol w:w="1530"/>
        <w:gridCol w:w="1530"/>
        <w:gridCol w:w="1107"/>
        <w:gridCol w:w="1108"/>
        <w:gridCol w:w="1108"/>
        <w:gridCol w:w="1108"/>
        <w:gridCol w:w="1108"/>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масла растительного</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МИР, акиматы областей, гг. Астаны и Алматы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плодоовощных консервов</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МИР, акиматы областей, гг. Астаны и Алматы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сахара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МИР, акиматы областей, гг. Астаны и Алматы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продуктов переработки картофеля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МИР, акиматы областей, гг. Астаны и Алматы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комбинированных кормов</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МИР, акиматы областей, гг. Астаны и Алматы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колбасных изделий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МИР, акиматы областей, гг. Астаны и Алматы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мясных и мясорастительных консервов</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МИР, акиматы областей, гг. Астаны и Алматы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сливочного масла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МИР, акиматы областей, гг. Астаны и Алматы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сыра твердого</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МИР, акиматы областей, гг. Астаны и Алматы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p>
      <w:pPr>
        <w:spacing w:after="0"/>
        <w:ind w:left="0"/>
        <w:jc w:val="both"/>
      </w:pPr>
      <w:r>
        <w:rPr>
          <w:rFonts w:ascii="Times New Roman"/>
          <w:b w:val="false"/>
          <w:i w:val="false"/>
          <w:color w:val="000000"/>
          <w:sz w:val="28"/>
        </w:rPr>
        <w:t>
      Для обеспечения производства безопасной переработанной сельскохозяйственной продукции и защиты интересов отечественных производителей на внутреннем и внешнем рынках технические регламенты ЕАЭС будут разрабатываться с учетом уровня развития и технических возможностей в АПК.</w:t>
      </w:r>
    </w:p>
    <w:p>
      <w:pPr>
        <w:spacing w:after="0"/>
        <w:ind w:left="0"/>
        <w:jc w:val="left"/>
      </w:pPr>
      <w:r>
        <w:rPr>
          <w:rFonts w:ascii="Times New Roman"/>
          <w:b/>
          <w:i w:val="false"/>
          <w:color w:val="000000"/>
        </w:rPr>
        <w:t xml:space="preserve"> 4.8. Эффективное использование финансовых мер государственной поддержки</w:t>
      </w:r>
    </w:p>
    <w:p>
      <w:pPr>
        <w:spacing w:after="0"/>
        <w:ind w:left="0"/>
        <w:jc w:val="both"/>
      </w:pPr>
      <w:r>
        <w:rPr>
          <w:rFonts w:ascii="Times New Roman"/>
          <w:b w:val="false"/>
          <w:i w:val="false"/>
          <w:color w:val="000000"/>
          <w:sz w:val="28"/>
        </w:rPr>
        <w:t>
      Эффективное использование финансовых мер государственной поддержки будет направлено на перераспределение субсидий с менее на более эффективные субсидии в целях привлечения инвестиций, в том числе за счет увеличения охвата получателей. Аналогичным образом будет пересмотрена кредитная политика АО "НУХ "КазАгро".</w:t>
      </w:r>
    </w:p>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301"/>
        <w:gridCol w:w="552"/>
        <w:gridCol w:w="403"/>
        <w:gridCol w:w="1189"/>
        <w:gridCol w:w="1484"/>
        <w:gridCol w:w="1484"/>
        <w:gridCol w:w="1074"/>
        <w:gridCol w:w="1074"/>
        <w:gridCol w:w="1074"/>
        <w:gridCol w:w="1075"/>
        <w:gridCol w:w="1075"/>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в сельском хозяйстве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гг. Астаны и Алматы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в производстве продуктов питания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гг. Астаны и Алматы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bl>
    <w:p>
      <w:pPr>
        <w:spacing w:after="0"/>
        <w:ind w:left="0"/>
        <w:jc w:val="left"/>
      </w:pPr>
      <w:r>
        <w:rPr>
          <w:rFonts w:ascii="Times New Roman"/>
          <w:b/>
          <w:i w:val="false"/>
          <w:color w:val="000000"/>
        </w:rPr>
        <w:t xml:space="preserve"> 4.9. Эффективное использование водных ресурсов</w:t>
      </w:r>
    </w:p>
    <w:p>
      <w:pPr>
        <w:spacing w:after="0"/>
        <w:ind w:left="0"/>
        <w:jc w:val="both"/>
      </w:pPr>
      <w:r>
        <w:rPr>
          <w:rFonts w:ascii="Times New Roman"/>
          <w:b w:val="false"/>
          <w:i w:val="false"/>
          <w:color w:val="000000"/>
          <w:sz w:val="28"/>
        </w:rPr>
        <w:t>
      Эффективное использование водных ресурсов будет выражаться в обеспечении поливной водой необходимых для развития сельского хозяйства земель регулярного и лиманного орошения, улучшении мелиоративного состояния и восстановлении ирригационной инфраструктуры.</w:t>
      </w:r>
    </w:p>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418"/>
        <w:gridCol w:w="517"/>
        <w:gridCol w:w="404"/>
        <w:gridCol w:w="517"/>
        <w:gridCol w:w="1488"/>
        <w:gridCol w:w="1489"/>
        <w:gridCol w:w="1190"/>
        <w:gridCol w:w="1190"/>
        <w:gridCol w:w="1190"/>
        <w:gridCol w:w="1190"/>
        <w:gridCol w:w="1190"/>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водообеспеченных земель регулярного орошения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водообеспеченных земель лиманного орошения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емкость водохранилищ</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забора поверхностных водных ресурсов для нужд сельского хозяйства при регулярном орошении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забора поверхностных водных ресурсов для нужд сельского хозяйства при лиманном орошении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 при транспортировке поверхностных водных ресурсов для нужд сельского хозяйства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bl>
    <w:p>
      <w:pPr>
        <w:spacing w:after="0"/>
        <w:ind w:left="0"/>
        <w:jc w:val="left"/>
      </w:pPr>
      <w:r>
        <w:rPr>
          <w:rFonts w:ascii="Times New Roman"/>
          <w:b/>
          <w:i w:val="false"/>
          <w:color w:val="000000"/>
        </w:rPr>
        <w:t xml:space="preserve"> 4.10. Эффективное использование земельных ресурсов</w:t>
      </w:r>
    </w:p>
    <w:p>
      <w:pPr>
        <w:spacing w:after="0"/>
        <w:ind w:left="0"/>
        <w:jc w:val="both"/>
      </w:pPr>
      <w:r>
        <w:rPr>
          <w:rFonts w:ascii="Times New Roman"/>
          <w:b w:val="false"/>
          <w:i w:val="false"/>
          <w:color w:val="000000"/>
          <w:sz w:val="28"/>
        </w:rPr>
        <w:t>
      Для обеспечения эффективного использования земельных ресурсов в АПК ключевое значение имеет наличие актуальной и достоверной информации о количественных и качественных характеристиках сельскохозяйственных угодий, что выражается в формировании сведений ГЗК и банка данных об агрохимическом состоянии земель сельскохозяйственного назначения.</w:t>
      </w:r>
    </w:p>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1406"/>
        <w:gridCol w:w="1103"/>
        <w:gridCol w:w="363"/>
        <w:gridCol w:w="1462"/>
        <w:gridCol w:w="1335"/>
        <w:gridCol w:w="1335"/>
        <w:gridCol w:w="966"/>
        <w:gridCol w:w="966"/>
        <w:gridCol w:w="966"/>
        <w:gridCol w:w="967"/>
        <w:gridCol w:w="967"/>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обновленными данными государственного земельного кадастра для рационального использования земельных ресурсов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площади подлежащей обследованию с нарастанием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акиматы областей</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сельскохозяйственного назначения, охваченных почвенным обследованием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НАО "ГК "Правительство для граждан"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сельскохозяйственного назначения, охваченных геоботаническим обследованием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НАО "ГК "Правительство для граждан"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сельскохозяйственного назначения, охваченных качественной оценкой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НАО "ГК "Правительство для граждан"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электронными земельно-кадастровыми картами учетных кварталов, сформированных на землях населенных пунктов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НАО "ГК "Правительство для граждан"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электронными почвенными картами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НАО "ГК "Правительство для граждан"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электронными геоботаническими картами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НАО "ГК "Правительство для граждан"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пахотных земель, охваченных агрохимическим обследованием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rPr>
          <w:rFonts w:ascii="Times New Roman"/>
          <w:b/>
          <w:i w:val="false"/>
          <w:color w:val="000000"/>
        </w:rPr>
        <w:t xml:space="preserve"> 4.11. Повышение уровня технической оснащенности</w:t>
      </w:r>
    </w:p>
    <w:p>
      <w:pPr>
        <w:spacing w:after="0"/>
        <w:ind w:left="0"/>
        <w:jc w:val="both"/>
      </w:pPr>
      <w:r>
        <w:rPr>
          <w:rFonts w:ascii="Times New Roman"/>
          <w:b w:val="false"/>
          <w:i w:val="false"/>
          <w:color w:val="000000"/>
          <w:sz w:val="28"/>
        </w:rPr>
        <w:t>
      Улучшение уровня технической оснащенности в АПК будет обеспечено за счет увеличения количества приобретаемой техники и развития отечественного сельхозмашиностроения с постепенным повышением уровня локализации производства.</w:t>
      </w:r>
    </w:p>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891"/>
        <w:gridCol w:w="529"/>
        <w:gridCol w:w="386"/>
        <w:gridCol w:w="1103"/>
        <w:gridCol w:w="1422"/>
        <w:gridCol w:w="1422"/>
        <w:gridCol w:w="1029"/>
        <w:gridCol w:w="1029"/>
        <w:gridCol w:w="1030"/>
        <w:gridCol w:w="1030"/>
        <w:gridCol w:w="1030"/>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обновления машинно-тракторного парка (тракторы, комбайны, сеялки, навесное оборудование)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акиматы областей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сельскохозяйственной техники (тракторы, комбайны, навесное оборудование)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МСХ, </w:t>
            </w:r>
            <w:r>
              <w:br/>
            </w:r>
            <w:r>
              <w:rPr>
                <w:rFonts w:ascii="Times New Roman"/>
                <w:b w:val="false"/>
                <w:i w:val="false"/>
                <w:color w:val="000000"/>
                <w:sz w:val="20"/>
              </w:rPr>
              <w:t>НПП (по согласованию)</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локализации по производству сельскохозяйственной техники (тракторы, комбайны)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МИР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НПП (по согласованию)</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left"/>
      </w:pPr>
      <w:r>
        <w:rPr>
          <w:rFonts w:ascii="Times New Roman"/>
          <w:b/>
          <w:i w:val="false"/>
          <w:color w:val="000000"/>
        </w:rPr>
        <w:t xml:space="preserve"> 4.12.Увеличение и расширение ассортимента производства удобрений, необходимых для сохранения и улучшения плодородия почв и повышения урожайности в растениеводстве</w:t>
      </w:r>
    </w:p>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517"/>
        <w:gridCol w:w="517"/>
        <w:gridCol w:w="404"/>
        <w:gridCol w:w="1193"/>
        <w:gridCol w:w="1488"/>
        <w:gridCol w:w="1489"/>
        <w:gridCol w:w="1189"/>
        <w:gridCol w:w="1190"/>
        <w:gridCol w:w="1190"/>
        <w:gridCol w:w="1190"/>
        <w:gridCol w:w="1416"/>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азотных удобрений</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акиматы областей, гг. Астаны и Алматы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фосфорных удобрений</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акиматы областей, гг. Астаны и Алматы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сложных удобрений</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акиматы областей, гг. Астаны и Алматы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left"/>
      </w:pPr>
      <w:r>
        <w:rPr>
          <w:rFonts w:ascii="Times New Roman"/>
          <w:b/>
          <w:i w:val="false"/>
          <w:color w:val="000000"/>
        </w:rPr>
        <w:t xml:space="preserve"> 4.13. Развитие торгово-логистической инфраструктуры</w:t>
      </w:r>
    </w:p>
    <w:p>
      <w:pPr>
        <w:spacing w:after="0"/>
        <w:ind w:left="0"/>
        <w:jc w:val="both"/>
      </w:pPr>
      <w:r>
        <w:rPr>
          <w:rFonts w:ascii="Times New Roman"/>
          <w:b w:val="false"/>
          <w:i w:val="false"/>
          <w:color w:val="000000"/>
          <w:sz w:val="28"/>
        </w:rPr>
        <w:t>
      Для расширения возможностей по сбыту сельскохозяйственной и переработанной продукции будет создана сеть оптово-распределительных центров для формирования крупных партий продовольствия и распределения их на внутренний рынок и экспорт.</w:t>
      </w:r>
    </w:p>
    <w:p>
      <w:pPr>
        <w:spacing w:after="0"/>
        <w:ind w:left="0"/>
        <w:jc w:val="both"/>
      </w:pPr>
      <w:r>
        <w:rPr>
          <w:rFonts w:ascii="Times New Roman"/>
          <w:b w:val="false"/>
          <w:i w:val="false"/>
          <w:color w:val="000000"/>
          <w:sz w:val="28"/>
        </w:rPr>
        <w:t>
      Выполнение данной задачи будет измеряться следующим показателем результата: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68"/>
        <w:gridCol w:w="530"/>
        <w:gridCol w:w="415"/>
        <w:gridCol w:w="1684"/>
        <w:gridCol w:w="1526"/>
        <w:gridCol w:w="1526"/>
        <w:gridCol w:w="1104"/>
        <w:gridCol w:w="1104"/>
        <w:gridCol w:w="1104"/>
        <w:gridCol w:w="1104"/>
        <w:gridCol w:w="1105"/>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оптово-распределительных центров</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МИР, акиматы областей, гг. Астаны и Алматы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rPr>
          <w:rFonts w:ascii="Times New Roman"/>
          <w:b/>
          <w:i w:val="false"/>
          <w:color w:val="000000"/>
        </w:rPr>
        <w:t xml:space="preserve"> 4.14. Трансферт эффективных зарубежных технологий</w:t>
      </w:r>
    </w:p>
    <w:p>
      <w:pPr>
        <w:spacing w:after="0"/>
        <w:ind w:left="0"/>
        <w:jc w:val="both"/>
      </w:pPr>
      <w:r>
        <w:rPr>
          <w:rFonts w:ascii="Times New Roman"/>
          <w:b w:val="false"/>
          <w:i w:val="false"/>
          <w:color w:val="000000"/>
          <w:sz w:val="28"/>
        </w:rPr>
        <w:t>
      Выполнение данной задачи будет измеряться следующим показателем результата: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15"/>
        <w:gridCol w:w="587"/>
        <w:gridCol w:w="459"/>
        <w:gridCol w:w="459"/>
        <w:gridCol w:w="1689"/>
        <w:gridCol w:w="1690"/>
        <w:gridCol w:w="1222"/>
        <w:gridCol w:w="1223"/>
        <w:gridCol w:w="1223"/>
        <w:gridCol w:w="1223"/>
        <w:gridCol w:w="1223"/>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разработанных типовых технологических проектов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4.15. Информационно-консультационное обеспечение</w:t>
      </w:r>
    </w:p>
    <w:p>
      <w:pPr>
        <w:spacing w:after="0"/>
        <w:ind w:left="0"/>
        <w:jc w:val="both"/>
      </w:pPr>
      <w:r>
        <w:rPr>
          <w:rFonts w:ascii="Times New Roman"/>
          <w:b w:val="false"/>
          <w:i w:val="false"/>
          <w:color w:val="000000"/>
          <w:sz w:val="28"/>
        </w:rPr>
        <w:t>
      Выполнение данной задачи будет измеряться следующим показателем результата: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832"/>
        <w:gridCol w:w="539"/>
        <w:gridCol w:w="394"/>
        <w:gridCol w:w="1890"/>
        <w:gridCol w:w="1449"/>
        <w:gridCol w:w="1449"/>
        <w:gridCol w:w="1048"/>
        <w:gridCol w:w="1049"/>
        <w:gridCol w:w="1049"/>
        <w:gridCol w:w="1049"/>
        <w:gridCol w:w="1049"/>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субъектов АПК услугами системы распространения знаний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 НПП (по согласованию)</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rPr>
          <w:rFonts w:ascii="Times New Roman"/>
          <w:b/>
          <w:i w:val="false"/>
          <w:color w:val="000000"/>
        </w:rPr>
        <w:t xml:space="preserve"> 4.16. Научное и кадровое обеспечение</w:t>
      </w:r>
    </w:p>
    <w:p>
      <w:pPr>
        <w:spacing w:after="0"/>
        <w:ind w:left="0"/>
        <w:jc w:val="both"/>
      </w:pPr>
      <w:r>
        <w:rPr>
          <w:rFonts w:ascii="Times New Roman"/>
          <w:b w:val="false"/>
          <w:i w:val="false"/>
          <w:color w:val="000000"/>
          <w:sz w:val="28"/>
        </w:rPr>
        <w:t xml:space="preserve">
      Выполнение данной задачи будет измеряться следующим </w:t>
      </w:r>
      <w:r>
        <w:rPr>
          <w:rFonts w:ascii="Times New Roman"/>
          <w:b/>
          <w:i w:val="false"/>
          <w:color w:val="000000"/>
          <w:sz w:val="28"/>
        </w:rPr>
        <w:t>показателем результата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390"/>
        <w:gridCol w:w="590"/>
        <w:gridCol w:w="431"/>
        <w:gridCol w:w="431"/>
        <w:gridCol w:w="1585"/>
        <w:gridCol w:w="1585"/>
        <w:gridCol w:w="1147"/>
        <w:gridCol w:w="1147"/>
        <w:gridCol w:w="1147"/>
        <w:gridCol w:w="1148"/>
        <w:gridCol w:w="1148"/>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софинансирования бизнесом программ и проектов НИОКР от общего объема финансирования</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МОН</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5. Основные направления, пути достижения поставленных целей Программы и соответствующие меры</w:t>
      </w:r>
    </w:p>
    <w:p>
      <w:pPr>
        <w:spacing w:after="0"/>
        <w:ind w:left="0"/>
        <w:jc w:val="both"/>
      </w:pPr>
      <w:r>
        <w:rPr>
          <w:rFonts w:ascii="Times New Roman"/>
          <w:b w:val="false"/>
          <w:i w:val="false"/>
          <w:color w:val="000000"/>
          <w:sz w:val="28"/>
        </w:rPr>
        <w:t>
      Развитие АПК требует стратегического планирования на долгосрочную перспективу, и в этой связи разработаны основные направления, пути достижения поставленных целей и соответствующие меры для выполнения индикаторов и показателей на 2017 – 2021 годы, указанных в четвертом разделе данной Программы.</w:t>
      </w:r>
    </w:p>
    <w:p>
      <w:pPr>
        <w:spacing w:after="0"/>
        <w:ind w:left="0"/>
        <w:jc w:val="left"/>
      </w:pPr>
      <w:r>
        <w:rPr>
          <w:rFonts w:ascii="Times New Roman"/>
          <w:b/>
          <w:i w:val="false"/>
          <w:color w:val="000000"/>
        </w:rPr>
        <w:t xml:space="preserve"> 5.1. Вовлечение мелких и средних хозяйств в сельскохозяйственную кооперацию</w:t>
      </w:r>
    </w:p>
    <w:p>
      <w:pPr>
        <w:spacing w:after="0"/>
        <w:ind w:left="0"/>
        <w:jc w:val="both"/>
      </w:pPr>
      <w:r>
        <w:rPr>
          <w:rFonts w:ascii="Times New Roman"/>
          <w:b w:val="false"/>
          <w:i w:val="false"/>
          <w:color w:val="000000"/>
          <w:sz w:val="28"/>
        </w:rPr>
        <w:t>
      Успешному функционированию СХТП, сбалансированному развитию сельского хозяйства и в целом АПК будет способствовать сельскохозяйственная кооперация.</w:t>
      </w:r>
    </w:p>
    <w:p>
      <w:pPr>
        <w:spacing w:after="0"/>
        <w:ind w:left="0"/>
        <w:jc w:val="both"/>
      </w:pPr>
      <w:r>
        <w:rPr>
          <w:rFonts w:ascii="Times New Roman"/>
          <w:b w:val="false"/>
          <w:i w:val="false"/>
          <w:color w:val="000000"/>
          <w:sz w:val="28"/>
        </w:rPr>
        <w:t>
      Важнейшим направлением на сегодня в РК является развитие системы производства, сбыта, переработки сельскохозяйственной продукции, материально-технического снабжения, кредитного, сервисного и информационно-маркетингового обслуживания СХТП.</w:t>
      </w:r>
    </w:p>
    <w:p>
      <w:pPr>
        <w:spacing w:after="0"/>
        <w:ind w:left="0"/>
        <w:jc w:val="both"/>
      </w:pPr>
      <w:r>
        <w:rPr>
          <w:rFonts w:ascii="Times New Roman"/>
          <w:b w:val="false"/>
          <w:i w:val="false"/>
          <w:color w:val="000000"/>
          <w:sz w:val="28"/>
        </w:rPr>
        <w:t>
      Производственные кооперативы будут заниматься производством сельскохозяйственной продукции путем совместной обработки земли, использования единой системы севооборотов, прогрессивных технологий выращивания растениеводческой продукции и разведения животных, совместного использования сельскохозяйственной техники и др.</w:t>
      </w:r>
    </w:p>
    <w:p>
      <w:pPr>
        <w:spacing w:after="0"/>
        <w:ind w:left="0"/>
        <w:jc w:val="both"/>
      </w:pPr>
      <w:r>
        <w:rPr>
          <w:rFonts w:ascii="Times New Roman"/>
          <w:b w:val="false"/>
          <w:i w:val="false"/>
          <w:color w:val="000000"/>
          <w:sz w:val="28"/>
        </w:rPr>
        <w:t>
      Сбытовые кооперативы будут заниматься реализацией продукции, производимой членами кооператива, а также сбором, хранением, сортировкой, сушкой, продажей сырья в свежем или переработанном виде оптом или в розницу и транспортировкой продукции членов кооператива.</w:t>
      </w:r>
    </w:p>
    <w:p>
      <w:pPr>
        <w:spacing w:after="0"/>
        <w:ind w:left="0"/>
        <w:jc w:val="both"/>
      </w:pPr>
      <w:r>
        <w:rPr>
          <w:rFonts w:ascii="Times New Roman"/>
          <w:b w:val="false"/>
          <w:i w:val="false"/>
          <w:color w:val="000000"/>
          <w:sz w:val="28"/>
        </w:rPr>
        <w:t>
      Перерабатывающие кооперативы будут создаваться с целью организации первичной переработки сельскохозяйственной продукции с последующей ее реализацией на крупные перерабатывающие предприятия и в оптово- розничные сети.</w:t>
      </w:r>
    </w:p>
    <w:p>
      <w:pPr>
        <w:spacing w:after="0"/>
        <w:ind w:left="0"/>
        <w:jc w:val="both"/>
      </w:pPr>
      <w:r>
        <w:rPr>
          <w:rFonts w:ascii="Times New Roman"/>
          <w:b w:val="false"/>
          <w:i w:val="false"/>
          <w:color w:val="000000"/>
          <w:sz w:val="28"/>
        </w:rPr>
        <w:t>
      Кооперативы по материально-техническому снабжению будут обеспечивать СХТП необходимыми в производственном процессе ресурсами и материалами: горюче-смазочными материалами, семенами, удобрениями, ядохимикатами, кормами, запасными частями, строительными и другими сопутствующими для сельскохозяйственного производства материалами.</w:t>
      </w:r>
    </w:p>
    <w:p>
      <w:pPr>
        <w:spacing w:after="0"/>
        <w:ind w:left="0"/>
        <w:jc w:val="both"/>
      </w:pPr>
      <w:r>
        <w:rPr>
          <w:rFonts w:ascii="Times New Roman"/>
          <w:b w:val="false"/>
          <w:i w:val="false"/>
          <w:color w:val="000000"/>
          <w:sz w:val="28"/>
        </w:rPr>
        <w:t>
      Кредитные кооперативы будут заниматься кредитованием своих членов как на производственные цели сельскохозяйственного назначения, несельскохозяйственные виды бизнеса, так и на потребительские цели.</w:t>
      </w:r>
    </w:p>
    <w:p>
      <w:pPr>
        <w:spacing w:after="0"/>
        <w:ind w:left="0"/>
        <w:jc w:val="both"/>
      </w:pPr>
      <w:r>
        <w:rPr>
          <w:rFonts w:ascii="Times New Roman"/>
          <w:b w:val="false"/>
          <w:i w:val="false"/>
          <w:color w:val="000000"/>
          <w:sz w:val="28"/>
        </w:rPr>
        <w:t>
      Сервисные кооперативы будут представлять своим членам услуги, связанные с процессом производства и реализации сельскохозяйственной продукции, а также удовлетворением общих потребностей в других областях (агрохимическом, ветеринарном, техническом обслуживании, водообеспечении, электроснабжении, ремонте и обслуживании техники, телефонизации, племенной и селекционной деятельности, проведении исследований в животноводстве и растениеводстве и другое).</w:t>
      </w:r>
    </w:p>
    <w:p>
      <w:pPr>
        <w:spacing w:after="0"/>
        <w:ind w:left="0"/>
        <w:jc w:val="both"/>
      </w:pPr>
      <w:r>
        <w:rPr>
          <w:rFonts w:ascii="Times New Roman"/>
          <w:b w:val="false"/>
          <w:i w:val="false"/>
          <w:color w:val="000000"/>
          <w:sz w:val="28"/>
        </w:rPr>
        <w:t>
      Информационно-маркетинговые кооперативы создаются с целью обеспечения своих членов информацией о новых технологиях, сортах, породах, ситуации на рынках.</w:t>
      </w:r>
    </w:p>
    <w:p>
      <w:pPr>
        <w:spacing w:after="0"/>
        <w:ind w:left="0"/>
        <w:jc w:val="both"/>
      </w:pPr>
      <w:r>
        <w:rPr>
          <w:rFonts w:ascii="Times New Roman"/>
          <w:b w:val="false"/>
          <w:i w:val="false"/>
          <w:color w:val="000000"/>
          <w:sz w:val="28"/>
        </w:rPr>
        <w:t>
      На первом этапе в Казахстане в сельском округе может быть создан один кооператив по одному из указанных направлений либо объединяющий два или более направления.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0960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преимуществам объединения в сельскохозяйственный кооператив относятся:</w:t>
      </w:r>
    </w:p>
    <w:p>
      <w:pPr>
        <w:spacing w:after="0"/>
        <w:ind w:left="0"/>
        <w:jc w:val="both"/>
      </w:pPr>
      <w:r>
        <w:rPr>
          <w:rFonts w:ascii="Times New Roman"/>
          <w:b w:val="false"/>
          <w:i w:val="false"/>
          <w:color w:val="000000"/>
          <w:sz w:val="28"/>
        </w:rPr>
        <w:t>
      - сохранение членами кооператива своей юридической и экономической самостоятельности при создании сбытового, перерабатывающего, снабженческого и других видов обслуживающих кооперативов, т.е. они остаются собственниками земли, сельскохозяйственных животных, произведенной продукции, имеющейся сельскохозяйственной техники;</w:t>
      </w:r>
    </w:p>
    <w:p>
      <w:pPr>
        <w:spacing w:after="0"/>
        <w:ind w:left="0"/>
        <w:jc w:val="both"/>
      </w:pPr>
      <w:r>
        <w:rPr>
          <w:rFonts w:ascii="Times New Roman"/>
          <w:b w:val="false"/>
          <w:i w:val="false"/>
          <w:color w:val="000000"/>
          <w:sz w:val="28"/>
        </w:rPr>
        <w:t xml:space="preserve">
      - эффективное использование земельных, производственных, трудовых ресурсов, возможность совместного использования прогрессивных технологий производства продукции, сельскохозяйственной техники, технологического оборудования при создании производственного кооператива; </w:t>
      </w:r>
    </w:p>
    <w:p>
      <w:pPr>
        <w:spacing w:after="0"/>
        <w:ind w:left="0"/>
        <w:jc w:val="both"/>
      </w:pPr>
      <w:r>
        <w:rPr>
          <w:rFonts w:ascii="Times New Roman"/>
          <w:b w:val="false"/>
          <w:i w:val="false"/>
          <w:color w:val="000000"/>
          <w:sz w:val="28"/>
        </w:rPr>
        <w:t>
      - гарантированность стабильного сбыта произведенной СХТП продукции без посредников напрямую на переработку, в торговую сеть;</w:t>
      </w:r>
    </w:p>
    <w:p>
      <w:pPr>
        <w:spacing w:after="0"/>
        <w:ind w:left="0"/>
        <w:jc w:val="both"/>
      </w:pPr>
      <w:r>
        <w:rPr>
          <w:rFonts w:ascii="Times New Roman"/>
          <w:b w:val="false"/>
          <w:i w:val="false"/>
          <w:color w:val="000000"/>
          <w:sz w:val="28"/>
        </w:rPr>
        <w:t>
      - осуществление взаиморасчетов путем перечисления на счета членов кооператива (личных подсобных, крестьянских хозяйств и др.);</w:t>
      </w:r>
    </w:p>
    <w:p>
      <w:pPr>
        <w:spacing w:after="0"/>
        <w:ind w:left="0"/>
        <w:jc w:val="both"/>
      </w:pPr>
      <w:r>
        <w:rPr>
          <w:rFonts w:ascii="Times New Roman"/>
          <w:b w:val="false"/>
          <w:i w:val="false"/>
          <w:color w:val="000000"/>
          <w:sz w:val="28"/>
        </w:rPr>
        <w:t>
      - сокращение затрат членов кооператива на транспортировку, доставку сырья до переработки и реализации за счет формирования более крупных партий продукции;</w:t>
      </w:r>
    </w:p>
    <w:p>
      <w:pPr>
        <w:spacing w:after="0"/>
        <w:ind w:left="0"/>
        <w:jc w:val="both"/>
      </w:pPr>
      <w:r>
        <w:rPr>
          <w:rFonts w:ascii="Times New Roman"/>
          <w:b w:val="false"/>
          <w:i w:val="false"/>
          <w:color w:val="000000"/>
          <w:sz w:val="28"/>
        </w:rPr>
        <w:t>
      - защита интересов членов кооператива и наличие права голоса на общем собрании кооператива при обсуждении и принятии решений производственного, организационного и экономического характера;</w:t>
      </w:r>
    </w:p>
    <w:p>
      <w:pPr>
        <w:spacing w:after="0"/>
        <w:ind w:left="0"/>
        <w:jc w:val="both"/>
      </w:pPr>
      <w:r>
        <w:rPr>
          <w:rFonts w:ascii="Times New Roman"/>
          <w:b w:val="false"/>
          <w:i w:val="false"/>
          <w:color w:val="000000"/>
          <w:sz w:val="28"/>
        </w:rPr>
        <w:t>
      - возможность получения государственных субсидий, льготного кредитования, налогообложения для кооператива путем централизованной подготовки документов аппаратом управления кооператива;</w:t>
      </w:r>
    </w:p>
    <w:p>
      <w:pPr>
        <w:spacing w:after="0"/>
        <w:ind w:left="0"/>
        <w:jc w:val="both"/>
      </w:pPr>
      <w:r>
        <w:rPr>
          <w:rFonts w:ascii="Times New Roman"/>
          <w:b w:val="false"/>
          <w:i w:val="false"/>
          <w:color w:val="000000"/>
          <w:sz w:val="28"/>
        </w:rPr>
        <w:t>
      - возможность безвозмездного получения информационно-консультационной помощи от специалистов кооператива;</w:t>
      </w:r>
    </w:p>
    <w:p>
      <w:pPr>
        <w:spacing w:after="0"/>
        <w:ind w:left="0"/>
        <w:jc w:val="both"/>
      </w:pPr>
      <w:r>
        <w:rPr>
          <w:rFonts w:ascii="Times New Roman"/>
          <w:b w:val="false"/>
          <w:i w:val="false"/>
          <w:color w:val="000000"/>
          <w:sz w:val="28"/>
        </w:rPr>
        <w:t>
      - обеспеченность поливной и питьевой водой;</w:t>
      </w:r>
    </w:p>
    <w:p>
      <w:pPr>
        <w:spacing w:after="0"/>
        <w:ind w:left="0"/>
        <w:jc w:val="both"/>
      </w:pPr>
      <w:r>
        <w:rPr>
          <w:rFonts w:ascii="Times New Roman"/>
          <w:b w:val="false"/>
          <w:i w:val="false"/>
          <w:color w:val="000000"/>
          <w:sz w:val="28"/>
        </w:rPr>
        <w:t>
      - производственное и потребительское кредитование своих членов;</w:t>
      </w:r>
    </w:p>
    <w:p>
      <w:pPr>
        <w:spacing w:after="0"/>
        <w:ind w:left="0"/>
        <w:jc w:val="both"/>
      </w:pPr>
      <w:r>
        <w:rPr>
          <w:rFonts w:ascii="Times New Roman"/>
          <w:b w:val="false"/>
          <w:i w:val="false"/>
          <w:color w:val="000000"/>
          <w:sz w:val="28"/>
        </w:rPr>
        <w:t>
      - оказание услуг по благоустройству сельских населенных пунктов;</w:t>
      </w:r>
    </w:p>
    <w:p>
      <w:pPr>
        <w:spacing w:after="0"/>
        <w:ind w:left="0"/>
        <w:jc w:val="both"/>
      </w:pPr>
      <w:r>
        <w:rPr>
          <w:rFonts w:ascii="Times New Roman"/>
          <w:b w:val="false"/>
          <w:i w:val="false"/>
          <w:color w:val="000000"/>
          <w:sz w:val="28"/>
        </w:rPr>
        <w:t>
      - снижение затрат на агрохимическое, ветеринарное, техническое обеспечение, ремонт и обслуживание техники, селекционно-племенную работу;</w:t>
      </w:r>
    </w:p>
    <w:p>
      <w:pPr>
        <w:spacing w:after="0"/>
        <w:ind w:left="0"/>
        <w:jc w:val="both"/>
      </w:pPr>
      <w:r>
        <w:rPr>
          <w:rFonts w:ascii="Times New Roman"/>
          <w:b w:val="false"/>
          <w:i w:val="false"/>
          <w:color w:val="000000"/>
          <w:sz w:val="28"/>
        </w:rPr>
        <w:t>
      - обеспечение стабильной занятостью (постоянной и дополнительной работой в сезон).</w:t>
      </w:r>
    </w:p>
    <w:p>
      <w:pPr>
        <w:spacing w:after="0"/>
        <w:ind w:left="0"/>
        <w:jc w:val="both"/>
      </w:pPr>
      <w:r>
        <w:rPr>
          <w:rFonts w:ascii="Times New Roman"/>
          <w:b w:val="false"/>
          <w:i w:val="false"/>
          <w:color w:val="000000"/>
          <w:sz w:val="28"/>
        </w:rPr>
        <w:t xml:space="preserve">
      Важным фактором эффективного функционирования кооператива является механизм внутрихозяйственных экономических взаимоотношений между его членами и кооперативом, включающий проведение общего собрания, выбор органов управления, распределение прибыли кооператива и др. </w:t>
      </w:r>
    </w:p>
    <w:p>
      <w:pPr>
        <w:spacing w:after="0"/>
        <w:ind w:left="0"/>
        <w:jc w:val="both"/>
      </w:pPr>
      <w:r>
        <w:rPr>
          <w:rFonts w:ascii="Times New Roman"/>
          <w:b w:val="false"/>
          <w:i w:val="false"/>
          <w:color w:val="000000"/>
          <w:sz w:val="28"/>
        </w:rPr>
        <w:t xml:space="preserve">
      Организация кооперативов будет проводиться поэтапно. </w:t>
      </w:r>
    </w:p>
    <w:p>
      <w:pPr>
        <w:spacing w:after="0"/>
        <w:ind w:left="0"/>
        <w:jc w:val="both"/>
      </w:pPr>
      <w:r>
        <w:rPr>
          <w:rFonts w:ascii="Times New Roman"/>
          <w:b w:val="false"/>
          <w:i w:val="false"/>
          <w:color w:val="000000"/>
          <w:sz w:val="28"/>
        </w:rPr>
        <w:t xml:space="preserve">
      На первом этапе определяется инициативная группа СХТП, которые готовы объединиться в сельскохозяйственный кооператив, обосновываются необходимость организации кооператива, виды деятельности, основные ее функции, состав учредителей. </w:t>
      </w:r>
    </w:p>
    <w:p>
      <w:pPr>
        <w:spacing w:after="0"/>
        <w:ind w:left="0"/>
        <w:jc w:val="both"/>
      </w:pPr>
      <w:r>
        <w:rPr>
          <w:rFonts w:ascii="Times New Roman"/>
          <w:b w:val="false"/>
          <w:i w:val="false"/>
          <w:color w:val="000000"/>
          <w:sz w:val="28"/>
        </w:rPr>
        <w:t>
      На втором – проводится учредительное собрание кооператива, выбираются члены правления, ревизионной комиссии, председатель, утверждаются правила вступления и выхода из кооператива, учредительные документы (устав, учредительный договор и др.).</w:t>
      </w:r>
    </w:p>
    <w:p>
      <w:pPr>
        <w:spacing w:after="0"/>
        <w:ind w:left="0"/>
        <w:jc w:val="both"/>
      </w:pPr>
      <w:r>
        <w:rPr>
          <w:rFonts w:ascii="Times New Roman"/>
          <w:b w:val="false"/>
          <w:i w:val="false"/>
          <w:color w:val="000000"/>
          <w:sz w:val="28"/>
        </w:rPr>
        <w:t xml:space="preserve">
      На третьем – проводится государственная регистрация кооператива в районном органе юстиции, утверждаются источники формирования имущества кооператива, размеры паевых взносов, создание фондов и другие внутрихозяйственные вопросы деятельности кооператива. </w:t>
      </w:r>
    </w:p>
    <w:p>
      <w:pPr>
        <w:spacing w:after="0"/>
        <w:ind w:left="0"/>
        <w:jc w:val="both"/>
      </w:pPr>
      <w:r>
        <w:rPr>
          <w:rFonts w:ascii="Times New Roman"/>
          <w:b w:val="false"/>
          <w:i w:val="false"/>
          <w:color w:val="000000"/>
          <w:sz w:val="28"/>
        </w:rPr>
        <w:t xml:space="preserve">
      На четвертом этапе – на основе предварительного расчета выявляются потенциальные объемы производства и переработки сельскохозяйственной продукции, определяются рынки сбыта, потребители, их экономическое положение, размеры и источники финансирования, т.е. разрабатывается бизнес-план кооператива с технико-экономическим обоснованием его производственной деятельности, определяются основные подразделения кооператива, их состав и функции. </w:t>
      </w:r>
    </w:p>
    <w:p>
      <w:pPr>
        <w:spacing w:after="0"/>
        <w:ind w:left="0"/>
        <w:jc w:val="both"/>
      </w:pPr>
      <w:r>
        <w:rPr>
          <w:rFonts w:ascii="Times New Roman"/>
          <w:b w:val="false"/>
          <w:i w:val="false"/>
          <w:color w:val="000000"/>
          <w:sz w:val="28"/>
        </w:rPr>
        <w:t>
      Сельскохозяйственные кооперативы будут созданы в различных отраслях АПК РК (молочной, мясной, плодоовощной, хлопководческой, масложировой и др.) в процессе продвижения сельскохозяйственной продукции от производителя до потребителя. При формировании кооперативов необходимо учитывать специфические особенности отдельных видов сельскохозяйственной продукции, сырья, продовольствия и их рынков.</w:t>
      </w:r>
    </w:p>
    <w:p>
      <w:pPr>
        <w:spacing w:after="0"/>
        <w:ind w:left="0"/>
        <w:jc w:val="both"/>
      </w:pPr>
      <w:r>
        <w:rPr>
          <w:rFonts w:ascii="Times New Roman"/>
          <w:b w:val="false"/>
          <w:i w:val="false"/>
          <w:color w:val="000000"/>
          <w:sz w:val="28"/>
        </w:rPr>
        <w:t xml:space="preserve">
      Создание кооперативов на рынке мяса и молока находится под влиянием таких факторов, как скоропортящийся характер продукции, высокая доля поголовья и производства продукции в личных подсобных и крестьянских хозяйствах, низкая концентрация поголовья, высокая зависимость от кормовой базы. </w:t>
      </w:r>
    </w:p>
    <w:p>
      <w:pPr>
        <w:spacing w:after="0"/>
        <w:ind w:left="0"/>
        <w:jc w:val="both"/>
      </w:pPr>
      <w:r>
        <w:rPr>
          <w:rFonts w:ascii="Times New Roman"/>
          <w:b w:val="false"/>
          <w:i w:val="false"/>
          <w:color w:val="000000"/>
          <w:sz w:val="28"/>
        </w:rPr>
        <w:t>
      На рынке картофеля и плодоовощной продукции системы сбыта строятся под влиянием таких факторов, как локальное производство отдельных ее видов по территории страны (теплолюбивых овощей и фруктов, ранней продукции), основных объемов – в хозяйствах населения при наличии специализированных крупных коллективных предприятий и тепличного хозяйства в пригородной зоне, скоропортящийся объемный характер продукции, сезонность и стабильное по времени потребление, наличие альтернативных видов продукции – сушеных, замороженных, консервированных, в том числе соков. Эти факторы определяют необходимость организации срочного сбыта отдельных ее видов.</w:t>
      </w:r>
    </w:p>
    <w:p>
      <w:pPr>
        <w:spacing w:after="0"/>
        <w:ind w:left="0"/>
        <w:jc w:val="both"/>
      </w:pPr>
      <w:r>
        <w:rPr>
          <w:rFonts w:ascii="Times New Roman"/>
          <w:b w:val="false"/>
          <w:i w:val="false"/>
          <w:color w:val="000000"/>
          <w:sz w:val="28"/>
        </w:rPr>
        <w:t xml:space="preserve">
      При организации сельскохозяйственной кооперации будут максимально задействованы уже имеющиеся производственные мощности по переработке продукции. На территории районов, где нет перерабатывающих предприятий, при строительстве новых мощностей следует учитывать особенности перерабатываемой сельскохозяйственной продукции: транспортные затраты на единицу массы, капиталоемкость, возможные объемы и сезонность поступления сырья. </w:t>
      </w:r>
    </w:p>
    <w:p>
      <w:pPr>
        <w:spacing w:after="0"/>
        <w:ind w:left="0"/>
        <w:jc w:val="both"/>
      </w:pPr>
      <w:r>
        <w:rPr>
          <w:rFonts w:ascii="Times New Roman"/>
          <w:b w:val="false"/>
          <w:i w:val="false"/>
          <w:color w:val="000000"/>
          <w:sz w:val="28"/>
        </w:rPr>
        <w:t>
      Одним из главных препятствий на пути создания сельскохозяйственных кооперативов являются недостаток у потенциальных членов кооператива стартового капитала для покупки техники и оборудования при низком уровне доступности кредитных ресурсов коммерческих банков и отсутствие значимой государственной поддержки. Поэтому одной из основных задач рекомендуемого механизма повышения эффективности развития сельскохозяйственной кооперации в РК является формирование адекватной рынку многоканальной системы финансовой поддержки кооперативных структур за счет государственных средств, внебюджетных фондов, юридических и физических лиц, средств донорских отечественных и зарубежных организаций.</w:t>
      </w:r>
    </w:p>
    <w:p>
      <w:pPr>
        <w:spacing w:after="0"/>
        <w:ind w:left="0"/>
        <w:jc w:val="both"/>
      </w:pPr>
      <w:r>
        <w:rPr>
          <w:rFonts w:ascii="Times New Roman"/>
          <w:b w:val="false"/>
          <w:i w:val="false"/>
          <w:color w:val="000000"/>
          <w:sz w:val="28"/>
        </w:rPr>
        <w:t>
      С учетом наличия специфических особенностей каждого региона рекомендуется разработать региональные программы развития сельскохозяйственной кооперации, которые будут включать разъяснительную работу, финансовую, организационную, пропагандистскую, консультационную, информационную помощь созданным кооперативам. При их разработке необходимо учитывать комплекс взаимосвязанных задач, адресных мероприятий социального, экономического, организационного, производственного характера с указанием используемых ресурсов, источников их получения, достигаемых результатов и механизм распространения и развития сельскохозяйственной кооперации.</w:t>
      </w:r>
    </w:p>
    <w:p>
      <w:pPr>
        <w:spacing w:after="0"/>
        <w:ind w:left="0"/>
        <w:jc w:val="both"/>
      </w:pPr>
      <w:r>
        <w:rPr>
          <w:rFonts w:ascii="Times New Roman"/>
          <w:b w:val="false"/>
          <w:i w:val="false"/>
          <w:color w:val="000000"/>
          <w:sz w:val="28"/>
        </w:rPr>
        <w:t>
      Региональные программы должны быть направлены на распространение положительного опыта, облегчение доступа кооперативов к рынкам сбыта, снабжению материально-техническими ресурсами, услугам по выполнению агросервисных услуг. Наличие конкретных карт по организации сельскохозяйственных кооперативов в разрезе регионов дает возможность выявлению ресурсного потенциала имеющихся предприятий, возможность организации и размещения различных моделей кооперативов, определить степень удовлетворения потребностей в них, доступности к рынкам сбыта, снабжения, оценить перспективы развития и их влияние на экономику региона.</w:t>
      </w:r>
    </w:p>
    <w:p>
      <w:pPr>
        <w:spacing w:after="0"/>
        <w:ind w:left="0"/>
        <w:jc w:val="both"/>
      </w:pPr>
      <w:r>
        <w:rPr>
          <w:rFonts w:ascii="Times New Roman"/>
          <w:b w:val="false"/>
          <w:i w:val="false"/>
          <w:color w:val="000000"/>
          <w:sz w:val="28"/>
        </w:rPr>
        <w:t>
      С целью получения достоверной информации о деятельности сельскохозяйственных кооперативов и их эффективности рекомендуются введение системы статистического наблюдения за развитием сельскохозяйственных кооперативов, создание регистра "Сельскохозяйственные кооперативы" по видам и формам деятельности, проведение периодичных выборочных обследований сельскохозяйственных кооперативов.</w:t>
      </w:r>
    </w:p>
    <w:p>
      <w:pPr>
        <w:spacing w:after="0"/>
        <w:ind w:left="0"/>
        <w:jc w:val="both"/>
      </w:pPr>
      <w:r>
        <w:rPr>
          <w:rFonts w:ascii="Times New Roman"/>
          <w:b w:val="false"/>
          <w:i w:val="false"/>
          <w:color w:val="000000"/>
          <w:sz w:val="28"/>
        </w:rPr>
        <w:t>
      Информационно-консультационное обеспечение является одной из главных предпосылок успешного развития сельскохозяйственных кооперативов. Для их эффективного развития необходима постоянно действующая система подготовки и повышения квалификации фермеров, владельцев ЛПХ, сельских предпринимателей, а также руководителей и специалистов сельскохозяйственных кооперативов, микрофинансовых организаций и местных исполнительных органов, ответственных за регулирование деятельности и поддержку сельскохозяйственных кооперативов.</w:t>
      </w:r>
    </w:p>
    <w:p>
      <w:pPr>
        <w:spacing w:after="0"/>
        <w:ind w:left="0"/>
        <w:jc w:val="both"/>
      </w:pPr>
      <w:r>
        <w:rPr>
          <w:rFonts w:ascii="Times New Roman"/>
          <w:b w:val="false"/>
          <w:i w:val="false"/>
          <w:color w:val="000000"/>
          <w:sz w:val="28"/>
        </w:rPr>
        <w:t>
      Необходимо сформировать систему информационного обеспечения кооперативов, в рамках которой члены кооперативов и потенциальные кооператоры смогут получать своевременную и качественную информацию о государственной аграрной политике, условиях кредитования, налогообложения, субсидирования, объемах торговли, ценах и т.д. Предполагаются создание специализированных баз данных, издание и распространение учебной, справочно-информационной и методической литературы, проведение соответствующих аналитических исследований.</w:t>
      </w:r>
    </w:p>
    <w:p>
      <w:pPr>
        <w:spacing w:after="0"/>
        <w:ind w:left="0"/>
        <w:jc w:val="both"/>
      </w:pPr>
      <w:r>
        <w:rPr>
          <w:rFonts w:ascii="Times New Roman"/>
          <w:b w:val="false"/>
          <w:i w:val="false"/>
          <w:color w:val="000000"/>
          <w:sz w:val="28"/>
        </w:rPr>
        <w:t>
      Реализация этих мероприятий позволит значительно повысить информированность сельского населения, в том числе по правовым вопросам, подготовить методологическую базу для развития целевой группы и постоянно повышать уровень квалификации ее участников, создать условия для постоянного обмена передовым опытом.</w:t>
      </w:r>
    </w:p>
    <w:p>
      <w:pPr>
        <w:spacing w:after="0"/>
        <w:ind w:left="0"/>
        <w:jc w:val="both"/>
      </w:pPr>
      <w:r>
        <w:rPr>
          <w:rFonts w:ascii="Times New Roman"/>
          <w:b w:val="false"/>
          <w:i w:val="false"/>
          <w:color w:val="000000"/>
          <w:sz w:val="28"/>
        </w:rPr>
        <w:t>
      Для осуществления этой работы целесообразно создание информационно-консультационной службы развития кооперации как части (подразделения) единой информационно-консультационной системы АПК под эгидой МСХ РК.</w:t>
      </w:r>
    </w:p>
    <w:p>
      <w:pPr>
        <w:spacing w:after="0"/>
        <w:ind w:left="0"/>
        <w:jc w:val="both"/>
      </w:pPr>
      <w:r>
        <w:rPr>
          <w:rFonts w:ascii="Times New Roman"/>
          <w:b w:val="false"/>
          <w:i w:val="false"/>
          <w:color w:val="000000"/>
          <w:sz w:val="28"/>
        </w:rPr>
        <w:t>
      Консультационная и организаторская работа будет направлена на:</w:t>
      </w:r>
    </w:p>
    <w:p>
      <w:pPr>
        <w:spacing w:after="0"/>
        <w:ind w:left="0"/>
        <w:jc w:val="both"/>
      </w:pPr>
      <w:r>
        <w:rPr>
          <w:rFonts w:ascii="Times New Roman"/>
          <w:b w:val="false"/>
          <w:i w:val="false"/>
          <w:color w:val="000000"/>
          <w:sz w:val="28"/>
        </w:rPr>
        <w:t>
      - создание новых кооперативов там, где это необходимо;</w:t>
      </w:r>
    </w:p>
    <w:p>
      <w:pPr>
        <w:spacing w:after="0"/>
        <w:ind w:left="0"/>
        <w:jc w:val="both"/>
      </w:pPr>
      <w:r>
        <w:rPr>
          <w:rFonts w:ascii="Times New Roman"/>
          <w:b w:val="false"/>
          <w:i w:val="false"/>
          <w:color w:val="000000"/>
          <w:sz w:val="28"/>
        </w:rPr>
        <w:t>
      - расширение числа членов в уже существующих кооперативах;</w:t>
      </w:r>
    </w:p>
    <w:p>
      <w:pPr>
        <w:spacing w:after="0"/>
        <w:ind w:left="0"/>
        <w:jc w:val="both"/>
      </w:pPr>
      <w:r>
        <w:rPr>
          <w:rFonts w:ascii="Times New Roman"/>
          <w:b w:val="false"/>
          <w:i w:val="false"/>
          <w:color w:val="000000"/>
          <w:sz w:val="28"/>
        </w:rPr>
        <w:t>
      - оказание помощи членам кооперативов в активном участии в процессе принятия решений и управления делами кооперативов;</w:t>
      </w:r>
    </w:p>
    <w:p>
      <w:pPr>
        <w:spacing w:after="0"/>
        <w:ind w:left="0"/>
        <w:jc w:val="both"/>
      </w:pPr>
      <w:r>
        <w:rPr>
          <w:rFonts w:ascii="Times New Roman"/>
          <w:b w:val="false"/>
          <w:i w:val="false"/>
          <w:color w:val="000000"/>
          <w:sz w:val="28"/>
        </w:rPr>
        <w:t>
      - оказание помощи членам и работникам кооперативов в создании хозяйственного механизма, основанного на кооперативных ценностях и принципах, адекватного современной экономической системе.</w:t>
      </w:r>
    </w:p>
    <w:p>
      <w:pPr>
        <w:spacing w:after="0"/>
        <w:ind w:left="0"/>
        <w:jc w:val="both"/>
      </w:pPr>
      <w:r>
        <w:rPr>
          <w:rFonts w:ascii="Times New Roman"/>
          <w:b w:val="false"/>
          <w:i w:val="false"/>
          <w:color w:val="000000"/>
          <w:sz w:val="28"/>
        </w:rPr>
        <w:t>
      В ряде регионов РК будут разработаны и реализованы пилотные проекты по созданию сельскохозяйственных кооперативов для совершенствования их деятельности и государственной поддержки.</w:t>
      </w:r>
    </w:p>
    <w:p>
      <w:pPr>
        <w:spacing w:after="0"/>
        <w:ind w:left="0"/>
        <w:jc w:val="both"/>
      </w:pPr>
      <w:r>
        <w:rPr>
          <w:rFonts w:ascii="Times New Roman"/>
          <w:b w:val="false"/>
          <w:i w:val="false"/>
          <w:color w:val="000000"/>
          <w:sz w:val="28"/>
        </w:rPr>
        <w:t>
      Одним из условий успешного развития сельскохозяйственных кооперативов на селе является создание единой системы сельскохозяйственных кооперативов, которая представляет собой совокупность кооперативов различных видов и уровней, в организационно-правовом и функциональном отношениях, объединенных на государственном, региональном и районном уровнях. Механизм повышения эффективности развития сельскохозяйственных кооперативов предусматривает поэтапное формирование многоуровневой системы сельскохозяйственных кооперативов, действующих во взаимосвязи с государственными (местными) органами, путем формирования Координационного совета и рабочих групп консультантов по вопросам организации форм сельскохозяйственной кооперации на районном уровне, а также взаимодействие их с финансовыми, общественными и другими организациями.</w:t>
      </w:r>
    </w:p>
    <w:p>
      <w:pPr>
        <w:spacing w:after="0"/>
        <w:ind w:left="0"/>
        <w:jc w:val="both"/>
      </w:pPr>
      <w:r>
        <w:rPr>
          <w:rFonts w:ascii="Times New Roman"/>
          <w:b w:val="false"/>
          <w:i w:val="false"/>
          <w:color w:val="000000"/>
          <w:sz w:val="28"/>
        </w:rPr>
        <w:t xml:space="preserve">
      С целью повышения эффективности развития сельскохозяйственной кооперации в республике будут созданы координационные советы на уровне каждого района. Основной задачей координационного совета является обеспечение мероприятий по развитию системы сельскохозяйственных кооперативов на уровне района. </w:t>
      </w:r>
    </w:p>
    <w:p>
      <w:pPr>
        <w:spacing w:after="0"/>
        <w:ind w:left="0"/>
        <w:jc w:val="both"/>
      </w:pPr>
      <w:r>
        <w:rPr>
          <w:rFonts w:ascii="Times New Roman"/>
          <w:b w:val="false"/>
          <w:i w:val="false"/>
          <w:color w:val="000000"/>
          <w:sz w:val="28"/>
        </w:rPr>
        <w:t>
      В рамках государственной поддержки кооперативов по заготовке и первичной переработке сельскохозяйственной продукции, оказанию сервисных и кредитных услуг будут оказаны меры поддержки финансового и нефинансового характера.</w:t>
      </w:r>
    </w:p>
    <w:p>
      <w:pPr>
        <w:spacing w:after="0"/>
        <w:ind w:left="0"/>
        <w:jc w:val="both"/>
      </w:pPr>
      <w:r>
        <w:rPr>
          <w:rFonts w:ascii="Times New Roman"/>
          <w:b w:val="false"/>
          <w:i w:val="false"/>
          <w:color w:val="000000"/>
          <w:sz w:val="28"/>
        </w:rPr>
        <w:t>
      Финансовые меры поддержки – лизинг сельскохозяйственной техники и оборудования, инвестиционное субсидирование затрат по приобретению сельскохозяйственной техники и оборудования, субсидирование ставок вознаграждения при кредитовании субъектов АПК, лизинге сельскохозяйственной техники и животных, технологического оборудования, субсидирование затрат ревизионных союзов сельскохозяйственных кооперативов на проведение внутреннего аудита кооперативов, а также упрощение процедур предоставления кредитов и лизинга по условиям дочерних компаний АО "НУХ "КазАгро" с погашением первоначального платежа (софинансирования) по кредиту за счет инвестиционных субсидий и предоставление кредитов для последующего кредитования своих членов.</w:t>
      </w:r>
    </w:p>
    <w:p>
      <w:pPr>
        <w:spacing w:after="0"/>
        <w:ind w:left="0"/>
        <w:jc w:val="both"/>
      </w:pPr>
      <w:r>
        <w:rPr>
          <w:rFonts w:ascii="Times New Roman"/>
          <w:b w:val="false"/>
          <w:i w:val="false"/>
          <w:color w:val="000000"/>
          <w:sz w:val="28"/>
        </w:rPr>
        <w:t xml:space="preserve">
      Нефинансовые меры поддержки – разработка учебно-методических материалов для сельскохозяйственных учебных заведений для подготовки руководителей и специалистов кооперативов и центров повышения их квалификации, введение в сельскохозяйственных ВУЗах и колледжах в качестве обязательной дисциплины курса по экономике и организации сельскохозяйственной кооперации, а также включение владельцев личных подсобных и крестьянских хозяйств в программу информационного обеспечения субъектов АПК на безвозмездной основе в качестве слушателей курсов и семинаров по повышению квалификации и повышение квалификации руководителей и специалистов агроформирований, центральных и местных исполнительных органов по вопросам сельскохозяйственной кооперации через систему повышения квалификации при сельскохозяйственных учебных заведениях, университетах общего назначения и центрах распространения знаний. </w:t>
      </w:r>
    </w:p>
    <w:p>
      <w:pPr>
        <w:spacing w:after="0"/>
        <w:ind w:left="0"/>
        <w:jc w:val="left"/>
      </w:pPr>
      <w:r>
        <w:rPr>
          <w:rFonts w:ascii="Times New Roman"/>
          <w:b/>
          <w:i w:val="false"/>
          <w:color w:val="000000"/>
        </w:rPr>
        <w:t xml:space="preserve"> 5.2. Оптимизация внутренней и внешней торговой политики в отношении продукции АПК</w:t>
      </w:r>
    </w:p>
    <w:p>
      <w:pPr>
        <w:spacing w:after="0"/>
        <w:ind w:left="0"/>
        <w:jc w:val="both"/>
      </w:pPr>
      <w:r>
        <w:rPr>
          <w:rFonts w:ascii="Times New Roman"/>
          <w:b w:val="false"/>
          <w:i w:val="false"/>
          <w:color w:val="000000"/>
          <w:sz w:val="28"/>
        </w:rPr>
        <w:t>
      Для развития внутренней торговли будут приняты меры по повышению эффективности существующих механизмов формирования и использования региональных стабилизационных фондов продовольственных товаров и передаче функций по их регулированию в местные исполнительные органы, пресечению антиконкурентных действий субъектов рынка.</w:t>
      </w:r>
    </w:p>
    <w:p>
      <w:pPr>
        <w:spacing w:after="0"/>
        <w:ind w:left="0"/>
        <w:jc w:val="both"/>
      </w:pPr>
      <w:r>
        <w:rPr>
          <w:rFonts w:ascii="Times New Roman"/>
          <w:b w:val="false"/>
          <w:i w:val="false"/>
          <w:color w:val="000000"/>
          <w:sz w:val="28"/>
        </w:rPr>
        <w:t>
      Для развития внешней торговли будут приняты меры по предоставлению субъектам АПК открытых отраслевых данных по рынкам сбыта на сайтах МСХ РК, АО "НУХ "КазАгро"", других подведомственных организаций МСХ РК, а также оказанию маркетинговых услуг со стороны центров обслуживания предпринимателей НПП РК "Атамекен".</w:t>
      </w:r>
    </w:p>
    <w:p>
      <w:pPr>
        <w:spacing w:after="0"/>
        <w:ind w:left="0"/>
        <w:jc w:val="both"/>
      </w:pPr>
      <w:r>
        <w:rPr>
          <w:rFonts w:ascii="Times New Roman"/>
          <w:b w:val="false"/>
          <w:i w:val="false"/>
          <w:color w:val="000000"/>
          <w:sz w:val="28"/>
        </w:rPr>
        <w:t>
      В целях снижения объемов теневого оборота осетровых рыб будет создана законодательная основа для внедрения системы генетической паспортизации.</w:t>
      </w:r>
    </w:p>
    <w:p>
      <w:pPr>
        <w:spacing w:after="0"/>
        <w:ind w:left="0"/>
        <w:jc w:val="both"/>
      </w:pPr>
      <w:r>
        <w:rPr>
          <w:rFonts w:ascii="Times New Roman"/>
          <w:b w:val="false"/>
          <w:i w:val="false"/>
          <w:color w:val="000000"/>
          <w:sz w:val="28"/>
        </w:rPr>
        <w:t>
      Кроме того, будет оказана поддержка для казахстанских производителей в проведении отраслевых выставок внутри Казахстана и за рубежом.</w:t>
      </w:r>
    </w:p>
    <w:p>
      <w:pPr>
        <w:spacing w:after="0"/>
        <w:ind w:left="0"/>
        <w:jc w:val="both"/>
      </w:pPr>
      <w:r>
        <w:rPr>
          <w:rFonts w:ascii="Times New Roman"/>
          <w:b w:val="false"/>
          <w:i w:val="false"/>
          <w:color w:val="000000"/>
          <w:sz w:val="28"/>
        </w:rPr>
        <w:t xml:space="preserve">
      В целях обеспечения доступа СХТП на торговые площади будет оказано содействие в создании сети оптово-распределительных центров (далее –ОРЦ) во всех крупных городах республики. ОРЦ будет состоять из складов, павильонов и других помещений для оптовой торговли сельскохозяйственной продукцией, в которых будут сгенерированы технологические операции по хранению, упаковке, сбыту и транспортировке сельскохозяйственной и пищевой продукции. Будут, при необходимости, предусмотрены таможенные, ветеринарно-санитарные, карантинные, санитарно-эпидемиологические и иные операции. </w:t>
      </w:r>
    </w:p>
    <w:p>
      <w:pPr>
        <w:spacing w:after="0"/>
        <w:ind w:left="0"/>
        <w:jc w:val="both"/>
      </w:pPr>
      <w:r>
        <w:rPr>
          <w:rFonts w:ascii="Times New Roman"/>
          <w:b w:val="false"/>
          <w:i w:val="false"/>
          <w:color w:val="000000"/>
          <w:sz w:val="28"/>
        </w:rPr>
        <w:t xml:space="preserve">
      ОРЦ создаются за счет средств частных инвесторов, в том числе иностранных, для привлечения которых будут создаваться благоприятные условия, такие как выделение натурных грантов и пр. Кроме того, будет проработан вопрос совершенствования нормативной правовой основы для расширения мер государственной поддержки на развитие ОРЦ, в том числе в виде предоставления инвестиционных субсидий на возмещение стоимости приобретенной техники и оборудования. </w:t>
      </w:r>
    </w:p>
    <w:p>
      <w:pPr>
        <w:spacing w:after="0"/>
        <w:ind w:left="0"/>
        <w:jc w:val="both"/>
      </w:pPr>
      <w:r>
        <w:rPr>
          <w:rFonts w:ascii="Times New Roman"/>
          <w:b w:val="false"/>
          <w:i w:val="false"/>
          <w:color w:val="000000"/>
          <w:sz w:val="28"/>
        </w:rPr>
        <w:t>
      Государственная поддержка ОРЦ будет заключаться в выделении земельного участка для их строительства, подведения инфраструктуры в рамках Дорожной карты бизнеса – 2020, выдачи государственных сертификатов на соответствие качества товара и т.д.</w:t>
      </w:r>
    </w:p>
    <w:p>
      <w:pPr>
        <w:spacing w:after="0"/>
        <w:ind w:left="0"/>
        <w:jc w:val="both"/>
      </w:pPr>
      <w:r>
        <w:rPr>
          <w:rFonts w:ascii="Times New Roman"/>
          <w:b w:val="false"/>
          <w:i w:val="false"/>
          <w:color w:val="000000"/>
          <w:sz w:val="28"/>
        </w:rPr>
        <w:t>
      На первом этапе в 2017 году будут созданы 3 ОРЦ в гг. Астана, Алматы, Шымкент.</w:t>
      </w:r>
    </w:p>
    <w:p>
      <w:pPr>
        <w:spacing w:after="0"/>
        <w:ind w:left="0"/>
        <w:jc w:val="both"/>
      </w:pPr>
      <w:r>
        <w:rPr>
          <w:rFonts w:ascii="Times New Roman"/>
          <w:b w:val="false"/>
          <w:i w:val="false"/>
          <w:color w:val="000000"/>
          <w:sz w:val="28"/>
        </w:rPr>
        <w:t>
      На втором этапе в 2018-2021 годах будет созданы ОРЦ в остальных крупных городах республики, в том числе приграничных.</w:t>
      </w:r>
    </w:p>
    <w:p>
      <w:pPr>
        <w:spacing w:after="0"/>
        <w:ind w:left="0"/>
        <w:jc w:val="both"/>
      </w:pPr>
      <w:r>
        <w:rPr>
          <w:rFonts w:ascii="Times New Roman"/>
          <w:b w:val="false"/>
          <w:i w:val="false"/>
          <w:color w:val="000000"/>
          <w:sz w:val="28"/>
        </w:rPr>
        <w:t>
      На базе ОРЦ будут создаваться крупные партии сельскохозяйственной продукции, которые будут готовиться и поставляться на экспорт.</w:t>
      </w:r>
    </w:p>
    <w:p>
      <w:pPr>
        <w:spacing w:after="0"/>
        <w:ind w:left="0"/>
        <w:jc w:val="both"/>
      </w:pPr>
      <w:r>
        <w:rPr>
          <w:rFonts w:ascii="Times New Roman"/>
          <w:b w:val="false"/>
          <w:i w:val="false"/>
          <w:color w:val="000000"/>
          <w:sz w:val="28"/>
        </w:rPr>
        <w:t>
      Развитие торгово-логистической инфраструктуры для приоритетного сектора по переработке продуктов питания будет обеспечено системными и адресными мерами государственной поддержки в рамках ГПИИР.</w:t>
      </w:r>
    </w:p>
    <w:p>
      <w:pPr>
        <w:spacing w:after="0"/>
        <w:ind w:left="0"/>
        <w:jc w:val="both"/>
      </w:pPr>
      <w:r>
        <w:rPr>
          <w:rFonts w:ascii="Times New Roman"/>
          <w:b w:val="false"/>
          <w:i w:val="false"/>
          <w:color w:val="000000"/>
          <w:sz w:val="28"/>
        </w:rPr>
        <w:t>
      Экспортная политика будет строиться на основе целенаправленной поддержки продвижения продукции на потенциальных рынках сбыта. Для этих целей, за счет собственных средств АО "НУХ "КазАгро", АО "НК "Продкорпорация" выступит в роли экспортного центра АПК при тесном взаимодействии с АО "КазЭкспортГарант" и АО "Национальное агентство по экспорту и инвестициям АО "KAZNEX INVEST", а также дипломатическими представительствами РК за рубежом. Центр будет осуществлять:</w:t>
      </w:r>
    </w:p>
    <w:p>
      <w:pPr>
        <w:spacing w:after="0"/>
        <w:ind w:left="0"/>
        <w:jc w:val="both"/>
      </w:pPr>
      <w:r>
        <w:rPr>
          <w:rFonts w:ascii="Times New Roman"/>
          <w:b w:val="false"/>
          <w:i w:val="false"/>
          <w:color w:val="000000"/>
          <w:sz w:val="28"/>
        </w:rPr>
        <w:t>
      1) анализ внешних рынков и составление дорожных карт продвижения продукции для перспективных стран сбыта;</w:t>
      </w:r>
    </w:p>
    <w:p>
      <w:pPr>
        <w:spacing w:after="0"/>
        <w:ind w:left="0"/>
        <w:jc w:val="both"/>
      </w:pPr>
      <w:r>
        <w:rPr>
          <w:rFonts w:ascii="Times New Roman"/>
          <w:b w:val="false"/>
          <w:i w:val="false"/>
          <w:color w:val="000000"/>
          <w:sz w:val="28"/>
        </w:rPr>
        <w:t>
      2) форвардный закуп продукции у СХТП и формирование крупных экспортных партий;</w:t>
      </w:r>
    </w:p>
    <w:p>
      <w:pPr>
        <w:spacing w:after="0"/>
        <w:ind w:left="0"/>
        <w:jc w:val="both"/>
      </w:pPr>
      <w:r>
        <w:rPr>
          <w:rFonts w:ascii="Times New Roman"/>
          <w:b w:val="false"/>
          <w:i w:val="false"/>
          <w:color w:val="000000"/>
          <w:sz w:val="28"/>
        </w:rPr>
        <w:t>
      3) создание экспортных каналов сбыта для востребованной на внешнем рынке сельскохозяйственной продукции;</w:t>
      </w:r>
    </w:p>
    <w:p>
      <w:pPr>
        <w:spacing w:after="0"/>
        <w:ind w:left="0"/>
        <w:jc w:val="both"/>
      </w:pPr>
      <w:r>
        <w:rPr>
          <w:rFonts w:ascii="Times New Roman"/>
          <w:b w:val="false"/>
          <w:i w:val="false"/>
          <w:color w:val="000000"/>
          <w:sz w:val="28"/>
        </w:rPr>
        <w:t>
      4) предоставление страхования и гарантирования экспортных контрактов СХТП;</w:t>
      </w:r>
    </w:p>
    <w:p>
      <w:pPr>
        <w:spacing w:after="0"/>
        <w:ind w:left="0"/>
        <w:jc w:val="both"/>
      </w:pPr>
      <w:r>
        <w:rPr>
          <w:rFonts w:ascii="Times New Roman"/>
          <w:b w:val="false"/>
          <w:i w:val="false"/>
          <w:color w:val="000000"/>
          <w:sz w:val="28"/>
        </w:rPr>
        <w:t>
      5) продвижение зонтичных брендов, включая "KZ ORGANIC FOOD";</w:t>
      </w:r>
    </w:p>
    <w:p>
      <w:pPr>
        <w:spacing w:after="0"/>
        <w:ind w:left="0"/>
        <w:jc w:val="both"/>
      </w:pPr>
      <w:r>
        <w:rPr>
          <w:rFonts w:ascii="Times New Roman"/>
          <w:b w:val="false"/>
          <w:i w:val="false"/>
          <w:color w:val="000000"/>
          <w:sz w:val="28"/>
        </w:rPr>
        <w:t>
      6) оказание консультационных услуг по экспорту продукции, в том числе сопровождению контрактов.</w:t>
      </w:r>
    </w:p>
    <w:p>
      <w:pPr>
        <w:spacing w:after="0"/>
        <w:ind w:left="0"/>
        <w:jc w:val="left"/>
      </w:pPr>
      <w:r>
        <w:rPr>
          <w:rFonts w:ascii="Times New Roman"/>
          <w:b/>
          <w:i w:val="false"/>
          <w:color w:val="000000"/>
        </w:rPr>
        <w:t xml:space="preserve"> 5.3. Совершенствование мер государственного регулирования АПК Растениеводство</w:t>
      </w:r>
    </w:p>
    <w:p>
      <w:pPr>
        <w:spacing w:after="0"/>
        <w:ind w:left="0"/>
        <w:jc w:val="both"/>
      </w:pPr>
      <w:r>
        <w:rPr>
          <w:rFonts w:ascii="Times New Roman"/>
          <w:b w:val="false"/>
          <w:i w:val="false"/>
          <w:color w:val="000000"/>
          <w:sz w:val="28"/>
        </w:rPr>
        <w:t>
      В целях эффективного развития продукции растениеводства будет обеспечена региональная специализация производств с привязкой к инфраструктуре переработки и сбыта продукции.</w:t>
      </w:r>
    </w:p>
    <w:p>
      <w:pPr>
        <w:spacing w:after="0"/>
        <w:ind w:left="0"/>
        <w:jc w:val="both"/>
      </w:pPr>
      <w:r>
        <w:rPr>
          <w:rFonts w:ascii="Times New Roman"/>
          <w:b w:val="false"/>
          <w:i w:val="false"/>
          <w:color w:val="000000"/>
          <w:sz w:val="28"/>
        </w:rPr>
        <w:t>
      Для этого будет стимулироваться строительство инфраструктуры хранения, транспортировки, переработки и сбыта продукции, использования минеральных удобрений и пестицидов, а также производство и использование семян высоких репродукций на основе кооперации. Эти меры позволят получать высокий урожай и качественную продукцию.</w:t>
      </w:r>
    </w:p>
    <w:p>
      <w:pPr>
        <w:spacing w:after="0"/>
        <w:ind w:left="0"/>
        <w:jc w:val="both"/>
      </w:pPr>
      <w:r>
        <w:rPr>
          <w:rFonts w:ascii="Times New Roman"/>
          <w:b w:val="false"/>
          <w:i w:val="false"/>
          <w:color w:val="000000"/>
          <w:sz w:val="28"/>
        </w:rPr>
        <w:t>
      Техническая и технологическая модернизация семеноводства будет осуществлена через субсидирование инвестиционных затрат и создание технологической платформы по семеноводству.</w:t>
      </w:r>
    </w:p>
    <w:p>
      <w:pPr>
        <w:spacing w:after="0"/>
        <w:ind w:left="0"/>
        <w:jc w:val="both"/>
      </w:pPr>
      <w:r>
        <w:rPr>
          <w:rFonts w:ascii="Times New Roman"/>
          <w:b w:val="false"/>
          <w:i w:val="false"/>
          <w:color w:val="000000"/>
          <w:sz w:val="28"/>
        </w:rPr>
        <w:t>
       Будут созданы условия для обновления техники и оборудования субъектов АПК в приоритетном порядке.</w:t>
      </w:r>
    </w:p>
    <w:p>
      <w:pPr>
        <w:spacing w:after="0"/>
        <w:ind w:left="0"/>
        <w:jc w:val="both"/>
      </w:pPr>
      <w:r>
        <w:rPr>
          <w:rFonts w:ascii="Times New Roman"/>
          <w:b w:val="false"/>
          <w:i w:val="false"/>
          <w:color w:val="000000"/>
          <w:sz w:val="28"/>
        </w:rPr>
        <w:t>
      В целях обеспечения диверсификации структуры посевных площадей, роста производства комбикормов и экспорта востребованной продукции будет обеспечено стимулирование производства ячменя, овса, кукурузы на зерно.</w:t>
      </w:r>
    </w:p>
    <w:p>
      <w:pPr>
        <w:spacing w:after="0"/>
        <w:ind w:left="0"/>
        <w:jc w:val="both"/>
      </w:pPr>
      <w:r>
        <w:rPr>
          <w:rFonts w:ascii="Times New Roman"/>
          <w:b w:val="false"/>
          <w:i w:val="false"/>
          <w:color w:val="000000"/>
          <w:sz w:val="28"/>
        </w:rPr>
        <w:t>
      Для загрузки предприятий по переработке масличных культур и увеличения экспорта востребованной продукции будет обеспечено стимулирование производства масличных культур, в том числе: подсолнечника, рапса, льна, сои и закупа данной продукции перерабатывающими предприятиями.</w:t>
      </w:r>
    </w:p>
    <w:p>
      <w:pPr>
        <w:spacing w:after="0"/>
        <w:ind w:left="0"/>
        <w:jc w:val="both"/>
      </w:pPr>
      <w:r>
        <w:rPr>
          <w:rFonts w:ascii="Times New Roman"/>
          <w:b w:val="false"/>
          <w:i w:val="false"/>
          <w:color w:val="000000"/>
          <w:sz w:val="28"/>
        </w:rPr>
        <w:t>
      В целях развития плодоовощеводства, виноградарства за счет субсидирования инвестиционных затрат будут стимулированы закладка плодово-ягодных культур и винограда, производство овощной продукции в межсезонье в тепличных комплексах, применение водосберегающих технологий, а также обеспечено возмещение затрат закладки и выращивания яблоневых садов сорта "Апорт". Будет создана инфраструктура полного цикла производства, заготовки, хранения, переработки и реализации на основе кооперации.</w:t>
      </w:r>
    </w:p>
    <w:p>
      <w:pPr>
        <w:spacing w:after="0"/>
        <w:ind w:left="0"/>
        <w:jc w:val="both"/>
      </w:pPr>
      <w:r>
        <w:rPr>
          <w:rFonts w:ascii="Times New Roman"/>
          <w:b w:val="false"/>
          <w:i w:val="false"/>
          <w:color w:val="000000"/>
          <w:sz w:val="28"/>
        </w:rPr>
        <w:t>
      В картофелеводстве будут приняты меры, направленные на повышение качества и интенсификацию производства за счет стимулирования использования безвирусных семян картофеля, поддержки строительства картофелехранилищ.</w:t>
      </w:r>
    </w:p>
    <w:p>
      <w:pPr>
        <w:spacing w:after="0"/>
        <w:ind w:left="0"/>
        <w:jc w:val="both"/>
      </w:pPr>
      <w:r>
        <w:rPr>
          <w:rFonts w:ascii="Times New Roman"/>
          <w:b w:val="false"/>
          <w:i w:val="false"/>
          <w:color w:val="000000"/>
          <w:sz w:val="28"/>
        </w:rPr>
        <w:t xml:space="preserve">
      В целях повышения объемов производства и переработки сахарной свеклы будут предприняты меры по стимулированию производства сахарной свеклы и закупа сахарной свеклы перерабатывающими предприятиями, строительству мини-заводов и реконструкции существующих сахарных заводов путем субсидирования инвестиционных затрат и внедрения водосберегающих технологий. </w:t>
      </w:r>
    </w:p>
    <w:p>
      <w:pPr>
        <w:spacing w:after="0"/>
        <w:ind w:left="0"/>
        <w:jc w:val="both"/>
      </w:pPr>
      <w:r>
        <w:rPr>
          <w:rFonts w:ascii="Times New Roman"/>
          <w:b w:val="false"/>
          <w:i w:val="false"/>
          <w:color w:val="000000"/>
          <w:sz w:val="28"/>
        </w:rPr>
        <w:t>
      Поддержка рисоводства и хлопководства будет осуществляться за счет стимулирования внедрения водосберегающих технологий, использования лазерных планировщиков в рисоводстве. Дополнительная поддержка будет осуществляться в рамках региональных программ развития территорий, кредитования и лизинга.</w:t>
      </w:r>
    </w:p>
    <w:p>
      <w:pPr>
        <w:spacing w:after="0"/>
        <w:ind w:left="0"/>
        <w:jc w:val="both"/>
      </w:pPr>
      <w:r>
        <w:rPr>
          <w:rFonts w:ascii="Times New Roman"/>
          <w:b w:val="false"/>
          <w:i w:val="false"/>
          <w:color w:val="000000"/>
          <w:sz w:val="28"/>
        </w:rPr>
        <w:t>
      В целях обеспечения потребностей животноводческой отрасли в кормах будет обеспечено стимулирование роста производства кормовых культур путем субсидирования затрат на их производство и инвестиционных затрат при закупе специализированной техники и оборудования.</w:t>
      </w:r>
    </w:p>
    <w:p>
      <w:pPr>
        <w:spacing w:after="0"/>
        <w:ind w:left="0"/>
        <w:jc w:val="left"/>
      </w:pPr>
      <w:r>
        <w:rPr>
          <w:rFonts w:ascii="Times New Roman"/>
          <w:b/>
          <w:i w:val="false"/>
          <w:color w:val="000000"/>
        </w:rPr>
        <w:t xml:space="preserve"> Животноводство</w:t>
      </w:r>
    </w:p>
    <w:p>
      <w:pPr>
        <w:spacing w:after="0"/>
        <w:ind w:left="0"/>
        <w:jc w:val="both"/>
      </w:pPr>
      <w:r>
        <w:rPr>
          <w:rFonts w:ascii="Times New Roman"/>
          <w:b w:val="false"/>
          <w:i w:val="false"/>
          <w:color w:val="000000"/>
          <w:sz w:val="28"/>
        </w:rPr>
        <w:t>
      В мясном скотоводстве в целях увеличения спроса на более качественную и, соответственно, более дорогую племенную продукцию будут усилен контроль качества племенной продукции, усовершенствованы механизмы оценки качества селекционной и племенной работы со стороны республиканских палат и государства, также будет стимулироваться приобретение племенных животных за счет повышения качества продукции племенных репродукторов, имеющих материально-техническую базу и надлежащим образом осуществляющих ведение селекционной и племенной работы.</w:t>
      </w:r>
    </w:p>
    <w:p>
      <w:pPr>
        <w:spacing w:after="0"/>
        <w:ind w:left="0"/>
        <w:jc w:val="both"/>
      </w:pPr>
      <w:r>
        <w:rPr>
          <w:rFonts w:ascii="Times New Roman"/>
          <w:b w:val="false"/>
          <w:i w:val="false"/>
          <w:color w:val="000000"/>
          <w:sz w:val="28"/>
        </w:rPr>
        <w:t>
      Для породного улучшения скота, а также повышения эффективности откорма будет использован потенциал племенных быков в личных подсобных и фермерских хозяйствах.</w:t>
      </w:r>
    </w:p>
    <w:p>
      <w:pPr>
        <w:spacing w:after="0"/>
        <w:ind w:left="0"/>
        <w:jc w:val="both"/>
      </w:pPr>
      <w:r>
        <w:rPr>
          <w:rFonts w:ascii="Times New Roman"/>
          <w:b w:val="false"/>
          <w:i w:val="false"/>
          <w:color w:val="000000"/>
          <w:sz w:val="28"/>
        </w:rPr>
        <w:t>
      В целях снижения издержек при приобретении скота за счет частных инвестиций будет создана инфраструктура торговли скотом.</w:t>
      </w:r>
    </w:p>
    <w:p>
      <w:pPr>
        <w:spacing w:after="0"/>
        <w:ind w:left="0"/>
        <w:jc w:val="both"/>
      </w:pPr>
      <w:r>
        <w:rPr>
          <w:rFonts w:ascii="Times New Roman"/>
          <w:b w:val="false"/>
          <w:i w:val="false"/>
          <w:color w:val="000000"/>
          <w:sz w:val="28"/>
        </w:rPr>
        <w:t>
      В молочном скотоводстве в целях повышения объемов производства товарного молока будут приняты меры по содействию создания семейных и промышленных молочно-товарных ферм, стимулированию повышения уровня механизации производства, а в селекционной и племенной работе стимулирование создания племенных репродукторов и использования качественного племенного материала.</w:t>
      </w:r>
    </w:p>
    <w:p>
      <w:pPr>
        <w:spacing w:after="0"/>
        <w:ind w:left="0"/>
        <w:jc w:val="both"/>
      </w:pPr>
      <w:r>
        <w:rPr>
          <w:rFonts w:ascii="Times New Roman"/>
          <w:b w:val="false"/>
          <w:i w:val="false"/>
          <w:color w:val="000000"/>
          <w:sz w:val="28"/>
        </w:rPr>
        <w:t xml:space="preserve">
      В овцеводстве приоритетным направлением будет производство ягнятины и тонкой шерсти. </w:t>
      </w:r>
    </w:p>
    <w:p>
      <w:pPr>
        <w:spacing w:after="0"/>
        <w:ind w:left="0"/>
        <w:jc w:val="both"/>
      </w:pPr>
      <w:r>
        <w:rPr>
          <w:rFonts w:ascii="Times New Roman"/>
          <w:b w:val="false"/>
          <w:i w:val="false"/>
          <w:color w:val="000000"/>
          <w:sz w:val="28"/>
        </w:rPr>
        <w:t>
      Для производства ягнятины будут внедрены технологии круглогодичного получения и выращивания ягнят.</w:t>
      </w:r>
    </w:p>
    <w:p>
      <w:pPr>
        <w:spacing w:after="0"/>
        <w:ind w:left="0"/>
        <w:jc w:val="both"/>
      </w:pPr>
      <w:r>
        <w:rPr>
          <w:rFonts w:ascii="Times New Roman"/>
          <w:b w:val="false"/>
          <w:i w:val="false"/>
          <w:color w:val="000000"/>
          <w:sz w:val="28"/>
        </w:rPr>
        <w:t>
      В целях производства тонкой шерсти будет стимулирована селекционно-племенная работа с использованием баранов-производителей тонкорунных пород с учетом схемы специализации регионов. Это позволит обеспечить загрузку мощностей предприятий по первичной обработке тонкой шерсти за счет развития сельской кооперации.</w:t>
      </w:r>
    </w:p>
    <w:p>
      <w:pPr>
        <w:spacing w:after="0"/>
        <w:ind w:left="0"/>
        <w:jc w:val="both"/>
      </w:pPr>
      <w:r>
        <w:rPr>
          <w:rFonts w:ascii="Times New Roman"/>
          <w:b w:val="false"/>
          <w:i w:val="false"/>
          <w:color w:val="000000"/>
          <w:sz w:val="28"/>
        </w:rPr>
        <w:t>
      В коневодстве и верблюдоводстве основной упор будет делаться на товарное производство. Для этого будут созданы сельскохозяйственные кооперативы по оказанию сервисных услуг, заготовке и переработке продукции коневодства и верблюдоводства, а также продолжена программа обводнения пастбищ путем субсидирования затрат на обустройство колодцев и проведение мероприятий по улучшению пастбищ.</w:t>
      </w:r>
    </w:p>
    <w:p>
      <w:pPr>
        <w:spacing w:after="0"/>
        <w:ind w:left="0"/>
        <w:jc w:val="both"/>
      </w:pPr>
      <w:r>
        <w:rPr>
          <w:rFonts w:ascii="Times New Roman"/>
          <w:b w:val="false"/>
          <w:i w:val="false"/>
          <w:color w:val="000000"/>
          <w:sz w:val="28"/>
        </w:rPr>
        <w:t>
      В птицеводстве будут приняты меры по стимулированию производства и потребления охлажденного мяса птицы, создания семейных и промышленных птицефабрик мясного направления, а также инкубаторных станций, глубокой переработки яиц.</w:t>
      </w:r>
    </w:p>
    <w:p>
      <w:pPr>
        <w:spacing w:after="0"/>
        <w:ind w:left="0"/>
        <w:jc w:val="both"/>
      </w:pPr>
      <w:r>
        <w:rPr>
          <w:rFonts w:ascii="Times New Roman"/>
          <w:b w:val="false"/>
          <w:i w:val="false"/>
          <w:color w:val="000000"/>
          <w:sz w:val="28"/>
        </w:rPr>
        <w:t>
      Через региональные программы будут стимулироваться нетрадиционные направления птицеводства (водоплавающая птица и перепела).</w:t>
      </w:r>
    </w:p>
    <w:p>
      <w:pPr>
        <w:spacing w:after="0"/>
        <w:ind w:left="0"/>
        <w:jc w:val="both"/>
      </w:pPr>
      <w:r>
        <w:rPr>
          <w:rFonts w:ascii="Times New Roman"/>
          <w:b w:val="false"/>
          <w:i w:val="false"/>
          <w:color w:val="000000"/>
          <w:sz w:val="28"/>
        </w:rPr>
        <w:t>
      Для повышения эффективности производства свинины будет обеспечена доступность племенного материала и приняты меры по стимулированию модернизации существующих свиноводческих комплексов и ферм.</w:t>
      </w:r>
    </w:p>
    <w:p>
      <w:pPr>
        <w:spacing w:after="0"/>
        <w:ind w:left="0"/>
        <w:jc w:val="both"/>
      </w:pPr>
      <w:r>
        <w:rPr>
          <w:rFonts w:ascii="Times New Roman"/>
          <w:b w:val="false"/>
          <w:i w:val="false"/>
          <w:color w:val="000000"/>
          <w:sz w:val="28"/>
        </w:rPr>
        <w:t>
      Для обеспечения внутреннего рынка и использования экспортного потенциала меда в пчеловодстве будут приняты меры по стимулированию модернизации материально-технической базы и селекционно-племенной работы в целях повышения продуктивности пчел. Будет проработан вопрос создания медоносно-кормовых конвейеров.</w:t>
      </w:r>
    </w:p>
    <w:p>
      <w:pPr>
        <w:spacing w:after="0"/>
        <w:ind w:left="0"/>
        <w:jc w:val="both"/>
      </w:pPr>
      <w:r>
        <w:rPr>
          <w:rFonts w:ascii="Times New Roman"/>
          <w:b w:val="false"/>
          <w:i w:val="false"/>
          <w:color w:val="000000"/>
          <w:sz w:val="28"/>
        </w:rPr>
        <w:t>
      Кроме того, будет актуализирована и гармонизирована нормативная правовая и нормативно-техническая база пчеловодства в соответствии с международными требованиями.</w:t>
      </w:r>
    </w:p>
    <w:p>
      <w:pPr>
        <w:spacing w:after="0"/>
        <w:ind w:left="0"/>
        <w:jc w:val="both"/>
      </w:pPr>
      <w:r>
        <w:rPr>
          <w:rFonts w:ascii="Times New Roman"/>
          <w:b w:val="false"/>
          <w:i w:val="false"/>
          <w:color w:val="000000"/>
          <w:sz w:val="28"/>
        </w:rPr>
        <w:t>
      Поддержка развития мараловодства, козоводства и кролиководства будет осуществляться в рамках региональных программ развития территорий и кредитования личных подсобных и фермерских хозяйств.</w:t>
      </w:r>
    </w:p>
    <w:p>
      <w:pPr>
        <w:spacing w:after="0"/>
        <w:ind w:left="0"/>
        <w:jc w:val="both"/>
      </w:pPr>
      <w:r>
        <w:rPr>
          <w:rFonts w:ascii="Times New Roman"/>
          <w:b w:val="false"/>
          <w:i w:val="false"/>
          <w:color w:val="000000"/>
          <w:sz w:val="28"/>
        </w:rPr>
        <w:t xml:space="preserve">
      В целях повышения продуктивности сельскохозяйственных животных и птиц будут приняты по созданию прочной кормовой базы, тесно связанной с зональными природно-климатическими условиями, к которым должна быть адаптирована структура животноводства данной местности. </w:t>
      </w:r>
    </w:p>
    <w:p>
      <w:pPr>
        <w:spacing w:after="0"/>
        <w:ind w:left="0"/>
        <w:jc w:val="both"/>
      </w:pPr>
      <w:r>
        <w:rPr>
          <w:rFonts w:ascii="Times New Roman"/>
          <w:b w:val="false"/>
          <w:i w:val="false"/>
          <w:color w:val="000000"/>
          <w:sz w:val="28"/>
        </w:rPr>
        <w:t>
      Для этого будут разработан страновой кормовой баланс и обновлены базовые рационы кормления сельскохозяйственных животных в региональном аспекте с учетом природно-климатических особенностей, а также определена оптимальная структура размещения посевов кормовых культур и перспективные кормовые и пастбищные культуры с оптимальной агротехникой.</w:t>
      </w:r>
    </w:p>
    <w:p>
      <w:pPr>
        <w:spacing w:after="0"/>
        <w:ind w:left="0"/>
        <w:jc w:val="both"/>
      </w:pPr>
      <w:r>
        <w:rPr>
          <w:rFonts w:ascii="Times New Roman"/>
          <w:b w:val="false"/>
          <w:i w:val="false"/>
          <w:color w:val="000000"/>
          <w:sz w:val="28"/>
        </w:rPr>
        <w:t>
      Кроме того, будут приняты меры по вовлечению в оборот залежных и бросовых земель путем стимулирования коренного и поверхностного улучшения естественных пастбищ, ограждения пастбищ и восстановления оросительных систем. Также будут приняты меры по повышению эффективности способов заготовки и хранения кормов.</w:t>
      </w:r>
    </w:p>
    <w:p>
      <w:pPr>
        <w:spacing w:after="0"/>
        <w:ind w:left="0"/>
        <w:jc w:val="both"/>
      </w:pPr>
      <w:r>
        <w:rPr>
          <w:rFonts w:ascii="Times New Roman"/>
          <w:b w:val="false"/>
          <w:i w:val="false"/>
          <w:color w:val="000000"/>
          <w:sz w:val="28"/>
        </w:rPr>
        <w:t>
      В рамках развития кормопроизводства и семеноводства будет разработан и реализован механизм обеспечения загруженности комбикормовых предприятий и стимулирования использования комбикормов.</w:t>
      </w:r>
    </w:p>
    <w:p>
      <w:pPr>
        <w:spacing w:after="0"/>
        <w:ind w:left="0"/>
        <w:jc w:val="both"/>
      </w:pPr>
      <w:r>
        <w:rPr>
          <w:rFonts w:ascii="Times New Roman"/>
          <w:b w:val="false"/>
          <w:i w:val="false"/>
          <w:color w:val="000000"/>
          <w:sz w:val="28"/>
        </w:rPr>
        <w:t>
      Также, производство продуктов питания, как приоритетный сектор, будет обеспечено системными и адресными мерами государственной поддержки в рамках Государственной программы индустриально-инновационного развития РК на 2015 – 2019 годы, включая привлечение иностранных инвесторов и продвижение экспорта.</w:t>
      </w:r>
    </w:p>
    <w:p>
      <w:pPr>
        <w:spacing w:after="0"/>
        <w:ind w:left="0"/>
        <w:jc w:val="left"/>
      </w:pPr>
      <w:r>
        <w:rPr>
          <w:rFonts w:ascii="Times New Roman"/>
          <w:b/>
          <w:i w:val="false"/>
          <w:color w:val="000000"/>
        </w:rPr>
        <w:t xml:space="preserve"> Производство и оборот органической продукции</w:t>
      </w:r>
    </w:p>
    <w:p>
      <w:pPr>
        <w:spacing w:after="0"/>
        <w:ind w:left="0"/>
        <w:jc w:val="both"/>
      </w:pPr>
      <w:r>
        <w:rPr>
          <w:rFonts w:ascii="Times New Roman"/>
          <w:b w:val="false"/>
          <w:i w:val="false"/>
          <w:color w:val="000000"/>
          <w:sz w:val="28"/>
        </w:rPr>
        <w:t>
      В целях совершенствования регулирования производства и оборота органической сельскохозяйственной продукции будут приняты меры по совершенствованию национального законодательства в области производства и оборота органической продукции, в частности, созданию и аккредитации национальных органов по подтверждению соответствия и контроля органической продукции по национальным и международным нормам.</w:t>
      </w:r>
    </w:p>
    <w:p>
      <w:pPr>
        <w:spacing w:after="0"/>
        <w:ind w:left="0"/>
        <w:jc w:val="both"/>
      </w:pPr>
      <w:r>
        <w:rPr>
          <w:rFonts w:ascii="Times New Roman"/>
          <w:b w:val="false"/>
          <w:i w:val="false"/>
          <w:color w:val="000000"/>
          <w:sz w:val="28"/>
        </w:rPr>
        <w:t>
      Также будут гармонизированы правила (стандарты) производства, оборота и сертификации органической продукции с международными нормами и требованиями, а также законодательством стран – импортеров органической продукции Казахстана и разработаны нормативно-технические документы по производству и применению биологических средств защиты растений, почвоулучшителей, стимуляторов роста и других биопрепаратов, применяемых в органическом производстве.</w:t>
      </w:r>
    </w:p>
    <w:p>
      <w:pPr>
        <w:spacing w:after="0"/>
        <w:ind w:left="0"/>
        <w:jc w:val="both"/>
      </w:pPr>
      <w:r>
        <w:rPr>
          <w:rFonts w:ascii="Times New Roman"/>
          <w:b w:val="false"/>
          <w:i w:val="false"/>
          <w:color w:val="000000"/>
          <w:sz w:val="28"/>
        </w:rPr>
        <w:t>
      Будет внедрена статистическая отчетность о производстве, реализации, экспорте и импорте органической продукции.</w:t>
      </w:r>
    </w:p>
    <w:p>
      <w:pPr>
        <w:spacing w:after="0"/>
        <w:ind w:left="0"/>
        <w:jc w:val="both"/>
      </w:pPr>
      <w:r>
        <w:rPr>
          <w:rFonts w:ascii="Times New Roman"/>
          <w:b w:val="false"/>
          <w:i w:val="false"/>
          <w:color w:val="000000"/>
          <w:sz w:val="28"/>
        </w:rPr>
        <w:t>
      Для стимулирования спроса на казахстанскую органическую продукцию на внутреннем и внешних рынках и популяризацию продукции органического производства будут организованы информационно-пропагандистские мероприятия, представление и защита интересов казахстанского органического сектора на международном уровне, в том числе на международных выставках, торговых площадок и форумах по органическому производству, также будет оказано содействие в создании модельных хозяйств для демонстрации технологий, практик, методов органического производства и кооперации органических производителей.</w:t>
      </w:r>
    </w:p>
    <w:p>
      <w:pPr>
        <w:spacing w:after="0"/>
        <w:ind w:left="0"/>
        <w:jc w:val="left"/>
      </w:pPr>
      <w:r>
        <w:rPr>
          <w:rFonts w:ascii="Times New Roman"/>
          <w:b/>
          <w:i w:val="false"/>
          <w:color w:val="000000"/>
        </w:rPr>
        <w:t xml:space="preserve"> Переработка сельскохозяйственной продукции и пищевая промышленность</w:t>
      </w:r>
    </w:p>
    <w:p>
      <w:pPr>
        <w:spacing w:after="0"/>
        <w:ind w:left="0"/>
        <w:jc w:val="both"/>
      </w:pPr>
      <w:r>
        <w:rPr>
          <w:rFonts w:ascii="Times New Roman"/>
          <w:b w:val="false"/>
          <w:i w:val="false"/>
          <w:color w:val="000000"/>
          <w:sz w:val="28"/>
        </w:rPr>
        <w:t xml:space="preserve">
      В целях обеспечения максимальной загрузки перерабатывающих предприятий, увеличения доли переработки сельскохозяйственного сырья и повышения конкурентоспособности отечественной продукции на внутреннем и внешнем рынках будет принят комплекс мер. </w:t>
      </w:r>
    </w:p>
    <w:p>
      <w:pPr>
        <w:spacing w:after="0"/>
        <w:ind w:left="0"/>
        <w:jc w:val="both"/>
      </w:pPr>
      <w:r>
        <w:rPr>
          <w:rFonts w:ascii="Times New Roman"/>
          <w:b w:val="false"/>
          <w:i w:val="false"/>
          <w:color w:val="000000"/>
          <w:sz w:val="28"/>
        </w:rPr>
        <w:t>
      Будет сформирована система заготовок и поставок сельскохозяйственной продукции личных подсобных и мелких крестьянских (фермерских) хозяйств на перерабатывающие предприятия через сельскохозяйственную кооперацию.</w:t>
      </w:r>
    </w:p>
    <w:p>
      <w:pPr>
        <w:spacing w:after="0"/>
        <w:ind w:left="0"/>
        <w:jc w:val="both"/>
      </w:pPr>
      <w:r>
        <w:rPr>
          <w:rFonts w:ascii="Times New Roman"/>
          <w:b w:val="false"/>
          <w:i w:val="false"/>
          <w:color w:val="000000"/>
          <w:sz w:val="28"/>
        </w:rPr>
        <w:t>
      Будет продолжено субсидирование инвестиционных затрат при строительстве и модернизации предприятий по переработке сельскохозяйственной продукции и пищевой промышленности с современным оборудованием, ориентированных на выпуск конкурентоспособной экспортоориентированной продукции.</w:t>
      </w:r>
    </w:p>
    <w:p>
      <w:pPr>
        <w:spacing w:after="0"/>
        <w:ind w:left="0"/>
        <w:jc w:val="both"/>
      </w:pPr>
      <w:r>
        <w:rPr>
          <w:rFonts w:ascii="Times New Roman"/>
          <w:b w:val="false"/>
          <w:i w:val="false"/>
          <w:color w:val="000000"/>
          <w:sz w:val="28"/>
        </w:rPr>
        <w:t>
      Будет стимулировано создание отечественного и экспортного бренда продукции переработки сельскохозяйственного сырья и пищевой промышленности, поддержка экспорта продукции переработки и пищевой промышленности с высокой добавленной стоимостью в приоритетном порядке.</w:t>
      </w:r>
    </w:p>
    <w:p>
      <w:pPr>
        <w:spacing w:after="0"/>
        <w:ind w:left="0"/>
        <w:jc w:val="both"/>
      </w:pPr>
      <w:r>
        <w:rPr>
          <w:rFonts w:ascii="Times New Roman"/>
          <w:b w:val="false"/>
          <w:i w:val="false"/>
          <w:color w:val="000000"/>
          <w:sz w:val="28"/>
        </w:rPr>
        <w:t>
      Будут реализованы меры по организации сертификации по международным требованиям предприятий по переработке сельскохозяйственной продукции и пищевой промышленности, ориентированных на экспорт, также обучению и повышению квалификации руководителей и специалистов предприятий по переработке сельскохозяйственной продукции и пищевой промышленности.</w:t>
      </w:r>
    </w:p>
    <w:p>
      <w:pPr>
        <w:spacing w:after="0"/>
        <w:ind w:left="0"/>
        <w:jc w:val="both"/>
      </w:pPr>
      <w:r>
        <w:rPr>
          <w:rFonts w:ascii="Times New Roman"/>
          <w:b w:val="false"/>
          <w:i w:val="false"/>
          <w:color w:val="000000"/>
          <w:sz w:val="28"/>
        </w:rPr>
        <w:t>
      Будет разработана и внедрена система прослеживаемости продукции животноводства и растениеводства.</w:t>
      </w:r>
    </w:p>
    <w:p>
      <w:pPr>
        <w:spacing w:after="0"/>
        <w:ind w:left="0"/>
        <w:jc w:val="left"/>
      </w:pPr>
      <w:r>
        <w:rPr>
          <w:rFonts w:ascii="Times New Roman"/>
          <w:b/>
          <w:i w:val="false"/>
          <w:color w:val="000000"/>
        </w:rPr>
        <w:t xml:space="preserve"> Сельскохозяйственное машиностроение</w:t>
      </w:r>
    </w:p>
    <w:p>
      <w:pPr>
        <w:spacing w:after="0"/>
        <w:ind w:left="0"/>
        <w:jc w:val="both"/>
      </w:pPr>
      <w:r>
        <w:rPr>
          <w:rFonts w:ascii="Times New Roman"/>
          <w:b w:val="false"/>
          <w:i w:val="false"/>
          <w:color w:val="000000"/>
          <w:sz w:val="28"/>
        </w:rPr>
        <w:t>
      Сельскохозяйственное машиностроение будет обеспечено системными и адресными мерами государственной поддержки в рамках ГПИИР.</w:t>
      </w:r>
    </w:p>
    <w:p>
      <w:pPr>
        <w:spacing w:after="0"/>
        <w:ind w:left="0"/>
        <w:jc w:val="both"/>
      </w:pPr>
      <w:r>
        <w:rPr>
          <w:rFonts w:ascii="Times New Roman"/>
          <w:b w:val="false"/>
          <w:i w:val="false"/>
          <w:color w:val="000000"/>
          <w:sz w:val="28"/>
        </w:rPr>
        <w:t>
      Для развития сельскохозяйственного машиностроения также будут приняты такие меры, как заключение соглашений о производстве наиболее востребованных видов сельскохозяйственной техники и оборудования с высоким уровнем локализации и мониторинг их исполнения, обеспечение научно-технической и опытно-конструкторской инфраструктуры в рамках ГПИИР, стимулирование спроса путем субсидирования инвестиционных затрат СХТП, предоставление кредита и лизинга по линии АО "НУХ "КазАгро" с учетом реализации мер по организации производства наиболее востребованных видов сельскохозяйственной техники и оборудования с высоким уровнем локализации.</w:t>
      </w:r>
    </w:p>
    <w:p>
      <w:pPr>
        <w:spacing w:after="0"/>
        <w:ind w:left="0"/>
        <w:jc w:val="both"/>
      </w:pPr>
      <w:r>
        <w:rPr>
          <w:rFonts w:ascii="Times New Roman"/>
          <w:b w:val="false"/>
          <w:i w:val="false"/>
          <w:color w:val="000000"/>
          <w:sz w:val="28"/>
        </w:rPr>
        <w:t>
      Кроме того, будет проработан вопрос передачи функций в части регулирования вопросов сельскохозяйственного машиностроения от Министерства по инвестициям и развитию в МСХ РК.</w:t>
      </w:r>
    </w:p>
    <w:p>
      <w:pPr>
        <w:spacing w:after="0"/>
        <w:ind w:left="0"/>
        <w:jc w:val="left"/>
      </w:pPr>
      <w:r>
        <w:rPr>
          <w:rFonts w:ascii="Times New Roman"/>
          <w:b/>
          <w:i w:val="false"/>
          <w:color w:val="000000"/>
        </w:rPr>
        <w:t xml:space="preserve"> Производство агрохимической продукции</w:t>
      </w:r>
    </w:p>
    <w:p>
      <w:pPr>
        <w:spacing w:after="0"/>
        <w:ind w:left="0"/>
        <w:jc w:val="both"/>
      </w:pPr>
      <w:r>
        <w:rPr>
          <w:rFonts w:ascii="Times New Roman"/>
          <w:b w:val="false"/>
          <w:i w:val="false"/>
          <w:color w:val="000000"/>
          <w:sz w:val="28"/>
        </w:rPr>
        <w:t>
      Производство агрохимической продукции, как приоритетный сектор, будет обеспечено системными и адресными мерами государственной поддержки в рамках ГПИИР, включая создание регионального хаба по производству удобрений, привлечение иностранных инвесторов, модернизацию действующих предприятий и активизацию научно-исследовательских и опытно-конструкторских работ (далее – НИОКР) с целью освоения передовых агрохимических технологий.</w:t>
      </w:r>
    </w:p>
    <w:p>
      <w:pPr>
        <w:spacing w:after="0"/>
        <w:ind w:left="0"/>
        <w:jc w:val="left"/>
      </w:pPr>
      <w:r>
        <w:rPr>
          <w:rFonts w:ascii="Times New Roman"/>
          <w:b/>
          <w:i w:val="false"/>
          <w:color w:val="000000"/>
        </w:rPr>
        <w:t xml:space="preserve"> Совершенствование системы субсидирования</w:t>
      </w:r>
    </w:p>
    <w:p>
      <w:pPr>
        <w:spacing w:after="0"/>
        <w:ind w:left="0"/>
        <w:jc w:val="both"/>
      </w:pPr>
      <w:r>
        <w:rPr>
          <w:rFonts w:ascii="Times New Roman"/>
          <w:b w:val="false"/>
          <w:i w:val="false"/>
          <w:color w:val="000000"/>
          <w:sz w:val="28"/>
        </w:rPr>
        <w:t>
      В целях повышения эффективности субсидий и максимального охвата СХТП мерами государственной поддержки будет применяться более детальное определение критериев и нормативов субсидирования. В приоритетном порядке субсидии будут направляться на поддержку производства востребованной продукции.</w:t>
      </w:r>
    </w:p>
    <w:p>
      <w:pPr>
        <w:spacing w:after="0"/>
        <w:ind w:left="0"/>
        <w:jc w:val="both"/>
      </w:pPr>
      <w:r>
        <w:rPr>
          <w:rFonts w:ascii="Times New Roman"/>
          <w:b w:val="false"/>
          <w:i w:val="false"/>
          <w:color w:val="000000"/>
          <w:sz w:val="28"/>
        </w:rPr>
        <w:t>
      Общие меры совершенствования субсидирования. С 2017 года будут внедрены следующие изменения системы субсидирования:</w:t>
      </w:r>
    </w:p>
    <w:p>
      <w:pPr>
        <w:spacing w:after="0"/>
        <w:ind w:left="0"/>
        <w:jc w:val="both"/>
      </w:pPr>
      <w:r>
        <w:rPr>
          <w:rFonts w:ascii="Times New Roman"/>
          <w:b w:val="false"/>
          <w:i w:val="false"/>
          <w:color w:val="000000"/>
          <w:sz w:val="28"/>
        </w:rPr>
        <w:t>
      - преимущественный переход от субсидирования в относительном выражении, в процентах от стоимости товаров, работ и услуг к субсидированию в абсолютном, в стоимостном выражении;</w:t>
      </w:r>
    </w:p>
    <w:p>
      <w:pPr>
        <w:spacing w:after="0"/>
        <w:ind w:left="0"/>
        <w:jc w:val="both"/>
      </w:pPr>
      <w:r>
        <w:rPr>
          <w:rFonts w:ascii="Times New Roman"/>
          <w:b w:val="false"/>
          <w:i w:val="false"/>
          <w:color w:val="000000"/>
          <w:sz w:val="28"/>
        </w:rPr>
        <w:t>
      - оптимизация сроков выдачи субсидий в соответствии со сроками проведения технологических процессов в отрасли;</w:t>
      </w:r>
    </w:p>
    <w:p>
      <w:pPr>
        <w:spacing w:after="0"/>
        <w:ind w:left="0"/>
        <w:jc w:val="both"/>
      </w:pPr>
      <w:r>
        <w:rPr>
          <w:rFonts w:ascii="Times New Roman"/>
          <w:b w:val="false"/>
          <w:i w:val="false"/>
          <w:color w:val="000000"/>
          <w:sz w:val="28"/>
        </w:rPr>
        <w:t>
      -приоритетное субсидирование по следующим приоритетам: импортозамещение, экспортная ориентированность, прочие направления,по достижении показателя обеспечения внутреннего потребления уровень субсидирования будет сокращаться;</w:t>
      </w:r>
    </w:p>
    <w:p>
      <w:pPr>
        <w:spacing w:after="0"/>
        <w:ind w:left="0"/>
        <w:jc w:val="both"/>
      </w:pPr>
      <w:r>
        <w:rPr>
          <w:rFonts w:ascii="Times New Roman"/>
          <w:b w:val="false"/>
          <w:i w:val="false"/>
          <w:color w:val="000000"/>
          <w:sz w:val="28"/>
        </w:rPr>
        <w:t>
      - переход от субсидирования ставки вознаграждения к субсидированию инвестиционных затрат во избежание аккумулирования долгосрочных обязательств государства, за исключением субсидирования ставки вознаграждения по кредитам на пополнение оборотных средств со сроком кредитования до одного года;</w:t>
      </w:r>
    </w:p>
    <w:p>
      <w:pPr>
        <w:spacing w:after="0"/>
        <w:ind w:left="0"/>
        <w:jc w:val="both"/>
      </w:pPr>
      <w:r>
        <w:rPr>
          <w:rFonts w:ascii="Times New Roman"/>
          <w:b w:val="false"/>
          <w:i w:val="false"/>
          <w:color w:val="000000"/>
          <w:sz w:val="28"/>
        </w:rPr>
        <w:t>
      - осуществление субсидирования отдельных видов продукции АПК, имеющих важное региональное значение, за счет средств МБ по правилам, разрабатываемым уполномоченным органом.</w:t>
      </w:r>
    </w:p>
    <w:p>
      <w:pPr>
        <w:spacing w:after="0"/>
        <w:ind w:left="0"/>
        <w:jc w:val="both"/>
      </w:pPr>
      <w:r>
        <w:rPr>
          <w:rFonts w:ascii="Times New Roman"/>
          <w:b w:val="false"/>
          <w:i w:val="false"/>
          <w:color w:val="000000"/>
          <w:sz w:val="28"/>
        </w:rPr>
        <w:t>
      В дальнейшем система субсидирования претерпит следующие кардинальные изменения:</w:t>
      </w:r>
    </w:p>
    <w:p>
      <w:pPr>
        <w:spacing w:after="0"/>
        <w:ind w:left="0"/>
        <w:jc w:val="both"/>
      </w:pPr>
      <w:r>
        <w:rPr>
          <w:rFonts w:ascii="Times New Roman"/>
          <w:b w:val="false"/>
          <w:i w:val="false"/>
          <w:color w:val="000000"/>
          <w:sz w:val="28"/>
        </w:rPr>
        <w:t>
      -поэтапное внедрение автоматизированной системы рассмотрения всех заявок на субсидирование, ведения мониторинга и консолидации данных по получателям;</w:t>
      </w:r>
    </w:p>
    <w:p>
      <w:pPr>
        <w:spacing w:after="0"/>
        <w:ind w:left="0"/>
        <w:jc w:val="both"/>
      </w:pPr>
      <w:r>
        <w:rPr>
          <w:rFonts w:ascii="Times New Roman"/>
          <w:b w:val="false"/>
          <w:i w:val="false"/>
          <w:color w:val="000000"/>
          <w:sz w:val="28"/>
        </w:rPr>
        <w:t>
      -переход от субсидирования отдельных видов затрат к политике комплексного субсидирования предприятия на основе его производственных показателей и мониторинга эффективности выплачиваемых субсидий;</w:t>
      </w:r>
    </w:p>
    <w:p>
      <w:pPr>
        <w:spacing w:after="0"/>
        <w:ind w:left="0"/>
        <w:jc w:val="both"/>
      </w:pPr>
      <w:r>
        <w:rPr>
          <w:rFonts w:ascii="Times New Roman"/>
          <w:b w:val="false"/>
          <w:i w:val="false"/>
          <w:color w:val="000000"/>
          <w:sz w:val="28"/>
        </w:rPr>
        <w:t>
      -кардинальное уменьшение видов выдаваемых субсидий и запрашиваемых у субъектов АПК документов;</w:t>
      </w:r>
    </w:p>
    <w:p>
      <w:pPr>
        <w:spacing w:after="0"/>
        <w:ind w:left="0"/>
        <w:jc w:val="both"/>
      </w:pPr>
      <w:r>
        <w:rPr>
          <w:rFonts w:ascii="Times New Roman"/>
          <w:b w:val="false"/>
          <w:i w:val="false"/>
          <w:color w:val="000000"/>
          <w:sz w:val="28"/>
        </w:rPr>
        <w:t xml:space="preserve">
      - в целях повышения эффективности субсидий и расширения охвата СХТП мерами государственной поддержки будет применено более детальное определение нормативов и критериев субсидирования. </w:t>
      </w:r>
    </w:p>
    <w:p>
      <w:pPr>
        <w:spacing w:after="0"/>
        <w:ind w:left="0"/>
        <w:jc w:val="both"/>
      </w:pPr>
      <w:r>
        <w:rPr>
          <w:rFonts w:ascii="Times New Roman"/>
          <w:b w:val="false"/>
          <w:i w:val="false"/>
          <w:color w:val="000000"/>
          <w:sz w:val="28"/>
        </w:rPr>
        <w:t xml:space="preserve">
      Кроме того, передача функций оператора в конкурентную среду по некоторым видам субсидирования (финансовое оздоровление, инвестиционное субсидирование) показала разный подход местных исполнительных органов в выборе оператора, определении стоимости их услуг, выполнении функций оператора, таким образом велся некачественный и разнообразный подход к мониторингу, предусмотренному правилами субсидирования, нарушались сроки представления отчетности. </w:t>
      </w:r>
    </w:p>
    <w:p>
      <w:pPr>
        <w:spacing w:after="0"/>
        <w:ind w:left="0"/>
        <w:jc w:val="both"/>
      </w:pPr>
      <w:r>
        <w:rPr>
          <w:rFonts w:ascii="Times New Roman"/>
          <w:b w:val="false"/>
          <w:i w:val="false"/>
          <w:color w:val="000000"/>
          <w:sz w:val="28"/>
        </w:rPr>
        <w:t>
      Учитывая необходимость единообразного подхода к реализации мер государственной поддержки, по некоторым видам субсидирования (финансовое оздоровление, инвестиционное субсидирование) будет привлекаться единый оператор из числа специализированных организаций.По некоторым видам субсидий будут исключены функции оператора с перенаправлением средств на оплату его услуг на выплату субсидий.</w:t>
      </w:r>
    </w:p>
    <w:p>
      <w:pPr>
        <w:spacing w:after="0"/>
        <w:ind w:left="0"/>
        <w:jc w:val="both"/>
      </w:pPr>
      <w:r>
        <w:rPr>
          <w:rFonts w:ascii="Times New Roman"/>
          <w:b w:val="false"/>
          <w:i w:val="false"/>
          <w:color w:val="000000"/>
          <w:sz w:val="28"/>
        </w:rPr>
        <w:t>
      Изменения в субсидировании в растениеводстве и переработке растениеводческой продукции будут направлены на стимулирование внедрения новых технологий, использование при посеве высококачественного семенного материала, масштабное применение минеральных удобрений, средств защиты растений, приобретение высокопроизводительной сельскохозяйственной техники и оборудования, т.е. факторов, прямо влияющих на повышение урожайности и качества продукции, соответственно, достижение максимального эффекта от производства. Это позволит обеспечить загрузку перерабатывающих мощностей, увеличить производство продукции с высокой добавленной стоимостью, ориентированной на экспорт, достичь импортозамещения по растительному маслу и сахару.</w:t>
      </w:r>
    </w:p>
    <w:p>
      <w:pPr>
        <w:spacing w:after="0"/>
        <w:ind w:left="0"/>
        <w:jc w:val="both"/>
      </w:pPr>
      <w:r>
        <w:rPr>
          <w:rFonts w:ascii="Times New Roman"/>
          <w:b w:val="false"/>
          <w:i w:val="false"/>
          <w:color w:val="000000"/>
          <w:sz w:val="28"/>
        </w:rPr>
        <w:t xml:space="preserve">
      По субсидированию минеральных удобрений и пестицидов будут изменены критерии и механизмы в части перехода от установления норм субсидий в процентном выражении к абсолютному нормативу в тенге вне зависимости от страны происхождения. Кроме того, будет создана законодательная основа для субсидирования не только гербицидов, но и инсектицидов, фунгицидов, дефолиантов и других видов пестицидов. Переход к абсолютному нормативу позволит снизить риски необоснованного повышения цен, стимулировать приобретение и расширение ассортимента применяемых удобрений и пестицидов. </w:t>
      </w:r>
    </w:p>
    <w:p>
      <w:pPr>
        <w:spacing w:after="0"/>
        <w:ind w:left="0"/>
        <w:jc w:val="both"/>
      </w:pPr>
      <w:r>
        <w:rPr>
          <w:rFonts w:ascii="Times New Roman"/>
          <w:b w:val="false"/>
          <w:i w:val="false"/>
          <w:color w:val="000000"/>
          <w:sz w:val="28"/>
        </w:rPr>
        <w:t xml:space="preserve">
      В семеноводстве будут возобновлено субсидирование оригинальных и элитных семян, изменен механизм субсидирования семян первой репродукции (без минимальных норм и только по приоритетным культурам) и элитных саженцев плодово-ягодных культур и винограда (приобретение, вместо реализации) при продолжении субсидирования гибридов первого поколения. </w:t>
      </w:r>
    </w:p>
    <w:p>
      <w:pPr>
        <w:spacing w:after="0"/>
        <w:ind w:left="0"/>
        <w:jc w:val="both"/>
      </w:pPr>
      <w:r>
        <w:rPr>
          <w:rFonts w:ascii="Times New Roman"/>
          <w:b w:val="false"/>
          <w:i w:val="false"/>
          <w:color w:val="000000"/>
          <w:sz w:val="28"/>
        </w:rPr>
        <w:t xml:space="preserve">
      Для зерновых будет исключен действующий порядок субсидирования на гектар с переходом на кредитование весенне-полевых работ АО "Аграрная кредитная корпорация" и форвардный закуп АО "НК "Продкорпорация". АО "НК "Продкорпорация" выступит в качестве оператора форвардного закупа для получения конкретного объема и перечня культур с последующей реализацией комбикормовым заводам либо на переработку. </w:t>
      </w:r>
    </w:p>
    <w:p>
      <w:pPr>
        <w:spacing w:after="0"/>
        <w:ind w:left="0"/>
        <w:jc w:val="both"/>
      </w:pPr>
      <w:r>
        <w:rPr>
          <w:rFonts w:ascii="Times New Roman"/>
          <w:b w:val="false"/>
          <w:i w:val="false"/>
          <w:color w:val="000000"/>
          <w:sz w:val="28"/>
        </w:rPr>
        <w:t xml:space="preserve">
      Для кормовых культур, хлопчатника, риса и овощей защищенного грунта субсидирование на 1 гектар будет продолжено с сохранением базовых субсидий (семена, минеральные удобрения, пестициды). </w:t>
      </w:r>
    </w:p>
    <w:p>
      <w:pPr>
        <w:spacing w:after="0"/>
        <w:ind w:left="0"/>
        <w:jc w:val="both"/>
      </w:pPr>
      <w:r>
        <w:rPr>
          <w:rFonts w:ascii="Times New Roman"/>
          <w:b w:val="false"/>
          <w:i w:val="false"/>
          <w:color w:val="000000"/>
          <w:sz w:val="28"/>
        </w:rPr>
        <w:t xml:space="preserve">
      Кроме того, для теплиц будет изменен механизм погектарного субсидирования с применением дифференцированного подхода выплаты субсидии в зависимости от года введения в эксплуатацию теплиц и применяемых технологий. </w:t>
      </w:r>
    </w:p>
    <w:p>
      <w:pPr>
        <w:spacing w:after="0"/>
        <w:ind w:left="0"/>
        <w:jc w:val="both"/>
      </w:pPr>
      <w:r>
        <w:rPr>
          <w:rFonts w:ascii="Times New Roman"/>
          <w:b w:val="false"/>
          <w:i w:val="false"/>
          <w:color w:val="000000"/>
          <w:sz w:val="28"/>
        </w:rPr>
        <w:t>
      Для стимулирования производства продукции (плоды, овощи, картофель) будет производиться субсидирование с учетом фактических объемов производства путем предоставления возможности получения субсидий через объединения в кооперативы.</w:t>
      </w:r>
    </w:p>
    <w:p>
      <w:pPr>
        <w:spacing w:after="0"/>
        <w:ind w:left="0"/>
        <w:jc w:val="both"/>
      </w:pPr>
      <w:r>
        <w:rPr>
          <w:rFonts w:ascii="Times New Roman"/>
          <w:b w:val="false"/>
          <w:i w:val="false"/>
          <w:color w:val="000000"/>
          <w:sz w:val="28"/>
        </w:rPr>
        <w:t>
      В целях обеспечения сырьем и загрузки мощностей перерабатывающих предприятий будет введен новый механизм субсидирования стоимости 1 тонны маслосемян и сахарной свеклы.</w:t>
      </w:r>
    </w:p>
    <w:p>
      <w:pPr>
        <w:spacing w:after="0"/>
        <w:ind w:left="0"/>
        <w:jc w:val="both"/>
      </w:pPr>
      <w:r>
        <w:rPr>
          <w:rFonts w:ascii="Times New Roman"/>
          <w:b w:val="false"/>
          <w:i w:val="false"/>
          <w:color w:val="000000"/>
          <w:sz w:val="28"/>
        </w:rPr>
        <w:t>
      Кроме того, будет продолжено субсидирование стоимости услуг по подаче воды СХТП.</w:t>
      </w:r>
    </w:p>
    <w:p>
      <w:pPr>
        <w:spacing w:after="0"/>
        <w:ind w:left="0"/>
        <w:jc w:val="both"/>
      </w:pPr>
      <w:r>
        <w:rPr>
          <w:rFonts w:ascii="Times New Roman"/>
          <w:b w:val="false"/>
          <w:i w:val="false"/>
          <w:color w:val="000000"/>
          <w:sz w:val="28"/>
        </w:rPr>
        <w:t>
      Изменения субсидирования в животноводстве будут направлены на обеспечение максимальной эффективности мер государственной поддержки отрасли по приоритетным направлениям.</w:t>
      </w:r>
    </w:p>
    <w:p>
      <w:pPr>
        <w:spacing w:after="0"/>
        <w:ind w:left="0"/>
        <w:jc w:val="both"/>
      </w:pPr>
      <w:r>
        <w:rPr>
          <w:rFonts w:ascii="Times New Roman"/>
          <w:b w:val="false"/>
          <w:i w:val="false"/>
          <w:color w:val="000000"/>
          <w:sz w:val="28"/>
        </w:rPr>
        <w:t>
      В скотоводстве будет переход от субсидирования маточного поголовья к субсидированию маточного поголовья с приплодом в привязке к проценту выхода.</w:t>
      </w:r>
    </w:p>
    <w:p>
      <w:pPr>
        <w:spacing w:after="0"/>
        <w:ind w:left="0"/>
        <w:jc w:val="both"/>
      </w:pPr>
      <w:r>
        <w:rPr>
          <w:rFonts w:ascii="Times New Roman"/>
          <w:b w:val="false"/>
          <w:i w:val="false"/>
          <w:color w:val="000000"/>
          <w:sz w:val="28"/>
        </w:rPr>
        <w:t>
      Для обеспечения равного доступа к субсидированию произведенной продукции (говядина, молоко, мясо птицы, пищевое яйцо, свинина) будут пересмотрены критерии, снижены пороги и дифференцированы нормативы с учетом фактических объемов производства, а также предоставлена возможность получения субсидий через объединения в кооперативы.</w:t>
      </w:r>
    </w:p>
    <w:p>
      <w:pPr>
        <w:spacing w:after="0"/>
        <w:ind w:left="0"/>
        <w:jc w:val="both"/>
      </w:pPr>
      <w:r>
        <w:rPr>
          <w:rFonts w:ascii="Times New Roman"/>
          <w:b w:val="false"/>
          <w:i w:val="false"/>
          <w:color w:val="000000"/>
          <w:sz w:val="28"/>
        </w:rPr>
        <w:t>
      Для повышения доступности племенного молодняка молочного направления, племенного молодняка свиней, суточных цыплят и племенного яйца родительской и прародительской формы будут увеличены нормативы субсидирования.</w:t>
      </w:r>
    </w:p>
    <w:p>
      <w:pPr>
        <w:spacing w:after="0"/>
        <w:ind w:left="0"/>
        <w:jc w:val="both"/>
      </w:pPr>
      <w:r>
        <w:rPr>
          <w:rFonts w:ascii="Times New Roman"/>
          <w:b w:val="false"/>
          <w:i w:val="false"/>
          <w:color w:val="000000"/>
          <w:sz w:val="28"/>
        </w:rPr>
        <w:t xml:space="preserve">
      Для развития приоритетных продуктивных направлений овцеводства (тонкорунное овцеводство) будут дифференцированы нормативы субсидирования селекционно-племенной работы и приобретения племенного молодняка, а также осуществлен переход от субсидирования баранины к субсидированию ягнятины с учетом ее экспортного потенциала. </w:t>
      </w:r>
    </w:p>
    <w:p>
      <w:pPr>
        <w:spacing w:after="0"/>
        <w:ind w:left="0"/>
        <w:jc w:val="both"/>
      </w:pPr>
      <w:r>
        <w:rPr>
          <w:rFonts w:ascii="Times New Roman"/>
          <w:b w:val="false"/>
          <w:i w:val="false"/>
          <w:color w:val="000000"/>
          <w:sz w:val="28"/>
        </w:rPr>
        <w:t xml:space="preserve">
      Процессы породного преобразования скота будут регулироваться через откормочные площадки. </w:t>
      </w:r>
    </w:p>
    <w:p>
      <w:pPr>
        <w:spacing w:after="0"/>
        <w:ind w:left="0"/>
        <w:jc w:val="both"/>
      </w:pPr>
      <w:r>
        <w:rPr>
          <w:rFonts w:ascii="Times New Roman"/>
          <w:b w:val="false"/>
          <w:i w:val="false"/>
          <w:color w:val="000000"/>
          <w:sz w:val="28"/>
        </w:rPr>
        <w:t>
      Субсидирование отраслей животноводства, имеющих региональное значение (верблюдоводство, коневодство, мараловодство, пчеловодство, козоводство), будет осуществляться за счет средств МБ на основе корректировки программ развития территорий с учетом схемы специализации регионов.</w:t>
      </w:r>
    </w:p>
    <w:p>
      <w:pPr>
        <w:spacing w:after="0"/>
        <w:ind w:left="0"/>
        <w:jc w:val="both"/>
      </w:pPr>
      <w:r>
        <w:rPr>
          <w:rFonts w:ascii="Times New Roman"/>
          <w:b w:val="false"/>
          <w:i w:val="false"/>
          <w:color w:val="000000"/>
          <w:sz w:val="28"/>
        </w:rPr>
        <w:t xml:space="preserve">
      Для достижения целевых показателей аквакультуры будет реализовано субсидирование затрат на осуществление инвестиций в организацию новых и расширение производственной мощности действующих рыбоводных предприятий (озерно-товарные рыбоводные хозяйства, садковые хозяйства, рыбоводные хозяйства с применением установок замкнутого водоснабжения) и субсидирование стоимости затрат на корма при выращивании осетровых, лососевых и карповых видов рыб в рыбоводных хозяйствах (прудовых, бассейновых, садковых, рыбоводных хозяйствах с применением установок замкнутого водоснабжения, озерно-товарных рыбоводных хозяйствах). </w:t>
      </w:r>
    </w:p>
    <w:p>
      <w:pPr>
        <w:spacing w:after="0"/>
        <w:ind w:left="0"/>
        <w:jc w:val="both"/>
      </w:pPr>
      <w:r>
        <w:rPr>
          <w:rFonts w:ascii="Times New Roman"/>
          <w:b w:val="false"/>
          <w:i w:val="false"/>
          <w:color w:val="000000"/>
          <w:sz w:val="28"/>
        </w:rPr>
        <w:t xml:space="preserve">
      Финансовое оздоровление субъектов АПК будет осуществляться по ранее принятым обязательствам. </w:t>
      </w:r>
    </w:p>
    <w:p>
      <w:pPr>
        <w:spacing w:after="0"/>
        <w:ind w:left="0"/>
        <w:jc w:val="both"/>
      </w:pPr>
      <w:r>
        <w:rPr>
          <w:rFonts w:ascii="Times New Roman"/>
          <w:b w:val="false"/>
          <w:i w:val="false"/>
          <w:color w:val="000000"/>
          <w:sz w:val="28"/>
        </w:rPr>
        <w:t>
      Кроме того, будут внесены изменения в Правила субсидирования процентной ставки по кредитным и лизинговым обязательствам в рамках финансового оздоровления субъектов АПК в части установления требований к исполнению плана финансового оздоровления. Субъекты АПК, допустившие просрочку по платежам свыше 90 календарных дней, будут незамедлительно исключены из программы финансового оздоровления.</w:t>
      </w:r>
    </w:p>
    <w:p>
      <w:pPr>
        <w:spacing w:after="0"/>
        <w:ind w:left="0"/>
        <w:jc w:val="both"/>
      </w:pPr>
      <w:r>
        <w:rPr>
          <w:rFonts w:ascii="Times New Roman"/>
          <w:b w:val="false"/>
          <w:i w:val="false"/>
          <w:color w:val="000000"/>
          <w:sz w:val="28"/>
        </w:rPr>
        <w:t>
      Практика показала, что субсидирование ставок вознаграждения по кредитам и лизингу, за исключением кредитов на пополнение оборотных средств, не привело к резкому притоку инвестиций из банковского сектора.</w:t>
      </w:r>
    </w:p>
    <w:p>
      <w:pPr>
        <w:spacing w:after="0"/>
        <w:ind w:left="0"/>
        <w:jc w:val="both"/>
      </w:pPr>
      <w:r>
        <w:rPr>
          <w:rFonts w:ascii="Times New Roman"/>
          <w:b w:val="false"/>
          <w:i w:val="false"/>
          <w:color w:val="000000"/>
          <w:sz w:val="28"/>
        </w:rPr>
        <w:t>
      Субсидирование ставки вознаграждения по кредитам и лизингу, за исключением кредитов на пополнение оборотных средств, будет осуществляться только по договорам займа, уже включенным в Программу "Агробизнес – 2017" в 2014 – 2016 годах. Использование кредитных ресурсов, в том числе и на цели пополнения оборотных средств и лизинга, будет возможно через дочерние организации АО "НУХ "КазАгро", кредитные товарищества и кооперативы, микрофинансовые организации, а также программы поддержки, реализуемые АО "Фонд развития предпринимательства "Даму".</w:t>
      </w:r>
    </w:p>
    <w:p>
      <w:pPr>
        <w:spacing w:after="0"/>
        <w:ind w:left="0"/>
        <w:jc w:val="both"/>
      </w:pPr>
      <w:r>
        <w:rPr>
          <w:rFonts w:ascii="Times New Roman"/>
          <w:b w:val="false"/>
          <w:i w:val="false"/>
          <w:color w:val="000000"/>
          <w:sz w:val="28"/>
        </w:rPr>
        <w:t>
      В этой связи, начиная с 2017 года будет осуществлен переход от субсидирования ставок вознаграждения по кредитам и лизингу со сроками кредитования 2 и более лет, за исключением кредитов на пополнение оборотных средств, к субсидированию инвестиционных затрат субъектов АПК с сохранением субсидирования ставки вознаграждения по кредитам на пополнение оборотных средств со сроком кредитования до одного года. При этом высвобождаемые средства будут направляться на инвестиционное субсидирование, что позволит удовлетворить потребность инвесторов – субъектов АПК.</w:t>
      </w:r>
    </w:p>
    <w:p>
      <w:pPr>
        <w:spacing w:after="0"/>
        <w:ind w:left="0"/>
        <w:jc w:val="both"/>
      </w:pPr>
      <w:r>
        <w:rPr>
          <w:rFonts w:ascii="Times New Roman"/>
          <w:b w:val="false"/>
          <w:i w:val="false"/>
          <w:color w:val="000000"/>
          <w:sz w:val="28"/>
        </w:rPr>
        <w:t>
      При этом будет установлена обязательная норма для субъекта АПК, участвующего в инвестиционном субсидировании, в первоочередном порядке погашать основной долг по кредиту/лизингу техники и технологического оборудования, а также будут ужесточены Правила субсидирования в части незамедлительного прекращения субсидирования ставок вознаграждения в случаях допущения субъектами АПК просроченной задолженности более 90 календарных дней.</w:t>
      </w:r>
    </w:p>
    <w:p>
      <w:pPr>
        <w:spacing w:after="0"/>
        <w:ind w:left="0"/>
        <w:jc w:val="both"/>
      </w:pPr>
      <w:r>
        <w:rPr>
          <w:rFonts w:ascii="Times New Roman"/>
          <w:b w:val="false"/>
          <w:i w:val="false"/>
          <w:color w:val="000000"/>
          <w:sz w:val="28"/>
        </w:rPr>
        <w:t xml:space="preserve">
      Субсидирование инвестиционных затрат будет ориентировано на предоставление наиболее эффективной и востребованной меры государственной поддержки, направленной на удешевление инвестиционных затрат и снижение сроков окупаемости инвестиционных проектов. </w:t>
      </w:r>
    </w:p>
    <w:p>
      <w:pPr>
        <w:spacing w:after="0"/>
        <w:ind w:left="0"/>
        <w:jc w:val="both"/>
      </w:pPr>
      <w:r>
        <w:rPr>
          <w:rFonts w:ascii="Times New Roman"/>
          <w:b w:val="false"/>
          <w:i w:val="false"/>
          <w:color w:val="000000"/>
          <w:sz w:val="28"/>
        </w:rPr>
        <w:t>
      Дальнейшая реализация программы инвестиционного субсидирования будет основана на разработке новой редакции Правил субсидирования по возмещению части расходов, понесенных субъектом АПК, при инвестиционных вложениях, предусматривающей:</w:t>
      </w:r>
    </w:p>
    <w:p>
      <w:pPr>
        <w:spacing w:after="0"/>
        <w:ind w:left="0"/>
        <w:jc w:val="both"/>
      </w:pPr>
      <w:r>
        <w:rPr>
          <w:rFonts w:ascii="Times New Roman"/>
          <w:b w:val="false"/>
          <w:i w:val="false"/>
          <w:color w:val="000000"/>
          <w:sz w:val="28"/>
        </w:rPr>
        <w:t>
      - пересмотр приоритетности в пользу субсидирования сельскохозяйственных кооперативов, реализующих проекты по молокоприемным пунктам, убойным пунктам, пунктам приема и хранения плодов, овощей и картофеля, птицеводству, миникомбикормовым заводам, СЗЦ, приобретению сельскохозяйственной техники и др. с целью большего охвата средних и мелких СХТП;</w:t>
      </w:r>
    </w:p>
    <w:p>
      <w:pPr>
        <w:spacing w:after="0"/>
        <w:ind w:left="0"/>
        <w:jc w:val="both"/>
      </w:pPr>
      <w:r>
        <w:rPr>
          <w:rFonts w:ascii="Times New Roman"/>
          <w:b w:val="false"/>
          <w:i w:val="false"/>
          <w:color w:val="000000"/>
          <w:sz w:val="28"/>
        </w:rPr>
        <w:t>
      - исключение субсидирования ретроспективных инвестиционных проектов (реализованных до 1 января 2016 года);</w:t>
      </w:r>
    </w:p>
    <w:p>
      <w:pPr>
        <w:spacing w:after="0"/>
        <w:ind w:left="0"/>
        <w:jc w:val="both"/>
      </w:pPr>
      <w:r>
        <w:rPr>
          <w:rFonts w:ascii="Times New Roman"/>
          <w:b w:val="false"/>
          <w:i w:val="false"/>
          <w:color w:val="000000"/>
          <w:sz w:val="28"/>
        </w:rPr>
        <w:t>
      - внедрение обязательного согласования субсидирования крупных инвестиционных проектов по строительству новых и расширению действующих производственных мощностей с МСХ в целях эффективной реализации отраслевой политики, эффективного распределения бюджетных средств;</w:t>
      </w:r>
    </w:p>
    <w:p>
      <w:pPr>
        <w:spacing w:after="0"/>
        <w:ind w:left="0"/>
        <w:jc w:val="both"/>
      </w:pPr>
      <w:r>
        <w:rPr>
          <w:rFonts w:ascii="Times New Roman"/>
          <w:b w:val="false"/>
          <w:i w:val="false"/>
          <w:color w:val="000000"/>
          <w:sz w:val="28"/>
        </w:rPr>
        <w:t>
      - внедрение новых технологических критериев при субсидировании инвестиционных проектов по строительству, предусматривающих проверку проекта на предмет целесообразности и окупаемости строительства или расширения мощностей (географическое расположение, логистика, наличие спроса на производимую продукцию, наличие рядом дешевых источников энергии, соблюдение требований ветеринарной/фитосанитарной безопасности, доступность сырья и рынков сбыта, внедрение инноваций и др.);</w:t>
      </w:r>
    </w:p>
    <w:p>
      <w:pPr>
        <w:spacing w:after="0"/>
        <w:ind w:left="0"/>
        <w:jc w:val="both"/>
      </w:pPr>
      <w:r>
        <w:rPr>
          <w:rFonts w:ascii="Times New Roman"/>
          <w:b w:val="false"/>
          <w:i w:val="false"/>
          <w:color w:val="000000"/>
          <w:sz w:val="28"/>
        </w:rPr>
        <w:t>
      - снижение пороговых критериев по наличию пашни/поголовья для более широкого охвата субсидированием мелких и средних СХТП;</w:t>
      </w:r>
    </w:p>
    <w:p>
      <w:pPr>
        <w:spacing w:after="0"/>
        <w:ind w:left="0"/>
        <w:jc w:val="both"/>
      </w:pPr>
      <w:r>
        <w:rPr>
          <w:rFonts w:ascii="Times New Roman"/>
          <w:b w:val="false"/>
          <w:i w:val="false"/>
          <w:color w:val="000000"/>
          <w:sz w:val="28"/>
        </w:rPr>
        <w:t>
      - дифференциацию максимальной допустимой стоимости по субсидируемым технике и оборудованию с целью экономии бюджетных средств;</w:t>
      </w:r>
    </w:p>
    <w:p>
      <w:pPr>
        <w:spacing w:after="0"/>
        <w:ind w:left="0"/>
        <w:jc w:val="both"/>
      </w:pPr>
      <w:r>
        <w:rPr>
          <w:rFonts w:ascii="Times New Roman"/>
          <w:b w:val="false"/>
          <w:i w:val="false"/>
          <w:color w:val="000000"/>
          <w:sz w:val="28"/>
        </w:rPr>
        <w:t>
      - пересмотр решений комиссий по одобренным, но не обеспеченным бюджетными средствами проектам, на их соответствие положениям настоящей Программы.</w:t>
      </w:r>
    </w:p>
    <w:p>
      <w:pPr>
        <w:spacing w:after="0"/>
        <w:ind w:left="0"/>
        <w:jc w:val="both"/>
      </w:pPr>
      <w:r>
        <w:rPr>
          <w:rFonts w:ascii="Times New Roman"/>
          <w:b w:val="false"/>
          <w:i w:val="false"/>
          <w:color w:val="000000"/>
          <w:sz w:val="28"/>
        </w:rPr>
        <w:t>
      Для дальнейшего развития системы заготовительных организаций и сельскохозяйственной кооперации будут приняты меры по внесению изменений в Закон РК "О государственном регулировании развития агропромышленного комплекса и сельских территорий", а также Правила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в части:</w:t>
      </w:r>
    </w:p>
    <w:p>
      <w:pPr>
        <w:spacing w:after="0"/>
        <w:ind w:left="0"/>
        <w:jc w:val="both"/>
      </w:pPr>
      <w:r>
        <w:rPr>
          <w:rFonts w:ascii="Times New Roman"/>
          <w:b w:val="false"/>
          <w:i w:val="false"/>
          <w:color w:val="000000"/>
          <w:sz w:val="28"/>
        </w:rPr>
        <w:t>
      - исключения из учета субсидии при определении доли совокупного годового дохода от реализации сельскохозяйственной продукции;</w:t>
      </w:r>
    </w:p>
    <w:p>
      <w:pPr>
        <w:spacing w:after="0"/>
        <w:ind w:left="0"/>
        <w:jc w:val="both"/>
      </w:pPr>
      <w:r>
        <w:rPr>
          <w:rFonts w:ascii="Times New Roman"/>
          <w:b w:val="false"/>
          <w:i w:val="false"/>
          <w:color w:val="000000"/>
          <w:sz w:val="28"/>
        </w:rPr>
        <w:t>
      – снижения для сельскохозяйственных кооперативов условий о необходимости наличия ежегодных доходов от заготовительной деятельности с 90 до 50 %.</w:t>
      </w:r>
    </w:p>
    <w:p>
      <w:pPr>
        <w:spacing w:after="0"/>
        <w:ind w:left="0"/>
        <w:jc w:val="both"/>
      </w:pPr>
      <w:r>
        <w:rPr>
          <w:rFonts w:ascii="Times New Roman"/>
          <w:b w:val="false"/>
          <w:i w:val="false"/>
          <w:color w:val="000000"/>
          <w:sz w:val="28"/>
        </w:rPr>
        <w:t>
      - дополнения перечня сельскохозяйственной продукции, подлежащей субсидированию.</w:t>
      </w:r>
    </w:p>
    <w:p>
      <w:pPr>
        <w:spacing w:after="0"/>
        <w:ind w:left="0"/>
        <w:jc w:val="both"/>
      </w:pPr>
      <w:r>
        <w:rPr>
          <w:rFonts w:ascii="Times New Roman"/>
          <w:b w:val="false"/>
          <w:i w:val="false"/>
          <w:color w:val="000000"/>
          <w:sz w:val="28"/>
        </w:rPr>
        <w:t>
      Реализация вышеперечисленных изменений позволит заготовительным организациям и сельскохозяйственным кооперативам избежать отвлечения оборотных средств на длительный период времени, будет способствовать развитию перерабатывающей промышленности, заинтересованности ЛПХ и К(Ф)Х в росте производства и реализации собственной продукции, а также импортозамещению сельскохозяйственной продукции и продуктов ее переработки.</w:t>
      </w:r>
    </w:p>
    <w:p>
      <w:pPr>
        <w:spacing w:after="0"/>
        <w:ind w:left="0"/>
        <w:jc w:val="both"/>
      </w:pPr>
      <w:r>
        <w:rPr>
          <w:rFonts w:ascii="Times New Roman"/>
          <w:b w:val="false"/>
          <w:i w:val="false"/>
          <w:color w:val="000000"/>
          <w:sz w:val="28"/>
        </w:rPr>
        <w:t>
      В связи с низкой заинтересованностью частных страховых компаний и гарантов в участии в субсидировании в рамках гарантирования и страхования займов будет внедрен инструмент гарантирования займов частных финансовых организаций через АО "КазАгроГарант". Гарантия будет предоставляться на основе субсидиарной ответственности гаранта с возмещением расходов гаранта из средств РБ.</w:t>
      </w:r>
    </w:p>
    <w:p>
      <w:pPr>
        <w:spacing w:after="0"/>
        <w:ind w:left="0"/>
        <w:jc w:val="left"/>
      </w:pPr>
      <w:r>
        <w:rPr>
          <w:rFonts w:ascii="Times New Roman"/>
          <w:b/>
          <w:i w:val="false"/>
          <w:color w:val="000000"/>
        </w:rPr>
        <w:t xml:space="preserve"> Совершенствование системы кредитования и гарантирования обязательств</w:t>
      </w:r>
    </w:p>
    <w:p>
      <w:pPr>
        <w:spacing w:after="0"/>
        <w:ind w:left="0"/>
        <w:jc w:val="both"/>
      </w:pPr>
      <w:r>
        <w:rPr>
          <w:rFonts w:ascii="Times New Roman"/>
          <w:b w:val="false"/>
          <w:i w:val="false"/>
          <w:color w:val="000000"/>
          <w:sz w:val="28"/>
        </w:rPr>
        <w:t>
      Основные меры совершенствования системы кредитования и гарантирования обязательств будут направлены, в первую очередь, на расширение охвата клиентов, вовлечение мелких и средних хозяйств, кооперативов.</w:t>
      </w:r>
    </w:p>
    <w:p>
      <w:pPr>
        <w:spacing w:after="0"/>
        <w:ind w:left="0"/>
        <w:jc w:val="both"/>
      </w:pPr>
      <w:r>
        <w:rPr>
          <w:rFonts w:ascii="Times New Roman"/>
          <w:b w:val="false"/>
          <w:i w:val="false"/>
          <w:color w:val="000000"/>
          <w:sz w:val="28"/>
        </w:rPr>
        <w:t>
      Так, планируется последовательная переориентация деятельности АО "НУХ "КазАгро" от реализации инструментов прямой поддержки СХТП к реализации комплексных мер по повышению доступности финансирования в сельской местности.</w:t>
      </w:r>
    </w:p>
    <w:p>
      <w:pPr>
        <w:spacing w:after="0"/>
        <w:ind w:left="0"/>
        <w:jc w:val="both"/>
      </w:pPr>
      <w:r>
        <w:rPr>
          <w:rFonts w:ascii="Times New Roman"/>
          <w:b w:val="false"/>
          <w:i w:val="false"/>
          <w:color w:val="000000"/>
          <w:sz w:val="28"/>
        </w:rPr>
        <w:t>
      Будут привлечены средства с рынков капитала для фондирования частных финансовых институтов, в частности, кредитных товариществ и сельскохозяйственных кооперативов для последующего кредитования субъектов АПК.</w:t>
      </w:r>
    </w:p>
    <w:p>
      <w:pPr>
        <w:spacing w:after="0"/>
        <w:ind w:left="0"/>
        <w:jc w:val="both"/>
      </w:pPr>
      <w:r>
        <w:rPr>
          <w:rFonts w:ascii="Times New Roman"/>
          <w:b w:val="false"/>
          <w:i w:val="false"/>
          <w:color w:val="000000"/>
          <w:sz w:val="28"/>
        </w:rPr>
        <w:t>
      Также будут созданы саморегулируемые организации кредитных товариществ и кооперативов с функцией разработки стандартов и правил деятельности, осуществления контрольно-надзорных функций за деятельностью кредитных товариществ.</w:t>
      </w:r>
    </w:p>
    <w:p>
      <w:pPr>
        <w:spacing w:after="0"/>
        <w:ind w:left="0"/>
        <w:jc w:val="both"/>
      </w:pPr>
      <w:r>
        <w:rPr>
          <w:rFonts w:ascii="Times New Roman"/>
          <w:b w:val="false"/>
          <w:i w:val="false"/>
          <w:color w:val="000000"/>
          <w:sz w:val="28"/>
        </w:rPr>
        <w:t>
      В целях предоставления возможности СХТП реализовать урожай в период сезона более высоких цен будет пересмотрен механизм бюджетного финансирования весенне-полевых и уборочных работ.</w:t>
      </w:r>
    </w:p>
    <w:p>
      <w:pPr>
        <w:spacing w:after="0"/>
        <w:ind w:left="0"/>
        <w:jc w:val="both"/>
      </w:pPr>
      <w:r>
        <w:rPr>
          <w:rFonts w:ascii="Times New Roman"/>
          <w:b w:val="false"/>
          <w:i w:val="false"/>
          <w:color w:val="000000"/>
          <w:sz w:val="28"/>
        </w:rPr>
        <w:t xml:space="preserve">
      Будет проведена работа по расширению и развитию сети кредитных товариществ и кооперативов, а также включению приема депозитов в перечень операций, осуществляемых кредитными товариществами. </w:t>
      </w:r>
    </w:p>
    <w:p>
      <w:pPr>
        <w:spacing w:after="0"/>
        <w:ind w:left="0"/>
        <w:jc w:val="both"/>
      </w:pPr>
      <w:r>
        <w:rPr>
          <w:rFonts w:ascii="Times New Roman"/>
          <w:b w:val="false"/>
          <w:i w:val="false"/>
          <w:color w:val="000000"/>
          <w:sz w:val="28"/>
        </w:rPr>
        <w:t>
      АО "КазАгроГарант" будет предоставлять гарантии по займам частных финансовых организаций, выдаваемым малому и среднему бизнесу, сельскохозяйственным кооперативам. Также АО "КазАгроГарант" будет участвовать в системе страхования в растениеводстве и животноводстве.</w:t>
      </w:r>
    </w:p>
    <w:p>
      <w:pPr>
        <w:spacing w:after="0"/>
        <w:ind w:left="0"/>
        <w:jc w:val="both"/>
      </w:pPr>
      <w:r>
        <w:rPr>
          <w:rFonts w:ascii="Times New Roman"/>
          <w:b w:val="false"/>
          <w:i w:val="false"/>
          <w:color w:val="000000"/>
          <w:sz w:val="28"/>
        </w:rPr>
        <w:t>
      Данные изменения позволят системе кредитной кооперации вовлечь средства сельского населения для решения задач развития АПК, снизить зависимость кредитных товариществ от государственной финансовой поддержки, увеличить доступ к кредитным ресурсам широких слоев сельского населения.</w:t>
      </w:r>
    </w:p>
    <w:p>
      <w:pPr>
        <w:spacing w:after="0"/>
        <w:ind w:left="0"/>
        <w:jc w:val="left"/>
      </w:pPr>
      <w:r>
        <w:rPr>
          <w:rFonts w:ascii="Times New Roman"/>
          <w:b/>
          <w:i w:val="false"/>
          <w:color w:val="000000"/>
        </w:rPr>
        <w:t xml:space="preserve"> Совершенствование системы страхования рисков</w:t>
      </w:r>
    </w:p>
    <w:p>
      <w:pPr>
        <w:spacing w:after="0"/>
        <w:ind w:left="0"/>
        <w:jc w:val="both"/>
      </w:pPr>
      <w:r>
        <w:rPr>
          <w:rFonts w:ascii="Times New Roman"/>
          <w:b w:val="false"/>
          <w:i w:val="false"/>
          <w:color w:val="000000"/>
          <w:sz w:val="28"/>
        </w:rPr>
        <w:t xml:space="preserve">
      Формирование системы страхования будет строиться с учетом имеющегося опыта, включая в себя обязательные и добровольные формы. Необходимо будет разработать проект изменений и дополнений в Закон. Наличие ряда проблем в страховании в растениеводстве требует определенного реформирования данного вида страхования. Необходимо рассмотреть возможность внедрения в Казахстане передового международного опыта сельскохозяйственного страхования. В качестве альтернативы предлагается внедрить успешные модели страхования сельскохозяйственных рисков. Особое внимание уделить вопросу деятельности ОВС в части их должной капитализации, определения государственного регулятора их деятельности, устранения фиктивного страхования, с исключением ОВС из системы обязательного страхования в растениеводстве. </w:t>
      </w:r>
    </w:p>
    <w:p>
      <w:pPr>
        <w:spacing w:after="0"/>
        <w:ind w:left="0"/>
        <w:jc w:val="both"/>
      </w:pPr>
      <w:r>
        <w:rPr>
          <w:rFonts w:ascii="Times New Roman"/>
          <w:b w:val="false"/>
          <w:i w:val="false"/>
          <w:color w:val="000000"/>
          <w:sz w:val="28"/>
        </w:rPr>
        <w:t>
      С учетом международной практики в системе агрострахования будет создана база данных (электронной карты) по страхованию в разрезе регионов в целях андеррайтинга рисков, осуществлен переход от субсидирования страховых выплат к субсидированию страховых премий, упрощены механизмы администрирования урегулирования убытков и осуществления страховых выплат.</w:t>
      </w:r>
    </w:p>
    <w:p>
      <w:pPr>
        <w:spacing w:after="0"/>
        <w:ind w:left="0"/>
        <w:jc w:val="both"/>
      </w:pPr>
      <w:r>
        <w:rPr>
          <w:rFonts w:ascii="Times New Roman"/>
          <w:b w:val="false"/>
          <w:i w:val="false"/>
          <w:color w:val="000000"/>
          <w:sz w:val="28"/>
        </w:rPr>
        <w:t>
      Также меры государственной поддержки будут предоставляться эффективным фермерам, применяющим современные агротехнологии, в том числе использующим механизм обязательного страхования в растениеводстве.</w:t>
      </w:r>
    </w:p>
    <w:p>
      <w:pPr>
        <w:spacing w:after="0"/>
        <w:ind w:left="0"/>
        <w:jc w:val="both"/>
      </w:pPr>
      <w:r>
        <w:rPr>
          <w:rFonts w:ascii="Times New Roman"/>
          <w:b w:val="false"/>
          <w:i w:val="false"/>
          <w:color w:val="000000"/>
          <w:sz w:val="28"/>
        </w:rPr>
        <w:t>
      В целях нивелирования рисков, будет реализована возможность их перестрахования, в том числе на международных рынках.</w:t>
      </w:r>
    </w:p>
    <w:p>
      <w:pPr>
        <w:spacing w:after="0"/>
        <w:ind w:left="0"/>
        <w:jc w:val="both"/>
      </w:pPr>
      <w:r>
        <w:rPr>
          <w:rFonts w:ascii="Times New Roman"/>
          <w:b w:val="false"/>
          <w:i w:val="false"/>
          <w:color w:val="000000"/>
          <w:sz w:val="28"/>
        </w:rPr>
        <w:t>
      Разработаны методики применения вмененных форм добровольного страхования при лизинге, получении субсидий, кредитов на основные и оборотные средства, необходимых в производстве растениеводческой и животноводческой продукции и продуктов переработки.</w:t>
      </w:r>
    </w:p>
    <w:p>
      <w:pPr>
        <w:spacing w:after="0"/>
        <w:ind w:left="0"/>
        <w:jc w:val="left"/>
      </w:pPr>
      <w:r>
        <w:rPr>
          <w:rFonts w:ascii="Times New Roman"/>
          <w:b/>
          <w:i w:val="false"/>
          <w:color w:val="000000"/>
        </w:rPr>
        <w:t xml:space="preserve"> Трансформация АО "НУХ "КазАгро"</w:t>
      </w:r>
    </w:p>
    <w:p>
      <w:pPr>
        <w:spacing w:after="0"/>
        <w:ind w:left="0"/>
        <w:jc w:val="both"/>
      </w:pPr>
      <w:r>
        <w:rPr>
          <w:rFonts w:ascii="Times New Roman"/>
          <w:b w:val="false"/>
          <w:i w:val="false"/>
          <w:color w:val="000000"/>
          <w:sz w:val="28"/>
        </w:rPr>
        <w:t>
      Целями трансформации группы компаний АО "НУХ "КазАгро" являются повышение эффективности их деятельности и формирование компактного холдинга в соответствии с приоритетными задачами Программы.</w:t>
      </w:r>
    </w:p>
    <w:p>
      <w:pPr>
        <w:spacing w:after="0"/>
        <w:ind w:left="0"/>
        <w:jc w:val="both"/>
      </w:pPr>
      <w:r>
        <w:rPr>
          <w:rFonts w:ascii="Times New Roman"/>
          <w:b w:val="false"/>
          <w:i w:val="false"/>
          <w:color w:val="000000"/>
          <w:sz w:val="28"/>
        </w:rPr>
        <w:t>
      В соответствии с Комплексным планом приватизации на 2016 - 2020 годы три дочерних организации холдинга будут переданы в конкурентную среду: АО "КазАгроФинанс", АО "КазАгроПродукт", АО "КазАгроМаркетинг".</w:t>
      </w:r>
    </w:p>
    <w:p>
      <w:pPr>
        <w:spacing w:after="0"/>
        <w:ind w:left="0"/>
        <w:jc w:val="both"/>
      </w:pPr>
      <w:r>
        <w:rPr>
          <w:rFonts w:ascii="Times New Roman"/>
          <w:b w:val="false"/>
          <w:i w:val="false"/>
          <w:color w:val="000000"/>
          <w:sz w:val="28"/>
        </w:rPr>
        <w:t>
      Реализация механизма фондирования финансовых институтов будет осуществляться на базе АО "Аграрная кредитная корпорация", которое будет фондировать КТ, МФО, лизинговые компании, БВУ и другие финансовые организации для последующего финансирования ими субъектов АПК на приемлемых условиях.</w:t>
      </w:r>
    </w:p>
    <w:p>
      <w:pPr>
        <w:spacing w:after="0"/>
        <w:ind w:left="0"/>
        <w:jc w:val="both"/>
      </w:pPr>
      <w:r>
        <w:rPr>
          <w:rFonts w:ascii="Times New Roman"/>
          <w:b w:val="false"/>
          <w:i w:val="false"/>
          <w:color w:val="000000"/>
          <w:sz w:val="28"/>
        </w:rPr>
        <w:t>
      Это позволит последовательно развивать систему сельского кредитования по опыту стран ОЭСР, в частности, Германии, где государственный "Рентенбанк" при правительственной поддержке привлекает средства с рынков капитала и фондирует частные финансовые институты для последующего кредитования АПК. При этом "Рентенбанк" напрямую не кредитует, тем самым стимулируя конкуренцию на рынке сельского кредитования, позволяя фермерам не зависеть от одной государственной организации, а иметь возможность выбирать из разных источников финансирования в зависимости от предлагаемых условий и качества оказываемых услуг.</w:t>
      </w:r>
    </w:p>
    <w:p>
      <w:pPr>
        <w:spacing w:after="0"/>
        <w:ind w:left="0"/>
        <w:jc w:val="both"/>
      </w:pPr>
      <w:r>
        <w:rPr>
          <w:rFonts w:ascii="Times New Roman"/>
          <w:b w:val="false"/>
          <w:i w:val="false"/>
          <w:color w:val="000000"/>
          <w:sz w:val="28"/>
        </w:rPr>
        <w:t xml:space="preserve">
      В соответствии с этой задачей АО "Аграрная кредитная корпорация" будет ежегодно поэтапно сокращать прямое кредитование, сохраняя положительную динамику роста кредитования конечных заемщиков через увеличение фондирования частных финансовых организаций. </w:t>
      </w:r>
    </w:p>
    <w:p>
      <w:pPr>
        <w:spacing w:after="0"/>
        <w:ind w:left="0"/>
        <w:jc w:val="both"/>
      </w:pPr>
      <w:r>
        <w:rPr>
          <w:rFonts w:ascii="Times New Roman"/>
          <w:b w:val="false"/>
          <w:i w:val="false"/>
          <w:color w:val="000000"/>
          <w:sz w:val="28"/>
        </w:rPr>
        <w:t>
      Привлечение АО "Аграрная кредитная корпорация" фондирования с внутренних и внешних рынков капитала, а также со стороны международных финансовых организаций, будет осуществляться также при доступности и хеджировании валютных рисков по займам/лизингу для конечных заемщиков – субъектов АПК. Будет проработан вопрос расширения программ сотрудничества Правительства РК и международных финансовых организаций для привлечения финансирования на развитие АПК.</w:t>
      </w:r>
    </w:p>
    <w:p>
      <w:pPr>
        <w:spacing w:after="0"/>
        <w:ind w:left="0"/>
        <w:jc w:val="both"/>
      </w:pPr>
      <w:r>
        <w:rPr>
          <w:rFonts w:ascii="Times New Roman"/>
          <w:b w:val="false"/>
          <w:i w:val="false"/>
          <w:color w:val="000000"/>
          <w:sz w:val="28"/>
        </w:rPr>
        <w:t>
      В целях финансирования приоритетных отраслевых направлений развития АПК, а также для увеличения емкости заимствования (кредитное плечо) будет продолжено финансирование из республиканского бюджета на пополнение уставного капитала АО "НУХ "КазАгро". Объемы бюджетного финансирования будут определяться исходя из возможностей республиканского бюджета и параметров финансовой устойчивости АО "НУХ "КазАгро".</w:t>
      </w:r>
    </w:p>
    <w:p>
      <w:pPr>
        <w:spacing w:after="0"/>
        <w:ind w:left="0"/>
        <w:jc w:val="both"/>
      </w:pPr>
      <w:r>
        <w:rPr>
          <w:rFonts w:ascii="Times New Roman"/>
          <w:b w:val="false"/>
          <w:i w:val="false"/>
          <w:color w:val="000000"/>
          <w:sz w:val="28"/>
        </w:rPr>
        <w:t xml:space="preserve">
      АО "Фонд финансовой поддержки сельского хозяйства" будет осуществлять микрокредитование в рамках приоритетных направлений развития малого бизнеса и сельской кооперации. </w:t>
      </w:r>
    </w:p>
    <w:p>
      <w:pPr>
        <w:spacing w:after="0"/>
        <w:ind w:left="0"/>
        <w:jc w:val="both"/>
      </w:pPr>
      <w:r>
        <w:rPr>
          <w:rFonts w:ascii="Times New Roman"/>
          <w:b w:val="false"/>
          <w:i w:val="false"/>
          <w:color w:val="000000"/>
          <w:sz w:val="28"/>
        </w:rPr>
        <w:t>
      АО "КазАгроГарант" будет гарантировать на основе субсидиарной ответственности займы частных финансовых организаций, выдаваемых малому и среднему бизнесу, сельскохозяйственных кооперативов, а также участвовать в системе страхования отраслевых рисков в растениеводстве и животноводстве.</w:t>
      </w:r>
    </w:p>
    <w:p>
      <w:pPr>
        <w:spacing w:after="0"/>
        <w:ind w:left="0"/>
        <w:jc w:val="both"/>
      </w:pPr>
      <w:r>
        <w:rPr>
          <w:rFonts w:ascii="Times New Roman"/>
          <w:b w:val="false"/>
          <w:i w:val="false"/>
          <w:color w:val="000000"/>
          <w:sz w:val="28"/>
        </w:rPr>
        <w:t>
      С учетом опыта Казахстанско-венгерского фонда прямых инвестиций для привлечения иностранных инвестиций будут проработаны вопросы создания новых инвестиционных фондов.</w:t>
      </w:r>
    </w:p>
    <w:p>
      <w:pPr>
        <w:spacing w:after="0"/>
        <w:ind w:left="0"/>
        <w:jc w:val="left"/>
      </w:pPr>
      <w:r>
        <w:rPr>
          <w:rFonts w:ascii="Times New Roman"/>
          <w:b/>
          <w:i w:val="false"/>
          <w:color w:val="000000"/>
        </w:rPr>
        <w:t xml:space="preserve"> Схема. Планируемая компактная структура группы компаний АО "НУХ "КазАгро"</w:t>
      </w:r>
    </w:p>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АО "НК "Продкорпорация" сконцентрируется на развитии экспорта сельскохозяйственной продукции и продуктов ее переработки, а также поддержании резервного объема пшеницы в целях обеспечения продовольственной безопасности. Будет изучена возможность участия АО "НК "Продкорпорация" в реализации агентских функций в рамках Исламской организации по продовольственной безопасности, Продовольственной и сельскохозяйственной организации Объединенных Наций (ФАО).</w:t>
      </w:r>
    </w:p>
    <w:p>
      <w:pPr>
        <w:spacing w:after="0"/>
        <w:ind w:left="0"/>
        <w:jc w:val="both"/>
      </w:pPr>
      <w:r>
        <w:rPr>
          <w:rFonts w:ascii="Times New Roman"/>
          <w:b w:val="false"/>
          <w:i w:val="false"/>
          <w:color w:val="000000"/>
          <w:sz w:val="28"/>
        </w:rPr>
        <w:t>
      В соответствии с поручением Главы государства передача в конкурентную среду дочерних и аффилированных организаций АО "НУХ "КазАгро", включенных в Комплексный план приватизации на 2016 – 2020 годы, и реализация мер по трансформации АО "НУХ "КазАгро" приведут к формированию компактного холдинга, включающего 4 дочерних компании (АО "Аграрная кредитная корпорация", АО "Фонд финансовой поддержки сельского хозяйства", АО "НК "Продкорпорация", АО "КазАгроГарант"), а также инвестиционные фонды. Компании группы АО "НУХ "КазАгро" будут реализовывать целевые меры поддержки АПК во взаимодействии с частным бизнесом.</w:t>
      </w:r>
    </w:p>
    <w:p>
      <w:pPr>
        <w:spacing w:after="0"/>
        <w:ind w:left="0"/>
        <w:jc w:val="both"/>
      </w:pPr>
      <w:r>
        <w:rPr>
          <w:rFonts w:ascii="Times New Roman"/>
          <w:b w:val="false"/>
          <w:i w:val="false"/>
          <w:color w:val="000000"/>
          <w:sz w:val="28"/>
        </w:rPr>
        <w:t>
      Таким образом, АО "НУХ "КазАгро" станет многопрофильным отраслевым холдингом, осуществляющим стратегическое управление активами и аналитическую поддержку государственной политики развития АПК.</w:t>
      </w:r>
    </w:p>
    <w:p>
      <w:pPr>
        <w:spacing w:after="0"/>
        <w:ind w:left="0"/>
        <w:jc w:val="both"/>
      </w:pPr>
      <w:r>
        <w:rPr>
          <w:rFonts w:ascii="Times New Roman"/>
          <w:b w:val="false"/>
          <w:i w:val="false"/>
          <w:color w:val="000000"/>
          <w:sz w:val="28"/>
        </w:rPr>
        <w:t xml:space="preserve">
      В целях реализации мер по трансформации и определения долгосрочных задач группы компаний АО "НУХ "КазАгро" будет принята новая Стратегия развития АО "НУХ "КазАгро" на 2017 – 2026 годы. </w:t>
      </w:r>
    </w:p>
    <w:p>
      <w:pPr>
        <w:spacing w:after="0"/>
        <w:ind w:left="0"/>
        <w:jc w:val="left"/>
      </w:pPr>
      <w:r>
        <w:rPr>
          <w:rFonts w:ascii="Times New Roman"/>
          <w:b/>
          <w:i w:val="false"/>
          <w:color w:val="000000"/>
        </w:rPr>
        <w:t xml:space="preserve"> 5.4. Совершенствование управления водными ресурсами</w:t>
      </w:r>
    </w:p>
    <w:p>
      <w:pPr>
        <w:spacing w:after="0"/>
        <w:ind w:left="0"/>
        <w:jc w:val="both"/>
      </w:pPr>
      <w:r>
        <w:rPr>
          <w:rFonts w:ascii="Times New Roman"/>
          <w:b w:val="false"/>
          <w:i w:val="false"/>
          <w:color w:val="000000"/>
          <w:sz w:val="28"/>
        </w:rPr>
        <w:t>
      Развитие в сфере управления водными ресурсами требует стратегического планирования на долгосрочную перспективу, в связи с этим разработаны прогнозные цели до 2040 года, реализацию которых можно будет обеспечить при достижении индикаторов и показателей на 2021 год.</w:t>
      </w:r>
    </w:p>
    <w:p>
      <w:pPr>
        <w:spacing w:after="0"/>
        <w:ind w:left="0"/>
        <w:jc w:val="both"/>
      </w:pPr>
      <w:r>
        <w:rPr>
          <w:rFonts w:ascii="Times New Roman"/>
          <w:b w:val="false"/>
          <w:i w:val="false"/>
          <w:color w:val="000000"/>
          <w:sz w:val="28"/>
        </w:rPr>
        <w:t xml:space="preserve">
      В связи с этим приоритетами являются восстановление ирригационных и дренажных сетей для обеспечения поливной водой востребованных земель регулярного и лиманного орошения, улучшение мелиоративного состояния поливных земель, уменьшение ущерба от вредного воздействия вод населению, окружающей среде и экономике, удовлетворение ежегодных потребностей природных объектов в воде. </w:t>
      </w:r>
    </w:p>
    <w:p>
      <w:pPr>
        <w:spacing w:after="0"/>
        <w:ind w:left="0"/>
        <w:jc w:val="both"/>
      </w:pPr>
      <w:r>
        <w:rPr>
          <w:rFonts w:ascii="Times New Roman"/>
          <w:b w:val="false"/>
          <w:i w:val="false"/>
          <w:color w:val="000000"/>
          <w:sz w:val="28"/>
        </w:rPr>
        <w:t>
      Для этого будет проработан вопрос обеспечения возвратности инвестиций в отрасль водного хозяйства.</w:t>
      </w:r>
    </w:p>
    <w:p>
      <w:pPr>
        <w:spacing w:after="0"/>
        <w:ind w:left="0"/>
        <w:jc w:val="both"/>
      </w:pPr>
      <w:r>
        <w:rPr>
          <w:rFonts w:ascii="Times New Roman"/>
          <w:b w:val="false"/>
          <w:i w:val="false"/>
          <w:color w:val="000000"/>
          <w:sz w:val="28"/>
        </w:rPr>
        <w:t>
      Будут приняты меры по совершенствованию системы мониторинга водных ресурсов, их прогнозирования и управления с обеспечением надлежащего контроля и мониторинга мелиоративного состояния орошаемых земель и выполнения мелиоративных мероприятий.</w:t>
      </w:r>
    </w:p>
    <w:p>
      <w:pPr>
        <w:spacing w:after="0"/>
        <w:ind w:left="0"/>
        <w:jc w:val="both"/>
      </w:pPr>
      <w:r>
        <w:rPr>
          <w:rFonts w:ascii="Times New Roman"/>
          <w:b w:val="false"/>
          <w:i w:val="false"/>
          <w:color w:val="000000"/>
          <w:sz w:val="28"/>
        </w:rPr>
        <w:t>
      В целях повышения эффективности эксплуатации инфраструктуры к поддержанию ее в надлежащем рабочем состоянии будут приняты следующие меры:</w:t>
      </w:r>
    </w:p>
    <w:p>
      <w:pPr>
        <w:spacing w:after="0"/>
        <w:ind w:left="0"/>
        <w:jc w:val="both"/>
      </w:pPr>
      <w:r>
        <w:rPr>
          <w:rFonts w:ascii="Times New Roman"/>
          <w:b w:val="false"/>
          <w:i w:val="false"/>
          <w:color w:val="000000"/>
          <w:sz w:val="28"/>
        </w:rPr>
        <w:t>
      - передача ирригационной и дренажной системы для земель регулярного орошения от источника поливной воды до границы водовыдела конечных СХТП единым балансодержателям, как государственным, так и частным;</w:t>
      </w:r>
    </w:p>
    <w:p>
      <w:pPr>
        <w:spacing w:after="0"/>
        <w:ind w:left="0"/>
        <w:jc w:val="both"/>
      </w:pPr>
      <w:r>
        <w:rPr>
          <w:rFonts w:ascii="Times New Roman"/>
          <w:b w:val="false"/>
          <w:i w:val="false"/>
          <w:color w:val="000000"/>
          <w:sz w:val="28"/>
        </w:rPr>
        <w:t>
      - развитие эксплуатирующих водохозяйственных организаций;</w:t>
      </w:r>
    </w:p>
    <w:p>
      <w:pPr>
        <w:spacing w:after="0"/>
        <w:ind w:left="0"/>
        <w:jc w:val="both"/>
      </w:pPr>
      <w:r>
        <w:rPr>
          <w:rFonts w:ascii="Times New Roman"/>
          <w:b w:val="false"/>
          <w:i w:val="false"/>
          <w:color w:val="000000"/>
          <w:sz w:val="28"/>
        </w:rPr>
        <w:t>
      - модернизация инфраструктуры для обеспечения ее безопасной эксплуатации, надлежащего качества и необходимого объема водных ресурсов;</w:t>
      </w:r>
    </w:p>
    <w:p>
      <w:pPr>
        <w:spacing w:after="0"/>
        <w:ind w:left="0"/>
        <w:jc w:val="both"/>
      </w:pPr>
      <w:r>
        <w:rPr>
          <w:rFonts w:ascii="Times New Roman"/>
          <w:b w:val="false"/>
          <w:i w:val="false"/>
          <w:color w:val="000000"/>
          <w:sz w:val="28"/>
        </w:rPr>
        <w:t>
      - передача водохозяйственных объектов в республиканскую собственность для восстановления земель регулярного орошения;</w:t>
      </w:r>
    </w:p>
    <w:p>
      <w:pPr>
        <w:spacing w:after="0"/>
        <w:ind w:left="0"/>
        <w:jc w:val="both"/>
      </w:pPr>
      <w:r>
        <w:rPr>
          <w:rFonts w:ascii="Times New Roman"/>
          <w:b w:val="false"/>
          <w:i w:val="false"/>
          <w:color w:val="000000"/>
          <w:sz w:val="28"/>
        </w:rPr>
        <w:t>
      - обеспечение безопасной эксплуатации трансграничных водохозяйственных сооружений республиканского значения, не связанных с подачей воды;</w:t>
      </w:r>
    </w:p>
    <w:p>
      <w:pPr>
        <w:spacing w:after="0"/>
        <w:ind w:left="0"/>
        <w:jc w:val="both"/>
      </w:pPr>
      <w:r>
        <w:rPr>
          <w:rFonts w:ascii="Times New Roman"/>
          <w:b w:val="false"/>
          <w:i w:val="false"/>
          <w:color w:val="000000"/>
          <w:sz w:val="28"/>
        </w:rPr>
        <w:t>
      - восстановление и реконструкция водохозяйственной инфраструктуры систем земель регулярного и лиманного орошения с целью снижения потерь воды, в том числе путем применения современных технологий;</w:t>
      </w:r>
    </w:p>
    <w:p>
      <w:pPr>
        <w:spacing w:after="0"/>
        <w:ind w:left="0"/>
        <w:jc w:val="both"/>
      </w:pPr>
      <w:r>
        <w:rPr>
          <w:rFonts w:ascii="Times New Roman"/>
          <w:b w:val="false"/>
          <w:i w:val="false"/>
          <w:color w:val="000000"/>
          <w:sz w:val="28"/>
        </w:rPr>
        <w:t>
      – строительство новых и реконструкция аварийных водохозяйственных объектов;</w:t>
      </w:r>
    </w:p>
    <w:p>
      <w:pPr>
        <w:spacing w:after="0"/>
        <w:ind w:left="0"/>
        <w:jc w:val="both"/>
      </w:pPr>
      <w:r>
        <w:rPr>
          <w:rFonts w:ascii="Times New Roman"/>
          <w:b w:val="false"/>
          <w:i w:val="false"/>
          <w:color w:val="000000"/>
          <w:sz w:val="28"/>
        </w:rPr>
        <w:t>
      - многофакторное обследование водохозяйственных объектов;</w:t>
      </w:r>
    </w:p>
    <w:p>
      <w:pPr>
        <w:spacing w:after="0"/>
        <w:ind w:left="0"/>
        <w:jc w:val="both"/>
      </w:pPr>
      <w:r>
        <w:rPr>
          <w:rFonts w:ascii="Times New Roman"/>
          <w:b w:val="false"/>
          <w:i w:val="false"/>
          <w:color w:val="000000"/>
          <w:sz w:val="28"/>
        </w:rPr>
        <w:t>
      - использование коллекторно-дренажных вод для орошения;</w:t>
      </w:r>
    </w:p>
    <w:p>
      <w:pPr>
        <w:spacing w:after="0"/>
        <w:ind w:left="0"/>
        <w:jc w:val="both"/>
      </w:pPr>
      <w:r>
        <w:rPr>
          <w:rFonts w:ascii="Times New Roman"/>
          <w:b w:val="false"/>
          <w:i w:val="false"/>
          <w:color w:val="000000"/>
          <w:sz w:val="28"/>
        </w:rPr>
        <w:t>
      - установка измерительных приборов воды, автоматизация водоучета и диспетчеризация;</w:t>
      </w:r>
    </w:p>
    <w:p>
      <w:pPr>
        <w:spacing w:after="0"/>
        <w:ind w:left="0"/>
        <w:jc w:val="both"/>
      </w:pPr>
      <w:r>
        <w:rPr>
          <w:rFonts w:ascii="Times New Roman"/>
          <w:b w:val="false"/>
          <w:i w:val="false"/>
          <w:color w:val="000000"/>
          <w:sz w:val="28"/>
        </w:rPr>
        <w:t>
      - разработка и экспертиза декларации безопасности плотин.</w:t>
      </w:r>
    </w:p>
    <w:p>
      <w:pPr>
        <w:spacing w:after="0"/>
        <w:ind w:left="0"/>
        <w:jc w:val="both"/>
      </w:pPr>
      <w:r>
        <w:rPr>
          <w:rFonts w:ascii="Times New Roman"/>
          <w:b w:val="false"/>
          <w:i w:val="false"/>
          <w:color w:val="000000"/>
          <w:sz w:val="28"/>
        </w:rPr>
        <w:t xml:space="preserve">
      Для сокращения дефицита водных ресурсов как на национальном, так и региональном уровне будут приняты меры по вододелению трансграничных водных ресурсов, использованию подземных вод, строительству новой инфраструктуры, увеличению лесистости водосборных площадей водных объектов и осуществлению природоохранных попусков, а также детализации и обновлению бассейновых схем комплексного использования и охраны водных ресурсов. </w:t>
      </w:r>
    </w:p>
    <w:p>
      <w:pPr>
        <w:spacing w:after="0"/>
        <w:ind w:left="0"/>
        <w:jc w:val="both"/>
      </w:pPr>
      <w:r>
        <w:rPr>
          <w:rFonts w:ascii="Times New Roman"/>
          <w:b w:val="false"/>
          <w:i w:val="false"/>
          <w:color w:val="000000"/>
          <w:sz w:val="28"/>
        </w:rPr>
        <w:t>
      Согласно текущему прогнозу объема водных ресурсов РК трансграничные воды являются наиболее уязвимым компонентом водного баланса. Работа по международному сотрудничеству в данной сфере будет усилена путем реализации следующих мер:</w:t>
      </w:r>
    </w:p>
    <w:p>
      <w:pPr>
        <w:spacing w:after="0"/>
        <w:ind w:left="0"/>
        <w:jc w:val="both"/>
      </w:pPr>
      <w:r>
        <w:rPr>
          <w:rFonts w:ascii="Times New Roman"/>
          <w:b w:val="false"/>
          <w:i w:val="false"/>
          <w:color w:val="000000"/>
          <w:sz w:val="28"/>
        </w:rPr>
        <w:t>
      - создания инфраструктуры по мониторингу объема и качества водных ресурсов, поступающих из сопредельных государств, в том числе совместно с ними на их территории;</w:t>
      </w:r>
    </w:p>
    <w:p>
      <w:pPr>
        <w:spacing w:after="0"/>
        <w:ind w:left="0"/>
        <w:jc w:val="both"/>
      </w:pPr>
      <w:r>
        <w:rPr>
          <w:rFonts w:ascii="Times New Roman"/>
          <w:b w:val="false"/>
          <w:i w:val="false"/>
          <w:color w:val="000000"/>
          <w:sz w:val="28"/>
        </w:rPr>
        <w:t>
      - разработки прогнозов и анализа возможных сценариев изменения трансграничных перетоков на основании детальных компьютерных моделей;</w:t>
      </w:r>
    </w:p>
    <w:p>
      <w:pPr>
        <w:spacing w:after="0"/>
        <w:ind w:left="0"/>
        <w:jc w:val="both"/>
      </w:pPr>
      <w:r>
        <w:rPr>
          <w:rFonts w:ascii="Times New Roman"/>
          <w:b w:val="false"/>
          <w:i w:val="false"/>
          <w:color w:val="000000"/>
          <w:sz w:val="28"/>
        </w:rPr>
        <w:t>
      - усиления переговорных групп и обеспечения постоянного состава путем привлечения экспертов научно-исследовательских институтов и высококвалифицированных специалистов в сфере водного хозяйства и усиления переговорного процесса по трансграничному вододелению с сопредельными государствами для подготовки и заключения международных соглашений;</w:t>
      </w:r>
    </w:p>
    <w:p>
      <w:pPr>
        <w:spacing w:after="0"/>
        <w:ind w:left="0"/>
        <w:jc w:val="both"/>
      </w:pPr>
      <w:r>
        <w:rPr>
          <w:rFonts w:ascii="Times New Roman"/>
          <w:b w:val="false"/>
          <w:i w:val="false"/>
          <w:color w:val="000000"/>
          <w:sz w:val="28"/>
        </w:rPr>
        <w:t>
      - разработки комплексных переговорных стратегий, основанных на собранной аналитической информации и учитывающих международный опыт;</w:t>
      </w:r>
    </w:p>
    <w:p>
      <w:pPr>
        <w:spacing w:after="0"/>
        <w:ind w:left="0"/>
        <w:jc w:val="both"/>
      </w:pPr>
      <w:r>
        <w:rPr>
          <w:rFonts w:ascii="Times New Roman"/>
          <w:b w:val="false"/>
          <w:i w:val="false"/>
          <w:color w:val="000000"/>
          <w:sz w:val="28"/>
        </w:rPr>
        <w:t>
      - разработки концепции эффективного использования водно-энергетических ресурсов Центрально-Азиатского региона;</w:t>
      </w:r>
    </w:p>
    <w:p>
      <w:pPr>
        <w:spacing w:after="0"/>
        <w:ind w:left="0"/>
        <w:jc w:val="both"/>
      </w:pPr>
      <w:r>
        <w:rPr>
          <w:rFonts w:ascii="Times New Roman"/>
          <w:b w:val="false"/>
          <w:i w:val="false"/>
          <w:color w:val="000000"/>
          <w:sz w:val="28"/>
        </w:rPr>
        <w:t>
      - проработки долгосрочных соглашений по вододелению трансграничных рек и создания механизмов по их выполнению;</w:t>
      </w:r>
    </w:p>
    <w:p>
      <w:pPr>
        <w:spacing w:after="0"/>
        <w:ind w:left="0"/>
        <w:jc w:val="both"/>
      </w:pPr>
      <w:r>
        <w:rPr>
          <w:rFonts w:ascii="Times New Roman"/>
          <w:b w:val="false"/>
          <w:i w:val="false"/>
          <w:color w:val="000000"/>
          <w:sz w:val="28"/>
        </w:rPr>
        <w:t xml:space="preserve">
      - обеспечения деятельности Международного центра оценки вод. </w:t>
      </w:r>
    </w:p>
    <w:p>
      <w:pPr>
        <w:spacing w:after="0"/>
        <w:ind w:left="0"/>
        <w:jc w:val="both"/>
      </w:pPr>
      <w:r>
        <w:rPr>
          <w:rFonts w:ascii="Times New Roman"/>
          <w:b w:val="false"/>
          <w:i w:val="false"/>
          <w:color w:val="000000"/>
          <w:sz w:val="28"/>
        </w:rPr>
        <w:t>
      В целях обеспеченности подземными водными ресурсами будут реализованы:</w:t>
      </w:r>
    </w:p>
    <w:p>
      <w:pPr>
        <w:spacing w:after="0"/>
        <w:ind w:left="0"/>
        <w:jc w:val="both"/>
      </w:pPr>
      <w:r>
        <w:rPr>
          <w:rFonts w:ascii="Times New Roman"/>
          <w:b w:val="false"/>
          <w:i w:val="false"/>
          <w:color w:val="000000"/>
          <w:sz w:val="28"/>
        </w:rPr>
        <w:t>
      - изучение потенциала использования подземных вод для нужд сельского хозяйства;</w:t>
      </w:r>
    </w:p>
    <w:p>
      <w:pPr>
        <w:spacing w:after="0"/>
        <w:ind w:left="0"/>
        <w:jc w:val="both"/>
      </w:pPr>
      <w:r>
        <w:rPr>
          <w:rFonts w:ascii="Times New Roman"/>
          <w:b w:val="false"/>
          <w:i w:val="false"/>
          <w:color w:val="000000"/>
          <w:sz w:val="28"/>
        </w:rPr>
        <w:t>
      - доразведка и переоценка месторождений подземных вод, поисково-разведочные работы по обеспечению запасами подземных вод населенных пунктов на территории РК, начиная с вододефицитных регионов, в том числе и как альтернативных источников водоснабжения;</w:t>
      </w:r>
    </w:p>
    <w:p>
      <w:pPr>
        <w:spacing w:after="0"/>
        <w:ind w:left="0"/>
        <w:jc w:val="both"/>
      </w:pPr>
      <w:r>
        <w:rPr>
          <w:rFonts w:ascii="Times New Roman"/>
          <w:b w:val="false"/>
          <w:i w:val="false"/>
          <w:color w:val="000000"/>
          <w:sz w:val="28"/>
        </w:rPr>
        <w:t>
      - создание инфраструктуры для использования подземных вод.</w:t>
      </w:r>
    </w:p>
    <w:p>
      <w:pPr>
        <w:spacing w:after="0"/>
        <w:ind w:left="0"/>
        <w:jc w:val="both"/>
      </w:pPr>
      <w:r>
        <w:rPr>
          <w:rFonts w:ascii="Times New Roman"/>
          <w:b w:val="false"/>
          <w:i w:val="false"/>
          <w:color w:val="000000"/>
          <w:sz w:val="28"/>
        </w:rPr>
        <w:t>
      Для развития водохозяйственной и гидромелиоративной инфраструктуры будут реализованы следующие меры:</w:t>
      </w:r>
    </w:p>
    <w:p>
      <w:pPr>
        <w:spacing w:after="0"/>
        <w:ind w:left="0"/>
        <w:jc w:val="both"/>
      </w:pPr>
      <w:r>
        <w:rPr>
          <w:rFonts w:ascii="Times New Roman"/>
          <w:b w:val="false"/>
          <w:i w:val="false"/>
          <w:color w:val="000000"/>
          <w:sz w:val="28"/>
        </w:rPr>
        <w:t>
      - определение приоритетности инфраструктурных проектов, исходя из экологической ситуации и потребности в воде;</w:t>
      </w:r>
    </w:p>
    <w:p>
      <w:pPr>
        <w:spacing w:after="0"/>
        <w:ind w:left="0"/>
        <w:jc w:val="both"/>
      </w:pPr>
      <w:r>
        <w:rPr>
          <w:rFonts w:ascii="Times New Roman"/>
          <w:b w:val="false"/>
          <w:i w:val="false"/>
          <w:color w:val="000000"/>
          <w:sz w:val="28"/>
        </w:rPr>
        <w:t>
      - проработка увеличения располагаемых водных ресурсов за счет межбассейновых перебросок водного стока;</w:t>
      </w:r>
    </w:p>
    <w:p>
      <w:pPr>
        <w:spacing w:after="0"/>
        <w:ind w:left="0"/>
        <w:jc w:val="both"/>
      </w:pPr>
      <w:r>
        <w:rPr>
          <w:rFonts w:ascii="Times New Roman"/>
          <w:b w:val="false"/>
          <w:i w:val="false"/>
          <w:color w:val="000000"/>
          <w:sz w:val="28"/>
        </w:rPr>
        <w:t>
      - создание новых водохранилищ и ирригационных систем для их применения.</w:t>
      </w:r>
    </w:p>
    <w:p>
      <w:pPr>
        <w:spacing w:after="0"/>
        <w:ind w:left="0"/>
        <w:jc w:val="both"/>
      </w:pPr>
      <w:r>
        <w:rPr>
          <w:rFonts w:ascii="Times New Roman"/>
          <w:b w:val="false"/>
          <w:i w:val="false"/>
          <w:color w:val="000000"/>
          <w:sz w:val="28"/>
        </w:rPr>
        <w:t xml:space="preserve">
      Для поддержания водных объектов в надлежащем состоянии будет увеличена лесистость прилежащих территорий земель водного фонда. </w:t>
      </w:r>
    </w:p>
    <w:p>
      <w:pPr>
        <w:spacing w:after="0"/>
        <w:ind w:left="0"/>
        <w:jc w:val="both"/>
      </w:pPr>
      <w:r>
        <w:rPr>
          <w:rFonts w:ascii="Times New Roman"/>
          <w:b w:val="false"/>
          <w:i w:val="false"/>
          <w:color w:val="000000"/>
          <w:sz w:val="28"/>
        </w:rPr>
        <w:t xml:space="preserve">
      В целях ликвидации процессов деградации и опустынивания в низовьях реки Шидерты Павлодарской области, заполнения, подпитки озерных систем Кызылординской области и Тенгиз-Коргалжынской системы озер Коргалжынского государственного заповедника Акмолинской области проводятся компенсационные природоохранные попуски. </w:t>
      </w:r>
    </w:p>
    <w:p>
      <w:pPr>
        <w:spacing w:after="0"/>
        <w:ind w:left="0"/>
        <w:jc w:val="both"/>
      </w:pPr>
      <w:r>
        <w:rPr>
          <w:rFonts w:ascii="Times New Roman"/>
          <w:b w:val="false"/>
          <w:i w:val="false"/>
          <w:color w:val="000000"/>
          <w:sz w:val="28"/>
        </w:rPr>
        <w:t xml:space="preserve">
      Также будут осуществлены экологические попуски, обеспечивающие режим, близкий к естественному, для поддержания биологической продуктивности и санитарного благополучия. </w:t>
      </w:r>
    </w:p>
    <w:p>
      <w:pPr>
        <w:spacing w:after="0"/>
        <w:ind w:left="0"/>
        <w:jc w:val="both"/>
      </w:pPr>
      <w:r>
        <w:rPr>
          <w:rFonts w:ascii="Times New Roman"/>
          <w:b w:val="false"/>
          <w:i w:val="false"/>
          <w:color w:val="000000"/>
          <w:sz w:val="28"/>
        </w:rPr>
        <w:t>
      Составление долгосрочного прогноза баланса водных ресурсов по речным бассейнам является одной из важнейших задач водной политики. Детальные бассейновые схемы, учитывающие тенденции изменения объема доступных водных ресурсов и прогнозы потребления, будут лежать в основе долгосрочного планирования развития инфраструктуры. На постоянной основе будут проводиться работы по разработке бассейновых схем и их обновлению и совершенствованию системы сбора первичных материалов и их обработки, в том числе с использованием информационных систем.</w:t>
      </w:r>
    </w:p>
    <w:p>
      <w:pPr>
        <w:spacing w:after="0"/>
        <w:ind w:left="0"/>
        <w:jc w:val="both"/>
      </w:pPr>
      <w:r>
        <w:rPr>
          <w:rFonts w:ascii="Times New Roman"/>
          <w:b w:val="false"/>
          <w:i w:val="false"/>
          <w:color w:val="000000"/>
          <w:sz w:val="28"/>
        </w:rPr>
        <w:t>
      Для максимального ускорения внедрения новых технологий в сфере управления водными ресурсами будет обеспечена доступность первичных данных для всех потенциальных пользователей. Данные, собранные за счет средств государственного бюджета РК, будут размещены в открытом доступе.</w:t>
      </w:r>
    </w:p>
    <w:p>
      <w:pPr>
        <w:spacing w:after="0"/>
        <w:ind w:left="0"/>
        <w:jc w:val="both"/>
      </w:pPr>
      <w:r>
        <w:rPr>
          <w:rFonts w:ascii="Times New Roman"/>
          <w:b w:val="false"/>
          <w:i w:val="false"/>
          <w:color w:val="000000"/>
          <w:sz w:val="28"/>
        </w:rPr>
        <w:t>
      Учитывая поставленные целевые индикаторы и задачи, для достижения показателей прямых результатов требуется привлечение инвестиций для восстановления имеющейся и создания новой водохозяйственной инфраструктуры.</w:t>
      </w:r>
    </w:p>
    <w:p>
      <w:pPr>
        <w:spacing w:after="0"/>
        <w:ind w:left="0"/>
        <w:jc w:val="both"/>
      </w:pPr>
      <w:r>
        <w:rPr>
          <w:rFonts w:ascii="Times New Roman"/>
          <w:b w:val="false"/>
          <w:i w:val="false"/>
          <w:color w:val="000000"/>
          <w:sz w:val="28"/>
        </w:rPr>
        <w:t xml:space="preserve">
      Ввиду отсутствия бюджетных возможностей для финансирования капиталоемких проектов по восстановлению водохозяйственных систем и сооружений и реализации мер по плавному переходу на окупаемость и инвестиционную привлекательность отрасли будут на возвратной основе привлечены средства международных финансовых организаций на приемлемых условиях, с учетом их окупаемости, и изучены возможности привлечения частных инвестиций (крупных СХТП, других организаций) на принципах государственно-частного партнерства. </w:t>
      </w:r>
    </w:p>
    <w:p>
      <w:pPr>
        <w:spacing w:after="0"/>
        <w:ind w:left="0"/>
        <w:jc w:val="both"/>
      </w:pPr>
      <w:r>
        <w:rPr>
          <w:rFonts w:ascii="Times New Roman"/>
          <w:b w:val="false"/>
          <w:i w:val="false"/>
          <w:color w:val="000000"/>
          <w:sz w:val="28"/>
        </w:rPr>
        <w:t>
      Также будут проработаны меры по достижению окупаемости эксплуатационных расходов и инвестиционной привлекательности тарифов в долгосрочной перспективе на содержание и бесперебойное функционирование водохозяйственных систем и сооружений, постепенному уходу от сдерживания тарифов для сельского хозяйства с учетом передового зарубежного опыта.</w:t>
      </w:r>
    </w:p>
    <w:p>
      <w:pPr>
        <w:spacing w:after="0"/>
        <w:ind w:left="0"/>
        <w:jc w:val="both"/>
      </w:pPr>
      <w:r>
        <w:rPr>
          <w:rFonts w:ascii="Times New Roman"/>
          <w:b w:val="false"/>
          <w:i w:val="false"/>
          <w:color w:val="000000"/>
          <w:sz w:val="28"/>
        </w:rPr>
        <w:t>
      Для предотвращения чрезвычайных ситуаций, связанных с регулированием водных ресурсов, будет создана правовая основа обеспечения безопасности водоподпорных и водорегулирующих сооружений.</w:t>
      </w:r>
    </w:p>
    <w:p>
      <w:pPr>
        <w:spacing w:after="0"/>
        <w:ind w:left="0"/>
        <w:jc w:val="both"/>
      </w:pPr>
      <w:r>
        <w:rPr>
          <w:rFonts w:ascii="Times New Roman"/>
          <w:b w:val="false"/>
          <w:i w:val="false"/>
          <w:color w:val="000000"/>
          <w:sz w:val="28"/>
        </w:rPr>
        <w:t xml:space="preserve">
      Будет обеспечена безопасная эксплуатация водохозяйственных объектов и внедрены современные системы автоматизации, оповещения, диспетчеризации, управления водными ресурсами и водохозяйственными объектами и их использования. </w:t>
      </w:r>
    </w:p>
    <w:p>
      <w:pPr>
        <w:spacing w:after="0"/>
        <w:ind w:left="0"/>
        <w:jc w:val="both"/>
      </w:pPr>
      <w:r>
        <w:rPr>
          <w:rFonts w:ascii="Times New Roman"/>
          <w:b w:val="false"/>
          <w:i w:val="false"/>
          <w:color w:val="000000"/>
          <w:sz w:val="28"/>
        </w:rPr>
        <w:t xml:space="preserve">
      Маловодный цикл водообеспеченности наносит значительный ущерб экономике страны, особенно сельскохозяйственному производству. Будут предусмотрены меры по смягчению последствий таких явлений. </w:t>
      </w:r>
    </w:p>
    <w:p>
      <w:pPr>
        <w:spacing w:after="0"/>
        <w:ind w:left="0"/>
        <w:jc w:val="both"/>
      </w:pPr>
      <w:r>
        <w:rPr>
          <w:rFonts w:ascii="Times New Roman"/>
          <w:b w:val="false"/>
          <w:i w:val="false"/>
          <w:color w:val="000000"/>
          <w:sz w:val="28"/>
        </w:rPr>
        <w:t>
      Предусматриваются ежегодные организационно-технические меры по защите населения и экономики от паводковых (талых) вод.</w:t>
      </w:r>
    </w:p>
    <w:p>
      <w:pPr>
        <w:spacing w:after="0"/>
        <w:ind w:left="0"/>
        <w:jc w:val="both"/>
      </w:pPr>
      <w:r>
        <w:rPr>
          <w:rFonts w:ascii="Times New Roman"/>
          <w:b w:val="false"/>
          <w:i w:val="false"/>
          <w:color w:val="000000"/>
          <w:sz w:val="28"/>
        </w:rPr>
        <w:t>
      Для проведения дно- и берегоукрепительных работ в целях увеличения пропускной способности водных объектов предусматривается проведение обследования естественного гидрологического режима рек.</w:t>
      </w:r>
    </w:p>
    <w:p>
      <w:pPr>
        <w:spacing w:after="0"/>
        <w:ind w:left="0"/>
        <w:jc w:val="both"/>
      </w:pPr>
      <w:r>
        <w:rPr>
          <w:rFonts w:ascii="Times New Roman"/>
          <w:b w:val="false"/>
          <w:i w:val="false"/>
          <w:color w:val="000000"/>
          <w:sz w:val="28"/>
        </w:rPr>
        <w:t>
      В целях формирования навыков и знаний политики культуры водопотребления будет обеспечено научное сопровождение реализации Программы с привлечением ведущих институтов страны и мира для реализации научно-исследовательских работ и опытно-конструкторских разработок.</w:t>
      </w:r>
    </w:p>
    <w:p>
      <w:pPr>
        <w:spacing w:after="0"/>
        <w:ind w:left="0"/>
        <w:jc w:val="both"/>
      </w:pPr>
      <w:r>
        <w:rPr>
          <w:rFonts w:ascii="Times New Roman"/>
          <w:b w:val="false"/>
          <w:i w:val="false"/>
          <w:color w:val="000000"/>
          <w:sz w:val="28"/>
        </w:rPr>
        <w:t>
      В области образовательной сферы будут:</w:t>
      </w:r>
    </w:p>
    <w:p>
      <w:pPr>
        <w:spacing w:after="0"/>
        <w:ind w:left="0"/>
        <w:jc w:val="both"/>
      </w:pPr>
      <w:r>
        <w:rPr>
          <w:rFonts w:ascii="Times New Roman"/>
          <w:b w:val="false"/>
          <w:i w:val="false"/>
          <w:color w:val="000000"/>
          <w:sz w:val="28"/>
        </w:rPr>
        <w:t>
      - в соответствии с прогнозной потребностью обеспечены подготовка квалифицированных кадров для водохозяйственного сектора и повышение квалификации работников, увеличено соответствующее количество грантов по водным специальностям в рамках программы "Болашақ";</w:t>
      </w:r>
    </w:p>
    <w:p>
      <w:pPr>
        <w:spacing w:after="0"/>
        <w:ind w:left="0"/>
        <w:jc w:val="both"/>
      </w:pPr>
      <w:r>
        <w:rPr>
          <w:rFonts w:ascii="Times New Roman"/>
          <w:b w:val="false"/>
          <w:i w:val="false"/>
          <w:color w:val="000000"/>
          <w:sz w:val="28"/>
        </w:rPr>
        <w:t>
      - усилена техническая и технологическая база РГП на ПХВ "Таразский государственный университет им. М.Х.Дулати" Министерства образования и науки РК. Будут организованы различные обучающие курсы на базе профильных вузов и ТОО "Казахский научно-исследовательский институт водного хозяйства";</w:t>
      </w:r>
    </w:p>
    <w:p>
      <w:pPr>
        <w:spacing w:after="0"/>
        <w:ind w:left="0"/>
        <w:jc w:val="both"/>
      </w:pPr>
      <w:r>
        <w:rPr>
          <w:rFonts w:ascii="Times New Roman"/>
          <w:b w:val="false"/>
          <w:i w:val="false"/>
          <w:color w:val="000000"/>
          <w:sz w:val="28"/>
        </w:rPr>
        <w:t>
      - по всем инженерным специальностям в обучение будет включено изучение предметов, посвященных защите окружающей среды и производительности ресурсов (например, как в большинстве стран ОЭСР).</w:t>
      </w:r>
    </w:p>
    <w:p>
      <w:pPr>
        <w:spacing w:after="0"/>
        <w:ind w:left="0"/>
        <w:jc w:val="left"/>
      </w:pPr>
      <w:r>
        <w:rPr>
          <w:rFonts w:ascii="Times New Roman"/>
          <w:b/>
          <w:i w:val="false"/>
          <w:color w:val="000000"/>
        </w:rPr>
        <w:t xml:space="preserve"> 5.5. Совершенствование земельных отношений</w:t>
      </w:r>
    </w:p>
    <w:p>
      <w:pPr>
        <w:spacing w:after="0"/>
        <w:ind w:left="0"/>
        <w:jc w:val="both"/>
      </w:pPr>
      <w:r>
        <w:rPr>
          <w:rFonts w:ascii="Times New Roman"/>
          <w:b w:val="false"/>
          <w:i w:val="false"/>
          <w:color w:val="000000"/>
          <w:sz w:val="28"/>
        </w:rPr>
        <w:t>
      В целях совершенствования земельных отношений и рационального использования земель сельскохозяйственного назначения, предотвращения их деградации будут проведены следующие мероприятия:</w:t>
      </w:r>
    </w:p>
    <w:p>
      <w:pPr>
        <w:spacing w:after="0"/>
        <w:ind w:left="0"/>
        <w:jc w:val="both"/>
      </w:pPr>
      <w:r>
        <w:rPr>
          <w:rFonts w:ascii="Times New Roman"/>
          <w:b w:val="false"/>
          <w:i w:val="false"/>
          <w:color w:val="000000"/>
          <w:sz w:val="28"/>
        </w:rPr>
        <w:t>
      -проведение почвенных изысканий на площади 33 млн. га земель сельскохозяйственного назначения;</w:t>
      </w:r>
    </w:p>
    <w:p>
      <w:pPr>
        <w:spacing w:after="0"/>
        <w:ind w:left="0"/>
        <w:jc w:val="both"/>
      </w:pPr>
      <w:r>
        <w:rPr>
          <w:rFonts w:ascii="Times New Roman"/>
          <w:b w:val="false"/>
          <w:i w:val="false"/>
          <w:color w:val="000000"/>
          <w:sz w:val="28"/>
        </w:rPr>
        <w:t>
      -проведение геоботанических изысканий на площади 33 млн. га пастбищных угодий;</w:t>
      </w:r>
    </w:p>
    <w:p>
      <w:pPr>
        <w:spacing w:after="0"/>
        <w:ind w:left="0"/>
        <w:jc w:val="both"/>
      </w:pPr>
      <w:r>
        <w:rPr>
          <w:rFonts w:ascii="Times New Roman"/>
          <w:b w:val="false"/>
          <w:i w:val="false"/>
          <w:color w:val="000000"/>
          <w:sz w:val="28"/>
        </w:rPr>
        <w:t>
      - проведение работ по определению бонитета почв на землях сельскохозяйственного значения на площади 30 млн. га;</w:t>
      </w:r>
    </w:p>
    <w:p>
      <w:pPr>
        <w:spacing w:after="0"/>
        <w:ind w:left="0"/>
        <w:jc w:val="both"/>
      </w:pPr>
      <w:r>
        <w:rPr>
          <w:rFonts w:ascii="Times New Roman"/>
          <w:b w:val="false"/>
          <w:i w:val="false"/>
          <w:color w:val="000000"/>
          <w:sz w:val="28"/>
        </w:rPr>
        <w:t>
      - изготовление электронных земельно-кадастровых карт на 1175 учетных кварталов на землях городов и сельских населенных пунктов,</w:t>
      </w:r>
    </w:p>
    <w:p>
      <w:pPr>
        <w:spacing w:after="0"/>
        <w:ind w:left="0"/>
        <w:jc w:val="both"/>
      </w:pPr>
      <w:r>
        <w:rPr>
          <w:rFonts w:ascii="Times New Roman"/>
          <w:b w:val="false"/>
          <w:i w:val="false"/>
          <w:color w:val="000000"/>
          <w:sz w:val="28"/>
        </w:rPr>
        <w:t>
      - изготовление электронных почвенных и геоботанических карт на площади 66 млн. га.</w:t>
      </w:r>
    </w:p>
    <w:p>
      <w:pPr>
        <w:spacing w:after="0"/>
        <w:ind w:left="0"/>
        <w:jc w:val="both"/>
      </w:pPr>
      <w:r>
        <w:rPr>
          <w:rFonts w:ascii="Times New Roman"/>
          <w:b w:val="false"/>
          <w:i w:val="false"/>
          <w:color w:val="000000"/>
          <w:sz w:val="28"/>
        </w:rPr>
        <w:t>
      Кроме того, будет проведена ревизия земель, собственников земельных участков и землепользователей с целью достоверного количественного учета земельного фонда, а также будут получены актуальные данные о качественных характеристиках земель сельскохозяйственного назначения для применения поправочных коэффициентов к базовым ставкам платы за землю при определении их кадастровой (оценочной) стоимости.</w:t>
      </w:r>
    </w:p>
    <w:p>
      <w:pPr>
        <w:spacing w:after="0"/>
        <w:ind w:left="0"/>
        <w:jc w:val="both"/>
      </w:pPr>
      <w:r>
        <w:rPr>
          <w:rFonts w:ascii="Times New Roman"/>
          <w:b w:val="false"/>
          <w:i w:val="false"/>
          <w:color w:val="000000"/>
          <w:sz w:val="28"/>
        </w:rPr>
        <w:t>
      Также в целях защиты земель от водной и ветровой эрозии, создания микроклимата, улучшения плодородия почв, снего- и влагозадержания будут разработаны меры по созданию древесно-кустарниковых насаждений.</w:t>
      </w:r>
    </w:p>
    <w:p>
      <w:pPr>
        <w:spacing w:after="0"/>
        <w:ind w:left="0"/>
        <w:jc w:val="left"/>
      </w:pPr>
      <w:r>
        <w:rPr>
          <w:rFonts w:ascii="Times New Roman"/>
          <w:b/>
          <w:i w:val="false"/>
          <w:color w:val="000000"/>
        </w:rPr>
        <w:t xml:space="preserve"> 5.6.      Совершенствование системы государственных услуг</w:t>
      </w:r>
    </w:p>
    <w:p>
      <w:pPr>
        <w:spacing w:after="0"/>
        <w:ind w:left="0"/>
        <w:jc w:val="both"/>
      </w:pPr>
      <w:r>
        <w:rPr>
          <w:rFonts w:ascii="Times New Roman"/>
          <w:b w:val="false"/>
          <w:i w:val="false"/>
          <w:color w:val="000000"/>
          <w:sz w:val="28"/>
        </w:rPr>
        <w:t>
      Для повышения эффективности работы в сфере сельского хозяйства и упрощения получения государственных услуг будут предприняты следующие меры:</w:t>
      </w:r>
    </w:p>
    <w:p>
      <w:pPr>
        <w:spacing w:after="0"/>
        <w:ind w:left="0"/>
        <w:jc w:val="both"/>
      </w:pPr>
      <w:r>
        <w:rPr>
          <w:rFonts w:ascii="Times New Roman"/>
          <w:b w:val="false"/>
          <w:i w:val="false"/>
          <w:color w:val="000000"/>
          <w:sz w:val="28"/>
        </w:rPr>
        <w:t>
      - передача государственных услуг, находящихся в реестре государственных услуг в сфере сельского хозяйства, в НАО "Государственная корпорация "Правительство для граждан";</w:t>
      </w:r>
    </w:p>
    <w:p>
      <w:pPr>
        <w:spacing w:after="0"/>
        <w:ind w:left="0"/>
        <w:jc w:val="both"/>
      </w:pPr>
      <w:r>
        <w:rPr>
          <w:rFonts w:ascii="Times New Roman"/>
          <w:b w:val="false"/>
          <w:i w:val="false"/>
          <w:color w:val="000000"/>
          <w:sz w:val="28"/>
        </w:rPr>
        <w:t xml:space="preserve">
      - оптимизация реестра государственных услуг в сфере сельского хозяйства за счет передачи части услуг в конкурентную среду. </w:t>
      </w:r>
    </w:p>
    <w:p>
      <w:pPr>
        <w:spacing w:after="0"/>
        <w:ind w:left="0"/>
        <w:jc w:val="both"/>
      </w:pPr>
      <w:r>
        <w:rPr>
          <w:rFonts w:ascii="Times New Roman"/>
          <w:b w:val="false"/>
          <w:i w:val="false"/>
          <w:color w:val="000000"/>
          <w:sz w:val="28"/>
        </w:rPr>
        <w:t>
      К 2020 году доля государственных услуг, подлежащих оптимизации и автоматизации, составит 100 %.</w:t>
      </w:r>
    </w:p>
    <w:p>
      <w:pPr>
        <w:spacing w:after="0"/>
        <w:ind w:left="0"/>
        <w:jc w:val="left"/>
      </w:pPr>
      <w:r>
        <w:rPr>
          <w:rFonts w:ascii="Times New Roman"/>
          <w:b/>
          <w:i w:val="false"/>
          <w:color w:val="000000"/>
        </w:rPr>
        <w:t xml:space="preserve"> Дальнейшее развитие IT – технологий</w:t>
      </w:r>
    </w:p>
    <w:p>
      <w:pPr>
        <w:spacing w:after="0"/>
        <w:ind w:left="0"/>
        <w:jc w:val="both"/>
      </w:pPr>
      <w:r>
        <w:rPr>
          <w:rFonts w:ascii="Times New Roman"/>
          <w:b w:val="false"/>
          <w:i w:val="false"/>
          <w:color w:val="000000"/>
          <w:sz w:val="28"/>
        </w:rPr>
        <w:t>
      Будут продолжены внедрение информационных технологий в отрасли сельского хозяйства и развитие информационных систем, а также интеграция с системами государственных органов и стран-участниц ЕАЭС посредством национального шлюза по следующим процессам:</w:t>
      </w:r>
    </w:p>
    <w:p>
      <w:pPr>
        <w:spacing w:after="0"/>
        <w:ind w:left="0"/>
        <w:jc w:val="both"/>
      </w:pPr>
      <w:r>
        <w:rPr>
          <w:rFonts w:ascii="Times New Roman"/>
          <w:b w:val="false"/>
          <w:i w:val="false"/>
          <w:color w:val="000000"/>
          <w:sz w:val="28"/>
        </w:rPr>
        <w:t>
       - субсидированию и другим мерам государственной поддержки;</w:t>
      </w:r>
    </w:p>
    <w:p>
      <w:pPr>
        <w:spacing w:after="0"/>
        <w:ind w:left="0"/>
        <w:jc w:val="both"/>
      </w:pPr>
      <w:r>
        <w:rPr>
          <w:rFonts w:ascii="Times New Roman"/>
          <w:b w:val="false"/>
          <w:i w:val="false"/>
          <w:color w:val="000000"/>
          <w:sz w:val="28"/>
        </w:rPr>
        <w:t>
      - прослеживаемости животноводческой продукции;</w:t>
      </w:r>
    </w:p>
    <w:p>
      <w:pPr>
        <w:spacing w:after="0"/>
        <w:ind w:left="0"/>
        <w:jc w:val="both"/>
      </w:pPr>
      <w:r>
        <w:rPr>
          <w:rFonts w:ascii="Times New Roman"/>
          <w:b w:val="false"/>
          <w:i w:val="false"/>
          <w:color w:val="000000"/>
          <w:sz w:val="28"/>
        </w:rPr>
        <w:t>
      - прослеживаемости растениеводческой продукции;</w:t>
      </w:r>
    </w:p>
    <w:p>
      <w:pPr>
        <w:spacing w:after="0"/>
        <w:ind w:left="0"/>
        <w:jc w:val="both"/>
      </w:pPr>
      <w:r>
        <w:rPr>
          <w:rFonts w:ascii="Times New Roman"/>
          <w:b w:val="false"/>
          <w:i w:val="false"/>
          <w:color w:val="000000"/>
          <w:sz w:val="28"/>
        </w:rPr>
        <w:t>
      - мониторингу за оборотом рыбы и рыбной продукции;</w:t>
      </w:r>
    </w:p>
    <w:p>
      <w:pPr>
        <w:spacing w:after="0"/>
        <w:ind w:left="0"/>
        <w:jc w:val="both"/>
      </w:pPr>
      <w:r>
        <w:rPr>
          <w:rFonts w:ascii="Times New Roman"/>
          <w:b w:val="false"/>
          <w:i w:val="false"/>
          <w:color w:val="000000"/>
          <w:sz w:val="28"/>
        </w:rPr>
        <w:t>
      - управлению, мониторингу и учету водных ресурсов;</w:t>
      </w:r>
    </w:p>
    <w:p>
      <w:pPr>
        <w:spacing w:after="0"/>
        <w:ind w:left="0"/>
        <w:jc w:val="both"/>
      </w:pPr>
      <w:r>
        <w:rPr>
          <w:rFonts w:ascii="Times New Roman"/>
          <w:b w:val="false"/>
          <w:i w:val="false"/>
          <w:color w:val="000000"/>
          <w:sz w:val="28"/>
        </w:rPr>
        <w:t>
      - регистрации сельскохозяйственной техники, залогу, выдаче водительских удостоверений с использованием портального решения;</w:t>
      </w:r>
    </w:p>
    <w:p>
      <w:pPr>
        <w:spacing w:after="0"/>
        <w:ind w:left="0"/>
        <w:jc w:val="both"/>
      </w:pPr>
      <w:r>
        <w:rPr>
          <w:rFonts w:ascii="Times New Roman"/>
          <w:b w:val="false"/>
          <w:i w:val="false"/>
          <w:color w:val="000000"/>
          <w:sz w:val="28"/>
        </w:rPr>
        <w:t>
      - мониторингу и учету лесного фонда и предотвращению лесных пожаров;</w:t>
      </w:r>
    </w:p>
    <w:p>
      <w:pPr>
        <w:spacing w:after="0"/>
        <w:ind w:left="0"/>
        <w:jc w:val="both"/>
      </w:pPr>
      <w:r>
        <w:rPr>
          <w:rFonts w:ascii="Times New Roman"/>
          <w:b w:val="false"/>
          <w:i w:val="false"/>
          <w:color w:val="000000"/>
          <w:sz w:val="28"/>
        </w:rPr>
        <w:t>
      - мониторингу и управлению земельными ресурсами;</w:t>
      </w:r>
    </w:p>
    <w:p>
      <w:pPr>
        <w:spacing w:after="0"/>
        <w:ind w:left="0"/>
        <w:jc w:val="both"/>
      </w:pPr>
      <w:r>
        <w:rPr>
          <w:rFonts w:ascii="Times New Roman"/>
          <w:b w:val="false"/>
          <w:i w:val="false"/>
          <w:color w:val="000000"/>
          <w:sz w:val="28"/>
        </w:rPr>
        <w:t>
      - учету, производству, движению сельскохозяйственной продукции для СХТП, предприятий переработки, кооперативов.</w:t>
      </w:r>
    </w:p>
    <w:p>
      <w:pPr>
        <w:spacing w:after="0"/>
        <w:ind w:left="0"/>
        <w:jc w:val="both"/>
      </w:pPr>
      <w:r>
        <w:rPr>
          <w:rFonts w:ascii="Times New Roman"/>
          <w:b w:val="false"/>
          <w:i w:val="false"/>
          <w:color w:val="000000"/>
          <w:sz w:val="28"/>
        </w:rPr>
        <w:t>
      Направления 2-4 предусмотрены в рамках реализации Государственной программы "Цифровой Казахстан – 2020".</w:t>
      </w:r>
    </w:p>
    <w:p>
      <w:pPr>
        <w:spacing w:after="0"/>
        <w:ind w:left="0"/>
        <w:jc w:val="both"/>
      </w:pPr>
      <w:r>
        <w:rPr>
          <w:rFonts w:ascii="Times New Roman"/>
          <w:b w:val="false"/>
          <w:i w:val="false"/>
          <w:color w:val="000000"/>
          <w:sz w:val="28"/>
        </w:rPr>
        <w:t>
      Благодаря указанным мерам будут обеспечены:</w:t>
      </w:r>
    </w:p>
    <w:p>
      <w:pPr>
        <w:spacing w:after="0"/>
        <w:ind w:left="0"/>
        <w:jc w:val="both"/>
      </w:pPr>
      <w:r>
        <w:rPr>
          <w:rFonts w:ascii="Times New Roman"/>
          <w:b w:val="false"/>
          <w:i w:val="false"/>
          <w:color w:val="000000"/>
          <w:sz w:val="28"/>
        </w:rPr>
        <w:t>
      - перевод оказания государственных услуг в электронный вид;</w:t>
      </w:r>
    </w:p>
    <w:p>
      <w:pPr>
        <w:spacing w:after="0"/>
        <w:ind w:left="0"/>
        <w:jc w:val="both"/>
      </w:pPr>
      <w:r>
        <w:rPr>
          <w:rFonts w:ascii="Times New Roman"/>
          <w:b w:val="false"/>
          <w:i w:val="false"/>
          <w:color w:val="000000"/>
          <w:sz w:val="28"/>
        </w:rPr>
        <w:t>
      - повышение прозрачности и оперативности оказания государственных услуг;</w:t>
      </w:r>
    </w:p>
    <w:p>
      <w:pPr>
        <w:spacing w:after="0"/>
        <w:ind w:left="0"/>
        <w:jc w:val="both"/>
      </w:pPr>
      <w:r>
        <w:rPr>
          <w:rFonts w:ascii="Times New Roman"/>
          <w:b w:val="false"/>
          <w:i w:val="false"/>
          <w:color w:val="000000"/>
          <w:sz w:val="28"/>
        </w:rPr>
        <w:t>
      - повышение уровня информационной насыщенности отрасли;</w:t>
      </w:r>
    </w:p>
    <w:p>
      <w:pPr>
        <w:spacing w:after="0"/>
        <w:ind w:left="0"/>
        <w:jc w:val="both"/>
      </w:pPr>
      <w:r>
        <w:rPr>
          <w:rFonts w:ascii="Times New Roman"/>
          <w:b w:val="false"/>
          <w:i w:val="false"/>
          <w:color w:val="000000"/>
          <w:sz w:val="28"/>
        </w:rPr>
        <w:t xml:space="preserve">
      - создание предпосылок для экспорта продукции сельского хозяйства. </w:t>
      </w:r>
    </w:p>
    <w:p>
      <w:pPr>
        <w:spacing w:after="0"/>
        <w:ind w:left="0"/>
        <w:jc w:val="both"/>
      </w:pPr>
      <w:r>
        <w:rPr>
          <w:rFonts w:ascii="Times New Roman"/>
          <w:b w:val="false"/>
          <w:i w:val="false"/>
          <w:color w:val="000000"/>
          <w:sz w:val="28"/>
        </w:rPr>
        <w:t xml:space="preserve">
      Стоимость проектов будет определяться на стадии анализа и планирования проектов. </w:t>
      </w:r>
    </w:p>
    <w:p>
      <w:pPr>
        <w:spacing w:after="0"/>
        <w:ind w:left="0"/>
        <w:jc w:val="both"/>
      </w:pPr>
      <w:r>
        <w:rPr>
          <w:rFonts w:ascii="Times New Roman"/>
          <w:b w:val="false"/>
          <w:i w:val="false"/>
          <w:color w:val="000000"/>
          <w:sz w:val="28"/>
        </w:rPr>
        <w:t>
      Финансирование проектов будет осуществляться как со стороны инвестора, так и, при необходимости, со стороны государства в рамках механизмов государственно-частного партнерства (далее – ГЧП). Поэтому основные параметры, требования и результаты развития будут описаны в соответствующих концепциях ГЧП или технических заданиях на разработку информационных систем.</w:t>
      </w:r>
    </w:p>
    <w:p>
      <w:pPr>
        <w:spacing w:after="0"/>
        <w:ind w:left="0"/>
        <w:jc w:val="left"/>
      </w:pPr>
      <w:r>
        <w:rPr>
          <w:rFonts w:ascii="Times New Roman"/>
          <w:b/>
          <w:i w:val="false"/>
          <w:color w:val="000000"/>
        </w:rPr>
        <w:t xml:space="preserve"> 5.7. Оптимизация систем контроля, надзора, разрешений и оценки соответствия Ветеринарная безопасность</w:t>
      </w:r>
    </w:p>
    <w:p>
      <w:pPr>
        <w:spacing w:after="0"/>
        <w:ind w:left="0"/>
        <w:jc w:val="both"/>
      </w:pPr>
      <w:r>
        <w:rPr>
          <w:rFonts w:ascii="Times New Roman"/>
          <w:b w:val="false"/>
          <w:i w:val="false"/>
          <w:color w:val="000000"/>
          <w:sz w:val="28"/>
        </w:rPr>
        <w:t>
      Для предупреждения возникновения и распространения особо опасных болезней будет обеспечен 100-процентный охват иммунопрофилактическими мероприятиями сельскохозяйственных животных, подверженных риску заболевания. При этом доля сертифицированных по международным стандартам ветеринарных препаратов против особо опасных болезней, применяемых при иммунопрофилактических мероприятиях, будет не ниже 70 %, используемых для диагностических исследований, – не ниже 80 %.</w:t>
      </w:r>
    </w:p>
    <w:p>
      <w:pPr>
        <w:spacing w:after="0"/>
        <w:ind w:left="0"/>
        <w:jc w:val="both"/>
      </w:pPr>
      <w:r>
        <w:rPr>
          <w:rFonts w:ascii="Times New Roman"/>
          <w:b w:val="false"/>
          <w:i w:val="false"/>
          <w:color w:val="000000"/>
          <w:sz w:val="28"/>
        </w:rPr>
        <w:t>
      Ветеринарная безопасность будет обеспечена за счет проведения системных диагностических, профилактических и ликвидационных мероприятий на принципах анализа, оценки и управления рисками с учетом зонирования территории страны; увеличения использования ветеринарных диагностических и иммунопрофилактических препаратов, соответствующих международным стандартам.</w:t>
      </w:r>
    </w:p>
    <w:p>
      <w:pPr>
        <w:spacing w:after="0"/>
        <w:ind w:left="0"/>
        <w:jc w:val="both"/>
      </w:pPr>
      <w:r>
        <w:rPr>
          <w:rFonts w:ascii="Times New Roman"/>
          <w:b w:val="false"/>
          <w:i w:val="false"/>
          <w:color w:val="000000"/>
          <w:sz w:val="28"/>
        </w:rPr>
        <w:t>
      Также для обеспечения ветеринарной безопасности будут внесены изменения и дополнения в законодательство в части закрепления за местными исполнительными органами функций по закупу изделий, средств и атрибутов для идентификации сельскохозяйственных животных, а также внедрения системы оценки эффективности деятельности местных исполнительных органов в области ветеринарии.</w:t>
      </w:r>
    </w:p>
    <w:p>
      <w:pPr>
        <w:spacing w:after="0"/>
        <w:ind w:left="0"/>
        <w:jc w:val="both"/>
      </w:pPr>
      <w:r>
        <w:rPr>
          <w:rFonts w:ascii="Times New Roman"/>
          <w:b w:val="false"/>
          <w:i w:val="false"/>
          <w:color w:val="000000"/>
          <w:sz w:val="28"/>
        </w:rPr>
        <w:t>
      Кроме того, будут определены ветеринарные требования к государственным ветеринарным организациям, созданным местными исполнительными органами; ветеринарное законодательство будет гармонизировано с учетом рекомендаций Международного эпизоотического бюро (далее – МЭБ) и документов ЕАЭС; законодательно закреплена возможность местных исполнительных органов принимать административные меры при нарушении законодательства в области ветеринарии; будет установлена подотчетность сельскохозяйственных формирований подразделениям местных исполнительных органов при проведении ветеринарных мероприятий; усилен мониторинг пищевой продукции, подлежащей государственному ветеринарно-санитарному контролю и надзору.</w:t>
      </w:r>
    </w:p>
    <w:p>
      <w:pPr>
        <w:spacing w:after="0"/>
        <w:ind w:left="0"/>
        <w:jc w:val="both"/>
      </w:pPr>
      <w:r>
        <w:rPr>
          <w:rFonts w:ascii="Times New Roman"/>
          <w:b w:val="false"/>
          <w:i w:val="false"/>
          <w:color w:val="000000"/>
          <w:sz w:val="28"/>
        </w:rPr>
        <w:t>
      Также будет усилена координация заинтересованных государственных органов, международных организаций и общественных объединений, включая своевременное информирование о перемещениях подконтрольных государственному ветеринарно-санитарному контролю и надзору объектов, возникновении зооантропозоонозных болезней и ухудшении эпизоотической ситуации в сопредельных государствах.</w:t>
      </w:r>
    </w:p>
    <w:p>
      <w:pPr>
        <w:spacing w:after="0"/>
        <w:ind w:left="0"/>
        <w:jc w:val="both"/>
      </w:pPr>
      <w:r>
        <w:rPr>
          <w:rFonts w:ascii="Times New Roman"/>
          <w:b w:val="false"/>
          <w:i w:val="false"/>
          <w:color w:val="000000"/>
          <w:sz w:val="28"/>
        </w:rPr>
        <w:t>
      Кроме того, будут усилены контроль за ящуром, выработка единого подхода и стратегии по борьбе с ящуром на региональном уровне, объединение усилий ветеринарных служб среднеазиатского региона по борьбе с ящуром совместно с региональными и специальными комиссиями МЭБ.</w:t>
      </w:r>
    </w:p>
    <w:p>
      <w:pPr>
        <w:spacing w:after="0"/>
        <w:ind w:left="0"/>
        <w:jc w:val="left"/>
      </w:pPr>
      <w:r>
        <w:rPr>
          <w:rFonts w:ascii="Times New Roman"/>
          <w:b/>
          <w:i w:val="false"/>
          <w:color w:val="000000"/>
        </w:rPr>
        <w:t xml:space="preserve"> Фитосанитарная безопасность</w:t>
      </w:r>
    </w:p>
    <w:p>
      <w:pPr>
        <w:spacing w:after="0"/>
        <w:ind w:left="0"/>
        <w:jc w:val="both"/>
      </w:pPr>
      <w:r>
        <w:rPr>
          <w:rFonts w:ascii="Times New Roman"/>
          <w:b w:val="false"/>
          <w:i w:val="false"/>
          <w:color w:val="000000"/>
          <w:sz w:val="28"/>
        </w:rPr>
        <w:t>
      С целью обеспечения фитосанитарной безопасности будет разработан комплекс мер по стимулированию СХТП к сохранению благоприятной фитосанитарной обстановки путем проведения разъяснительных работ о фитосанитарных требованиях, порядке оказания государственных услуг, методах и подходах борьбы с карантинными и особо опасными вредными организмами.</w:t>
      </w:r>
    </w:p>
    <w:p>
      <w:pPr>
        <w:spacing w:after="0"/>
        <w:ind w:left="0"/>
        <w:jc w:val="both"/>
      </w:pPr>
      <w:r>
        <w:rPr>
          <w:rFonts w:ascii="Times New Roman"/>
          <w:b w:val="false"/>
          <w:i w:val="false"/>
          <w:color w:val="000000"/>
          <w:sz w:val="28"/>
        </w:rPr>
        <w:t xml:space="preserve">
      С целью принятия оперативных фитосанитарных мер будет предусмотрено регламентирование сроков наложения карантинной зоны с введением карантинного режима или его отмены местными исполнительными органами на соответствующих территориях, закрепление ответственности за местными исполнительными органами за проведение мониторинга по соблюдению СХТП требований законодательства по проведению фитосанитарных мероприятий и ликвидации карантинных объектов, регламентирование процедур введения и отмены временных карантинных фитосанитарных мер, порядка признания эквивалентности фитосанитарных мер других государств, правил проведения анализа фитосанитарного риска. </w:t>
      </w:r>
    </w:p>
    <w:p>
      <w:pPr>
        <w:spacing w:after="0"/>
        <w:ind w:left="0"/>
        <w:jc w:val="both"/>
      </w:pPr>
      <w:r>
        <w:rPr>
          <w:rFonts w:ascii="Times New Roman"/>
          <w:b w:val="false"/>
          <w:i w:val="false"/>
          <w:color w:val="000000"/>
          <w:sz w:val="28"/>
        </w:rPr>
        <w:t xml:space="preserve">
      Для стимулирования СХТП будет обеспечено внесение изменений в законодательство, предусматривающие субсидирование затрат СХТП на приобретение пестицидов и биопрепаратов (биоагентов) для борьбы с сорной растительностью, вредными и особо опасными вредными организмами, локализации и ликвидации карантинных объектов, за исключением стадных и нестадных видов саранчовых вредителей с численностью выше экономического порога вредности (далее – ЭПВ), бактериального ожога плодовых деревьев, дынной мухи, южноамериканской томатной моли и карантинных сорняков на землях запаса за счет средств РБ, а также возмещение затрат за уничтоженные плодовые деревья собственникам садов с целью стимулирования СХТП к обеспечению благополучной фитосанитарной обстановки на своей территории. Проведение субсидирования и возмещения затрат будет осуществлено за счет перераспределения финансовых средств, предусмотренных бюджетом на соответствующий период для борьбы с особо опасными вредными организмами и карантинными объектами. </w:t>
      </w:r>
    </w:p>
    <w:p>
      <w:pPr>
        <w:spacing w:after="0"/>
        <w:ind w:left="0"/>
        <w:jc w:val="both"/>
      </w:pPr>
      <w:r>
        <w:rPr>
          <w:rFonts w:ascii="Times New Roman"/>
          <w:b w:val="false"/>
          <w:i w:val="false"/>
          <w:color w:val="000000"/>
          <w:sz w:val="28"/>
        </w:rPr>
        <w:t>
      Для обеспечения благоприятной фитосанитарной обстановки будут внесены изменения и дополнения в законодательство по административным правонарушениям и земельным отношениям в части ужесточения ответственности и последствий для СХТП за неисполнение требований законодательства, внесены изменения и дополнения в законодательство в области карантина растений, предусматривающие внедрение механизма экстренного реагирования при ухудшении фитосанитарной обстановки, связанном с интродукцией и распространением ранее не зарегистрированного на территории республики карантинного объекта, будет обеспечено доведение материально-технического оснащения карантинных лабораторий, фитосанитарных контрольных постов и государственных инспекторов по карантину растений до уровня международных требований, а также своевременность проведения мероприятий по карантину и защите растений, в том числе обследовательских мероприятий по выявлению очагов распространения карантинных объектов, вредных и особо опасных вредных организмов, контролю за соблюдением фитосанитарных требований в отношении семенного и посадочного материала, ввозимого на территорию республики.</w:t>
      </w:r>
    </w:p>
    <w:p>
      <w:pPr>
        <w:spacing w:after="0"/>
        <w:ind w:left="0"/>
        <w:jc w:val="left"/>
      </w:pPr>
      <w:r>
        <w:rPr>
          <w:rFonts w:ascii="Times New Roman"/>
          <w:b/>
          <w:i w:val="false"/>
          <w:color w:val="000000"/>
        </w:rPr>
        <w:t xml:space="preserve"> Техническое регулирование</w:t>
      </w:r>
    </w:p>
    <w:p>
      <w:pPr>
        <w:spacing w:after="0"/>
        <w:ind w:left="0"/>
        <w:jc w:val="both"/>
      </w:pPr>
      <w:r>
        <w:rPr>
          <w:rFonts w:ascii="Times New Roman"/>
          <w:b w:val="false"/>
          <w:i w:val="false"/>
          <w:color w:val="000000"/>
          <w:sz w:val="28"/>
        </w:rPr>
        <w:t>
      В рамках технического регулирования отрасли будут разработаны стандарты, обеспечивающие переход на современные уровень развития и их гармонизацию в рамках ЕАЭС, усилено взаимодействие государственных органов для защиты рынка от фальсифицированной продукции, а также усовершенствованы имеющиеся или разработаны новые современные методы контроля (методики и стандарты) для выявления фальсифицированной продукции.</w:t>
      </w:r>
    </w:p>
    <w:p>
      <w:pPr>
        <w:spacing w:after="0"/>
        <w:ind w:left="0"/>
        <w:jc w:val="left"/>
      </w:pPr>
      <w:r>
        <w:rPr>
          <w:rFonts w:ascii="Times New Roman"/>
          <w:b/>
          <w:i w:val="false"/>
          <w:color w:val="000000"/>
        </w:rPr>
        <w:t xml:space="preserve"> 5.8. Обеспечение интеграции образования, науки и производства. Трансферт эффективных зарубежных технологий</w:t>
      </w:r>
    </w:p>
    <w:p>
      <w:pPr>
        <w:spacing w:after="0"/>
        <w:ind w:left="0"/>
        <w:jc w:val="both"/>
      </w:pPr>
      <w:r>
        <w:rPr>
          <w:rFonts w:ascii="Times New Roman"/>
          <w:b w:val="false"/>
          <w:i w:val="false"/>
          <w:color w:val="000000"/>
          <w:sz w:val="28"/>
        </w:rPr>
        <w:t>
      Для повышения конкурентоспособности АПК Казахстана необходимо обеспечить его ускоренное инновационное развитие на основе тесной интеграции производства, образования и науки, разработки и внедрения отечественных научных исследований, трансферта зарубежных эффективных технологий, подготовки и переподготовки кадров, востребованных на аграрном рынке страны.</w:t>
      </w:r>
    </w:p>
    <w:p>
      <w:pPr>
        <w:spacing w:after="0"/>
        <w:ind w:left="0"/>
        <w:jc w:val="both"/>
      </w:pPr>
      <w:r>
        <w:rPr>
          <w:rFonts w:ascii="Times New Roman"/>
          <w:b w:val="false"/>
          <w:i w:val="false"/>
          <w:color w:val="000000"/>
          <w:sz w:val="28"/>
        </w:rPr>
        <w:t>
      Будут обеспечены взаимодействие аграрной науки, образования и производства, а также сотрудничество с лучшими зарубежными партнерами по следующим вопросам:</w:t>
      </w:r>
    </w:p>
    <w:p>
      <w:pPr>
        <w:spacing w:after="0"/>
        <w:ind w:left="0"/>
        <w:jc w:val="both"/>
      </w:pPr>
      <w:r>
        <w:rPr>
          <w:rFonts w:ascii="Times New Roman"/>
          <w:b w:val="false"/>
          <w:i w:val="false"/>
          <w:color w:val="000000"/>
          <w:sz w:val="28"/>
        </w:rPr>
        <w:t>
      1) изучение потребностей аграрного сектора экономики в передовых технологиях для повышения эффективности сельского хозяйства;</w:t>
      </w:r>
    </w:p>
    <w:p>
      <w:pPr>
        <w:spacing w:after="0"/>
        <w:ind w:left="0"/>
        <w:jc w:val="both"/>
      </w:pPr>
      <w:r>
        <w:rPr>
          <w:rFonts w:ascii="Times New Roman"/>
          <w:b w:val="false"/>
          <w:i w:val="false"/>
          <w:color w:val="000000"/>
          <w:sz w:val="28"/>
        </w:rPr>
        <w:t>
      2) учет запросов СХТП при подготовке и переподготовке кадров;</w:t>
      </w:r>
    </w:p>
    <w:p>
      <w:pPr>
        <w:spacing w:after="0"/>
        <w:ind w:left="0"/>
        <w:jc w:val="both"/>
      </w:pPr>
      <w:r>
        <w:rPr>
          <w:rFonts w:ascii="Times New Roman"/>
          <w:b w:val="false"/>
          <w:i w:val="false"/>
          <w:color w:val="000000"/>
          <w:sz w:val="28"/>
        </w:rPr>
        <w:t>
      3) совместная разработка научных и образовательных программ силами НИИ, университетов, колледжей и СХТП;</w:t>
      </w:r>
    </w:p>
    <w:p>
      <w:pPr>
        <w:spacing w:after="0"/>
        <w:ind w:left="0"/>
        <w:jc w:val="both"/>
      </w:pPr>
      <w:r>
        <w:rPr>
          <w:rFonts w:ascii="Times New Roman"/>
          <w:b w:val="false"/>
          <w:i w:val="false"/>
          <w:color w:val="000000"/>
          <w:sz w:val="28"/>
        </w:rPr>
        <w:t>
      4) поиск потенциальных партнеров для проведения исследований или трансферта технологий в целях удовлетворения потребностей бизнес-структур;</w:t>
      </w:r>
    </w:p>
    <w:p>
      <w:pPr>
        <w:spacing w:after="0"/>
        <w:ind w:left="0"/>
        <w:jc w:val="both"/>
      </w:pPr>
      <w:r>
        <w:rPr>
          <w:rFonts w:ascii="Times New Roman"/>
          <w:b w:val="false"/>
          <w:i w:val="false"/>
          <w:color w:val="000000"/>
          <w:sz w:val="28"/>
        </w:rPr>
        <w:t xml:space="preserve">
      5) организация прямого внедрения в производство результатов исследований и трансферта технологий. </w:t>
      </w:r>
    </w:p>
    <w:p>
      <w:pPr>
        <w:spacing w:after="0"/>
        <w:ind w:left="0"/>
        <w:jc w:val="both"/>
      </w:pPr>
      <w:r>
        <w:rPr>
          <w:rFonts w:ascii="Times New Roman"/>
          <w:b w:val="false"/>
          <w:i w:val="false"/>
          <w:color w:val="000000"/>
          <w:sz w:val="28"/>
        </w:rPr>
        <w:t>
      Интеграция научного и кадрового обеспечения АПК позволит:</w:t>
      </w:r>
    </w:p>
    <w:p>
      <w:pPr>
        <w:spacing w:after="0"/>
        <w:ind w:left="0"/>
        <w:jc w:val="both"/>
      </w:pPr>
      <w:r>
        <w:rPr>
          <w:rFonts w:ascii="Times New Roman"/>
          <w:b w:val="false"/>
          <w:i w:val="false"/>
          <w:color w:val="000000"/>
          <w:sz w:val="28"/>
        </w:rPr>
        <w:t>
      - максимально эффективно использовать кадровый, имущественный, финансовый, интеллектуальный потенциал всех университетов, НИИ, ОПХ для осуществления научно-образовательной деятельности и оказания консалтинговых услуг;</w:t>
      </w:r>
    </w:p>
    <w:p>
      <w:pPr>
        <w:spacing w:after="0"/>
        <w:ind w:left="0"/>
        <w:jc w:val="both"/>
      </w:pPr>
      <w:r>
        <w:rPr>
          <w:rFonts w:ascii="Times New Roman"/>
          <w:b w:val="false"/>
          <w:i w:val="false"/>
          <w:color w:val="000000"/>
          <w:sz w:val="28"/>
        </w:rPr>
        <w:t>
      - создать стройную и единую систему подготовки кадров в университетах и колледжах, переподготовки и повышения квалификации в центрах распространения знаний;</w:t>
      </w:r>
    </w:p>
    <w:p>
      <w:pPr>
        <w:spacing w:after="0"/>
        <w:ind w:left="0"/>
        <w:jc w:val="both"/>
      </w:pPr>
      <w:r>
        <w:rPr>
          <w:rFonts w:ascii="Times New Roman"/>
          <w:b w:val="false"/>
          <w:i w:val="false"/>
          <w:color w:val="000000"/>
          <w:sz w:val="28"/>
        </w:rPr>
        <w:t>
      - сократить сроки внедрения в производство результатов научных исследований;</w:t>
      </w:r>
    </w:p>
    <w:p>
      <w:pPr>
        <w:spacing w:after="0"/>
        <w:ind w:left="0"/>
        <w:jc w:val="both"/>
      </w:pPr>
      <w:r>
        <w:rPr>
          <w:rFonts w:ascii="Times New Roman"/>
          <w:b w:val="false"/>
          <w:i w:val="false"/>
          <w:color w:val="000000"/>
          <w:sz w:val="28"/>
        </w:rPr>
        <w:t xml:space="preserve">
      - обеспечить подготовку научных кадров для отраслевых НИИ; </w:t>
      </w:r>
    </w:p>
    <w:p>
      <w:pPr>
        <w:spacing w:after="0"/>
        <w:ind w:left="0"/>
        <w:jc w:val="both"/>
      </w:pPr>
      <w:r>
        <w:rPr>
          <w:rFonts w:ascii="Times New Roman"/>
          <w:b w:val="false"/>
          <w:i w:val="false"/>
          <w:color w:val="000000"/>
          <w:sz w:val="28"/>
        </w:rPr>
        <w:t>
      - решить проблему организации и финансирования научных работ;</w:t>
      </w:r>
    </w:p>
    <w:p>
      <w:pPr>
        <w:spacing w:after="0"/>
        <w:ind w:left="0"/>
        <w:jc w:val="both"/>
      </w:pPr>
      <w:r>
        <w:rPr>
          <w:rFonts w:ascii="Times New Roman"/>
          <w:b w:val="false"/>
          <w:i w:val="false"/>
          <w:color w:val="000000"/>
          <w:sz w:val="28"/>
        </w:rPr>
        <w:t xml:space="preserve">
      - повысить эффективность использования инфраструктурных активов НИИ, ВУЗов и ОПХ в виде зданий, сооружений, земли, поголовья и т.п.; </w:t>
      </w:r>
    </w:p>
    <w:p>
      <w:pPr>
        <w:spacing w:after="0"/>
        <w:ind w:left="0"/>
        <w:jc w:val="both"/>
      </w:pPr>
      <w:r>
        <w:rPr>
          <w:rFonts w:ascii="Times New Roman"/>
          <w:b w:val="false"/>
          <w:i w:val="false"/>
          <w:color w:val="000000"/>
          <w:sz w:val="28"/>
        </w:rPr>
        <w:t>
      - рационально использовать возможности ОПХ как базы для внедрения научных разработок, апробации и адаптации зарубежных технологий, прохождения производственных практик студентов, функционирования центров распространения знаний.</w:t>
      </w:r>
    </w:p>
    <w:p>
      <w:pPr>
        <w:spacing w:after="0"/>
        <w:ind w:left="0"/>
        <w:jc w:val="both"/>
      </w:pPr>
      <w:r>
        <w:rPr>
          <w:rFonts w:ascii="Times New Roman"/>
          <w:b w:val="false"/>
          <w:i w:val="false"/>
          <w:color w:val="000000"/>
          <w:sz w:val="28"/>
        </w:rPr>
        <w:t>
      В целях обеспечения интеграции науки, образования и производства, кадрового обеспечения отрасли будут реализован переход от финансирования НИИ и ВУЗов в рамках программно-целевого финансирования к финансированию преимущественно творческих коллективов исключительно на конкурсной основе, обеспечено приоритетное финансирование исследований, нацеленных на решение конкретных запросов аграрного производства и достижение практических результатов.</w:t>
      </w:r>
    </w:p>
    <w:p>
      <w:pPr>
        <w:spacing w:after="0"/>
        <w:ind w:left="0"/>
        <w:jc w:val="both"/>
      </w:pPr>
      <w:r>
        <w:rPr>
          <w:rFonts w:ascii="Times New Roman"/>
          <w:b w:val="false"/>
          <w:i w:val="false"/>
          <w:color w:val="000000"/>
          <w:sz w:val="28"/>
        </w:rPr>
        <w:t>
      Также за счет собственных средств НАО "НАНОЦ" будут созданы специализированные сертифицированные научные лаборатории коллективного пользования для проведения научных исследований, использования в учебном процессе университетов, колледжей и центров передачи знаний, выполнения заказов бизнес-структур на коммерческой основе. Кроме того, будет предоставлен приоритет совместным исследованиям с зарубежными организациями – технологическими лидерами при апробации и адаптации мировых технологий.</w:t>
      </w:r>
    </w:p>
    <w:p>
      <w:pPr>
        <w:spacing w:after="0"/>
        <w:ind w:left="0"/>
        <w:jc w:val="both"/>
      </w:pPr>
      <w:r>
        <w:rPr>
          <w:rFonts w:ascii="Times New Roman"/>
          <w:b w:val="false"/>
          <w:i w:val="false"/>
          <w:color w:val="000000"/>
          <w:sz w:val="28"/>
        </w:rPr>
        <w:t>
      Также будут установлены требования об обязательном софинансировании прикладных НИОКР субъектами АПК и/или отраслевыми ассоциациями – потребителями планируемых результатов, с последующим внедрением на базе субъектов АПК и организацией демонстрационных участков.</w:t>
      </w:r>
    </w:p>
    <w:p>
      <w:pPr>
        <w:spacing w:after="0"/>
        <w:ind w:left="0"/>
        <w:jc w:val="both"/>
      </w:pPr>
      <w:r>
        <w:rPr>
          <w:rFonts w:ascii="Times New Roman"/>
          <w:b w:val="false"/>
          <w:i w:val="false"/>
          <w:color w:val="000000"/>
          <w:sz w:val="28"/>
        </w:rPr>
        <w:t>
      Кроме того, в целях внедрения механизма выплат отчислений за использование результатов интеллектуальной и (или) творческой деятельности между авторами, патентообладателями и пользователями результатов селекционных достижений будут приняты меры по совершенствованию действующего законодательства.</w:t>
      </w:r>
    </w:p>
    <w:p>
      <w:pPr>
        <w:spacing w:after="0"/>
        <w:ind w:left="0"/>
        <w:jc w:val="both"/>
      </w:pPr>
      <w:r>
        <w:rPr>
          <w:rFonts w:ascii="Times New Roman"/>
          <w:b w:val="false"/>
          <w:i w:val="false"/>
          <w:color w:val="000000"/>
          <w:sz w:val="28"/>
        </w:rPr>
        <w:t>
      Для обеспечения интеграции науки, образования и производства будет проработан вопрос законодательного обеспечения создания двух исследовательских университетов в сфере АПК на базе КазНАУ в г. Алматы (в форме агротехнологического хаба) и КазАТУ в г. Астане.</w:t>
      </w:r>
    </w:p>
    <w:p>
      <w:pPr>
        <w:spacing w:after="0"/>
        <w:ind w:left="0"/>
        <w:jc w:val="both"/>
      </w:pPr>
      <w:r>
        <w:rPr>
          <w:rFonts w:ascii="Times New Roman"/>
          <w:b w:val="false"/>
          <w:i w:val="false"/>
          <w:color w:val="000000"/>
          <w:sz w:val="28"/>
        </w:rPr>
        <w:t xml:space="preserve">
      Для каждого из указанных университетов будут утверждены программы развития, предусматривающие расширение автономии по примеру АОО "Назарбаев Университет" и расширение функционала в направлении научных исследований, трансферта и адаптации зарубежных технологий и распространения знаний. </w:t>
      </w:r>
    </w:p>
    <w:p>
      <w:pPr>
        <w:spacing w:after="0"/>
        <w:ind w:left="0"/>
        <w:jc w:val="both"/>
      </w:pPr>
      <w:r>
        <w:rPr>
          <w:rFonts w:ascii="Times New Roman"/>
          <w:b w:val="false"/>
          <w:i w:val="false"/>
          <w:color w:val="000000"/>
          <w:sz w:val="28"/>
        </w:rPr>
        <w:t xml:space="preserve">
      Реформирование университетов будет осуществляться в партнерстве с ведущими в мире исследовательскими университетами аграрного профиля с приглашением зарубежных профессоров для модернизации образовательных программ и преподавания. </w:t>
      </w:r>
    </w:p>
    <w:p>
      <w:pPr>
        <w:spacing w:after="0"/>
        <w:ind w:left="0"/>
        <w:jc w:val="both"/>
      </w:pPr>
      <w:r>
        <w:rPr>
          <w:rFonts w:ascii="Times New Roman"/>
          <w:b w:val="false"/>
          <w:i w:val="false"/>
          <w:color w:val="000000"/>
          <w:sz w:val="28"/>
        </w:rPr>
        <w:t>
      С целью создания справедливой конкурентной среды и эффективного распределения ресурсов будут проработаны вопросы:</w:t>
      </w:r>
    </w:p>
    <w:p>
      <w:pPr>
        <w:spacing w:after="0"/>
        <w:ind w:left="0"/>
        <w:jc w:val="both"/>
      </w:pPr>
      <w:r>
        <w:rPr>
          <w:rFonts w:ascii="Times New Roman"/>
          <w:b w:val="false"/>
          <w:i w:val="false"/>
          <w:color w:val="000000"/>
          <w:sz w:val="28"/>
        </w:rPr>
        <w:t>
      1) выравнивания стоимости образовательных грантов между национальными и другими университетами;</w:t>
      </w:r>
    </w:p>
    <w:p>
      <w:pPr>
        <w:spacing w:after="0"/>
        <w:ind w:left="0"/>
        <w:jc w:val="both"/>
      </w:pPr>
      <w:r>
        <w:rPr>
          <w:rFonts w:ascii="Times New Roman"/>
          <w:b w:val="false"/>
          <w:i w:val="false"/>
          <w:color w:val="000000"/>
          <w:sz w:val="28"/>
        </w:rPr>
        <w:t xml:space="preserve">
      2) перехода к предоставлению грантов на послевузовские программы непосредственно поступающим, с предоставлением им возможности самостоятельно выбирать в каком университете обучаться. </w:t>
      </w:r>
    </w:p>
    <w:p>
      <w:pPr>
        <w:spacing w:after="0"/>
        <w:ind w:left="0"/>
        <w:jc w:val="both"/>
      </w:pPr>
      <w:r>
        <w:rPr>
          <w:rFonts w:ascii="Times New Roman"/>
          <w:b w:val="false"/>
          <w:i w:val="false"/>
          <w:color w:val="000000"/>
          <w:sz w:val="28"/>
        </w:rPr>
        <w:t>
      Для этого будет осуществлено поэтапное расширение академической, административной и финансовой автономии университетов, НИИ и ОПХ с разработкой и реализацией программ реформирования каждого из университетов, НИИ и ОПХ.</w:t>
      </w:r>
    </w:p>
    <w:p>
      <w:pPr>
        <w:spacing w:after="0"/>
        <w:ind w:left="0"/>
        <w:jc w:val="both"/>
      </w:pPr>
      <w:r>
        <w:rPr>
          <w:rFonts w:ascii="Times New Roman"/>
          <w:b w:val="false"/>
          <w:i w:val="false"/>
          <w:color w:val="000000"/>
          <w:sz w:val="28"/>
        </w:rPr>
        <w:t>
      Также будет восстановлена подготовка кадров рабочих массовых профессий по программам бывших технических училищ (далее – ТУ) со сроком обучения 10 месяцев для выпускников средней школы и 2-3 года для выпускников 9 классов средней школы и расширено количество учебных мест в колледжах для подготовки кадров со среднеспециальным образованием аграрного профиля.</w:t>
      </w:r>
    </w:p>
    <w:p>
      <w:pPr>
        <w:spacing w:after="0"/>
        <w:ind w:left="0"/>
        <w:jc w:val="both"/>
      </w:pPr>
      <w:r>
        <w:rPr>
          <w:rFonts w:ascii="Times New Roman"/>
          <w:b w:val="false"/>
          <w:i w:val="false"/>
          <w:color w:val="000000"/>
          <w:sz w:val="28"/>
        </w:rPr>
        <w:t>
      Будут включены в Классификатор специальностей РК специальности: "Экономика и управление в аграрном секторе", "Бухгалтерский учет и аудит в аграрном секторе" и "Аграрное право" отдельной строкой для подготовки специалистов для сельскохозяйственных кооперативов с выделением адресного государственного образовательного гранта на подготовку бакалавров по указанным специальностям, а также для ускоренной подготовки профильных специалистов с послевузовским уровнем образования через магистратуру по указанным специальностям.</w:t>
      </w:r>
    </w:p>
    <w:p>
      <w:pPr>
        <w:spacing w:after="0"/>
        <w:ind w:left="0"/>
        <w:jc w:val="both"/>
      </w:pPr>
      <w:r>
        <w:rPr>
          <w:rFonts w:ascii="Times New Roman"/>
          <w:b w:val="false"/>
          <w:i w:val="false"/>
          <w:color w:val="000000"/>
          <w:sz w:val="28"/>
        </w:rPr>
        <w:t>
      Также будет проработан вопрос расширения перечня сельскохозяйственных специальностей для участия в программе "С дипломом – в село!".</w:t>
      </w:r>
    </w:p>
    <w:p>
      <w:pPr>
        <w:spacing w:after="0"/>
        <w:ind w:left="0"/>
        <w:jc w:val="both"/>
      </w:pPr>
      <w:r>
        <w:rPr>
          <w:rFonts w:ascii="Times New Roman"/>
          <w:b w:val="false"/>
          <w:i w:val="false"/>
          <w:color w:val="000000"/>
          <w:sz w:val="28"/>
        </w:rPr>
        <w:t>
      Будут организованы переподготовка и повышение квалификации работников аграрного сектора, создание на базе передовых хозяйств, НИИ и университетов, центров распространения знаний, консультационных центров и демонстрационных площадок по практике применения передовых технологий, с обеспечением доступа к ним для всех заинтересованных субъектов АПК, также центры распространения знаний для формирования вертикальной кооперации между поставщиками сырья и переработчиками на базе перерабатывающих предприятий.</w:t>
      </w:r>
    </w:p>
    <w:p>
      <w:pPr>
        <w:spacing w:after="0"/>
        <w:ind w:left="0"/>
        <w:jc w:val="both"/>
      </w:pPr>
      <w:r>
        <w:rPr>
          <w:rFonts w:ascii="Times New Roman"/>
          <w:b w:val="false"/>
          <w:i w:val="false"/>
          <w:color w:val="000000"/>
          <w:sz w:val="28"/>
        </w:rPr>
        <w:t>
      Все указанные меры, с одной стороны, повысят заинтересованность субъектов АПК в сотрудничестве с академическим сообществом, позволят объективно ставить задачи ученым и оценивать качество полученных результатов. С другой стороны, для академического сообщества будет создан дополнительный источник финансирования через субъекты агробизнеса, которые заинтересованы платить только за качественные научные разработки.</w:t>
      </w:r>
    </w:p>
    <w:p>
      <w:pPr>
        <w:spacing w:after="0"/>
        <w:ind w:left="0"/>
        <w:jc w:val="both"/>
      </w:pPr>
      <w:r>
        <w:rPr>
          <w:rFonts w:ascii="Times New Roman"/>
          <w:b w:val="false"/>
          <w:i w:val="false"/>
          <w:color w:val="000000"/>
          <w:sz w:val="28"/>
        </w:rPr>
        <w:t xml:space="preserve">
      В целом, эти меры позволят повысить конкурентоспособность аграрного сектора путем тесной интеграции науки, образования и производства, разработки отечественных научных разработок, трансферта зарубежных прорывных инновационных проектов и их ускоренного внедрения в производство, повышения качества подготовки и переподготовки кадров, востребованных на аграрном рынке страны. </w:t>
      </w:r>
    </w:p>
    <w:p>
      <w:pPr>
        <w:spacing w:after="0"/>
        <w:ind w:left="0"/>
        <w:jc w:val="both"/>
      </w:pPr>
      <w:r>
        <w:rPr>
          <w:rFonts w:ascii="Times New Roman"/>
          <w:b w:val="false"/>
          <w:i w:val="false"/>
          <w:color w:val="000000"/>
          <w:sz w:val="28"/>
        </w:rPr>
        <w:t>
      Для создания эффективной системы поддержки трансферта зарубежных технологий на базе существующего Центра трансферта и коммерциализации агротехнологий (далее – ЦТКА) будет развернут функционал по мониторингу, прогнозированию технологических задач и организации трансферта технологий в АПК.</w:t>
      </w:r>
    </w:p>
    <w:p>
      <w:pPr>
        <w:spacing w:after="0"/>
        <w:ind w:left="0"/>
        <w:jc w:val="both"/>
      </w:pPr>
      <w:r>
        <w:rPr>
          <w:rFonts w:ascii="Times New Roman"/>
          <w:b w:val="false"/>
          <w:i w:val="false"/>
          <w:color w:val="000000"/>
          <w:sz w:val="28"/>
        </w:rPr>
        <w:t>
      С этой целью деятельность ЦТКА будет переориентирована на следующие направления:</w:t>
      </w:r>
    </w:p>
    <w:p>
      <w:pPr>
        <w:spacing w:after="0"/>
        <w:ind w:left="0"/>
        <w:jc w:val="both"/>
      </w:pPr>
      <w:r>
        <w:rPr>
          <w:rFonts w:ascii="Times New Roman"/>
          <w:b w:val="false"/>
          <w:i w:val="false"/>
          <w:color w:val="000000"/>
          <w:sz w:val="28"/>
        </w:rPr>
        <w:t>
      - аналитические исследования в части мониторинга существующих и прогнозирования перспективных задач технологического характера в АПК;</w:t>
      </w:r>
    </w:p>
    <w:p>
      <w:pPr>
        <w:spacing w:after="0"/>
        <w:ind w:left="0"/>
        <w:jc w:val="both"/>
      </w:pPr>
      <w:r>
        <w:rPr>
          <w:rFonts w:ascii="Times New Roman"/>
          <w:b w:val="false"/>
          <w:i w:val="false"/>
          <w:color w:val="000000"/>
          <w:sz w:val="28"/>
        </w:rPr>
        <w:t xml:space="preserve">
      - оперативный поиск оптимальных технологических решений для существующих и перспективных задач в АПК; </w:t>
      </w:r>
    </w:p>
    <w:p>
      <w:pPr>
        <w:spacing w:after="0"/>
        <w:ind w:left="0"/>
        <w:jc w:val="both"/>
      </w:pPr>
      <w:r>
        <w:rPr>
          <w:rFonts w:ascii="Times New Roman"/>
          <w:b w:val="false"/>
          <w:i w:val="false"/>
          <w:color w:val="000000"/>
          <w:sz w:val="28"/>
        </w:rPr>
        <w:t>
      - содействие трансферту оптимальных технологических решений путем организации переговоров, привлечения инвесторов и другими методами;</w:t>
      </w:r>
    </w:p>
    <w:p>
      <w:pPr>
        <w:spacing w:after="0"/>
        <w:ind w:left="0"/>
        <w:jc w:val="both"/>
      </w:pPr>
      <w:r>
        <w:rPr>
          <w:rFonts w:ascii="Times New Roman"/>
          <w:b w:val="false"/>
          <w:i w:val="false"/>
          <w:color w:val="000000"/>
          <w:sz w:val="28"/>
        </w:rPr>
        <w:t>
      - формирование базы данных лучших мировых технологий в сфере АПК.</w:t>
      </w:r>
    </w:p>
    <w:p>
      <w:pPr>
        <w:spacing w:after="0"/>
        <w:ind w:left="0"/>
        <w:jc w:val="both"/>
      </w:pPr>
      <w:r>
        <w:rPr>
          <w:rFonts w:ascii="Times New Roman"/>
          <w:b w:val="false"/>
          <w:i w:val="false"/>
          <w:color w:val="000000"/>
          <w:sz w:val="28"/>
        </w:rPr>
        <w:t>
      Результаты мониторинга существующих и прогнозирования перспективных задач будут использоваться МСХ при финансировании НИОКР в качестве приоритетных направлений научных исследований и других мероприятий, направленных на модернизацию АПК.</w:t>
      </w:r>
    </w:p>
    <w:p>
      <w:pPr>
        <w:spacing w:after="0"/>
        <w:ind w:left="0"/>
        <w:jc w:val="both"/>
      </w:pPr>
      <w:r>
        <w:rPr>
          <w:rFonts w:ascii="Times New Roman"/>
          <w:b w:val="false"/>
          <w:i w:val="false"/>
          <w:color w:val="000000"/>
          <w:sz w:val="28"/>
        </w:rPr>
        <w:t>
      Будет проводиться работа совместно с дипломатическими представительствами РК за рубежом, дипломатическими представительствами зарубежных стран в РК, зарубежными офисами трансферта и офисами коммерциализации технологий.</w:t>
      </w:r>
    </w:p>
    <w:p>
      <w:pPr>
        <w:spacing w:after="0"/>
        <w:ind w:left="0"/>
        <w:jc w:val="both"/>
      </w:pPr>
      <w:r>
        <w:rPr>
          <w:rFonts w:ascii="Times New Roman"/>
          <w:b w:val="false"/>
          <w:i w:val="false"/>
          <w:color w:val="000000"/>
          <w:sz w:val="28"/>
        </w:rPr>
        <w:t xml:space="preserve">
      Для оказания информационных услуг на безвозмездной основе в перечень информации и услуг, подлежащих предоставлению субъектам АПК на безвозмездной основе специализированными организациями, будут внесены изменения и дополнения по оказанию услуг в поиске оптимальных технических решений и организации трансферта. </w:t>
      </w:r>
    </w:p>
    <w:p>
      <w:pPr>
        <w:spacing w:after="0"/>
        <w:ind w:left="0"/>
        <w:jc w:val="left"/>
      </w:pPr>
      <w:r>
        <w:rPr>
          <w:rFonts w:ascii="Times New Roman"/>
          <w:b/>
          <w:i w:val="false"/>
          <w:color w:val="000000"/>
        </w:rPr>
        <w:t xml:space="preserve"> 6. Необходимые ресурсы,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2825"/>
        <w:gridCol w:w="2826"/>
        <w:gridCol w:w="2565"/>
        <w:gridCol w:w="2566"/>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359697162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198202164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144494912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17000086</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397855880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201941545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151000478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44913857</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429359455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207895670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158375681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63088104</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558841783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281563096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193634272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83644415</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628405077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326317805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204476860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97610412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2374159356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1215920279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851982203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306256874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p>
      <w:pPr>
        <w:spacing w:after="0"/>
        <w:ind w:left="0"/>
        <w:jc w:val="left"/>
      </w:pPr>
      <w:r>
        <w:rPr>
          <w:rFonts w:ascii="Times New Roman"/>
          <w:b/>
          <w:i w:val="false"/>
          <w:color w:val="000000"/>
        </w:rPr>
        <w:t xml:space="preserve"> Производство продуктов переработки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2248"/>
        <w:gridCol w:w="1890"/>
        <w:gridCol w:w="2248"/>
        <w:gridCol w:w="2248"/>
        <w:gridCol w:w="1955"/>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производство, тыс. тонн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населением, тыс. тонн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продукцией отечественного производства, в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молока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обработанного молока</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кисломолочной продукции</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сливочного масла</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сыра и творога</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мяса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колбасных изделий</w:t>
            </w: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мясных и мясорастительных консервов</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муки</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крупы</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макаронной продукции</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плодово-овощные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картофеля</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bl>
    <w:p>
      <w:pPr>
        <w:spacing w:after="0"/>
        <w:ind w:left="0"/>
        <w:jc w:val="left"/>
      </w:pPr>
      <w:r>
        <w:rPr>
          <w:rFonts w:ascii="Times New Roman"/>
          <w:b/>
          <w:i w:val="false"/>
          <w:color w:val="000000"/>
        </w:rPr>
        <w:t xml:space="preserve"> Внутренний рынок свежей, охлажденной и замороженной 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1893"/>
        <w:gridCol w:w="1453"/>
        <w:gridCol w:w="1453"/>
        <w:gridCol w:w="1453"/>
        <w:gridCol w:w="1454"/>
        <w:gridCol w:w="1454"/>
        <w:gridCol w:w="2793"/>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 к 2011 г., в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по нац. нормам (5 кг на 1 чел.), тонн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85 803,5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87 088,5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1 чел., кг</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Улов рыбы, тонн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Выращено товарной рыбы, тонн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рыбы и рыбопродуктов (в пересчете), тонн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рыбы и рыбопродуктов (в пересчете), тонн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48 432,7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52 234,3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тонн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70 505,5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61 180,4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69 573,7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импорта во внутреннем потреблении,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p>
      <w:pPr>
        <w:spacing w:after="0"/>
        <w:ind w:left="0"/>
        <w:jc w:val="left"/>
      </w:pPr>
      <w:r>
        <w:rPr>
          <w:rFonts w:ascii="Times New Roman"/>
          <w:b/>
          <w:i w:val="false"/>
          <w:color w:val="000000"/>
        </w:rPr>
        <w:t xml:space="preserve"> Уточненная посевная площадь сельскохозяйственных культур, тыс.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197"/>
        <w:gridCol w:w="2197"/>
        <w:gridCol w:w="2197"/>
        <w:gridCol w:w="2198"/>
        <w:gridCol w:w="2198"/>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Вся посевная площадь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и з/бобовые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пшеница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11771,1</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з/бобовые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подсолнечник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Овощебахчевые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овощи</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и виноград</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плоды и ягоды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культуры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bl>
    <w:p>
      <w:pPr>
        <w:spacing w:after="0"/>
        <w:ind w:left="0"/>
        <w:jc w:val="left"/>
      </w:pPr>
      <w:r>
        <w:rPr>
          <w:rFonts w:ascii="Times New Roman"/>
          <w:b/>
          <w:i w:val="false"/>
          <w:color w:val="000000"/>
        </w:rPr>
        <w:t xml:space="preserve"> Основные показатели производства зерновых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2150"/>
        <w:gridCol w:w="1186"/>
        <w:gridCol w:w="2151"/>
        <w:gridCol w:w="2151"/>
        <w:gridCol w:w="1461"/>
        <w:gridCol w:w="937"/>
        <w:gridCol w:w="941"/>
      </w:tblGrid>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 тыс. тонн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 тыс. тонн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12863,3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p>
        </w:tc>
      </w:tr>
    </w:tbl>
    <w:p>
      <w:pPr>
        <w:spacing w:after="0"/>
        <w:ind w:left="0"/>
        <w:jc w:val="left"/>
      </w:pPr>
      <w:r>
        <w:rPr>
          <w:rFonts w:ascii="Times New Roman"/>
          <w:b/>
          <w:i w:val="false"/>
          <w:color w:val="000000"/>
        </w:rPr>
        <w:t xml:space="preserve"> Основные показатели производства масличных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2112"/>
        <w:gridCol w:w="1336"/>
        <w:gridCol w:w="2113"/>
        <w:gridCol w:w="1957"/>
        <w:gridCol w:w="1646"/>
        <w:gridCol w:w="821"/>
        <w:gridCol w:w="826"/>
      </w:tblGrid>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 </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 тыс.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p>
        </w:tc>
      </w:tr>
    </w:tbl>
    <w:p>
      <w:pPr>
        <w:spacing w:after="0"/>
        <w:ind w:left="0"/>
        <w:jc w:val="left"/>
      </w:pPr>
      <w:r>
        <w:rPr>
          <w:rFonts w:ascii="Times New Roman"/>
          <w:b/>
          <w:i w:val="false"/>
          <w:color w:val="000000"/>
        </w:rPr>
        <w:t xml:space="preserve"> Основные показатели производства кормовых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08"/>
        <w:gridCol w:w="1241"/>
        <w:gridCol w:w="1476"/>
        <w:gridCol w:w="1241"/>
        <w:gridCol w:w="1008"/>
        <w:gridCol w:w="1241"/>
        <w:gridCol w:w="1476"/>
        <w:gridCol w:w="1008"/>
        <w:gridCol w:w="1478"/>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Силосные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5 лет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p>
        </w:tc>
      </w:tr>
    </w:tbl>
    <w:p>
      <w:pPr>
        <w:spacing w:after="0"/>
        <w:ind w:left="0"/>
        <w:jc w:val="left"/>
      </w:pPr>
      <w:r>
        <w:rPr>
          <w:rFonts w:ascii="Times New Roman"/>
          <w:b/>
          <w:i w:val="false"/>
          <w:color w:val="000000"/>
        </w:rPr>
        <w:t xml:space="preserve"> Основные показатели производства овощей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4"/>
        <w:gridCol w:w="1688"/>
        <w:gridCol w:w="1688"/>
        <w:gridCol w:w="2167"/>
        <w:gridCol w:w="2168"/>
        <w:gridCol w:w="1689"/>
        <w:gridCol w:w="1372"/>
      </w:tblGrid>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 сбор, тыс.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bl>
    <w:p>
      <w:pPr>
        <w:spacing w:after="0"/>
        <w:ind w:left="0"/>
        <w:jc w:val="left"/>
      </w:pPr>
      <w:r>
        <w:rPr>
          <w:rFonts w:ascii="Times New Roman"/>
          <w:b/>
          <w:i w:val="false"/>
          <w:color w:val="000000"/>
        </w:rPr>
        <w:t xml:space="preserve"> Основные показатели производства картофеля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733"/>
        <w:gridCol w:w="1733"/>
        <w:gridCol w:w="2225"/>
        <w:gridCol w:w="2226"/>
        <w:gridCol w:w="1733"/>
        <w:gridCol w:w="1081"/>
      </w:tblGrid>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 тыс.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bl>
    <w:p>
      <w:pPr>
        <w:spacing w:after="0"/>
        <w:ind w:left="0"/>
        <w:jc w:val="left"/>
      </w:pPr>
      <w:r>
        <w:rPr>
          <w:rFonts w:ascii="Times New Roman"/>
          <w:b/>
          <w:i w:val="false"/>
          <w:color w:val="000000"/>
        </w:rPr>
        <w:t xml:space="preserve"> Основные показатели производства плодово-ягодных культур и виноградников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526"/>
        <w:gridCol w:w="1526"/>
        <w:gridCol w:w="1879"/>
        <w:gridCol w:w="1871"/>
        <w:gridCol w:w="746"/>
        <w:gridCol w:w="1858"/>
        <w:gridCol w:w="21"/>
        <w:gridCol w:w="1172"/>
      </w:tblGrid>
      <w:tr>
        <w:trPr>
          <w:trHeight w:val="30" w:hRule="atLeast"/>
        </w:trPr>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w:t>
            </w:r>
            <w:r>
              <w:br/>
            </w:r>
            <w:r>
              <w:rPr>
                <w:rFonts w:ascii="Times New Roman"/>
                <w:b w:val="false"/>
                <w:i w:val="false"/>
                <w:color w:val="000000"/>
                <w:sz w:val="20"/>
              </w:rPr>
              <w:t>
тыс. тонн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 тыс. тонн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ягоды</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w:t>
            </w:r>
            <w:r>
              <w:br/>
            </w:r>
            <w:r>
              <w:rPr>
                <w:rFonts w:ascii="Times New Roman"/>
                <w:b w:val="false"/>
                <w:i w:val="false"/>
                <w:color w:val="000000"/>
                <w:sz w:val="20"/>
              </w:rPr>
              <w:t>
5 лет</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bl>
    <w:p>
      <w:pPr>
        <w:spacing w:after="0"/>
        <w:ind w:left="0"/>
        <w:jc w:val="left"/>
      </w:pPr>
      <w:r>
        <w:rPr>
          <w:rFonts w:ascii="Times New Roman"/>
          <w:b/>
          <w:i w:val="false"/>
          <w:color w:val="000000"/>
        </w:rPr>
        <w:t xml:space="preserve"> Основные показатели производства сахарной свеклы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599"/>
        <w:gridCol w:w="1969"/>
        <w:gridCol w:w="1969"/>
        <w:gridCol w:w="1969"/>
        <w:gridCol w:w="1969"/>
        <w:gridCol w:w="1043"/>
      </w:tblGrid>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 тыс.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 </w:t>
      </w:r>
      <w:r>
        <w:rPr>
          <w:rFonts w:ascii="Times New Roman"/>
          <w:b w:val="false"/>
          <w:i/>
          <w:color w:val="000000"/>
          <w:sz w:val="28"/>
        </w:rPr>
        <w:t>тростниковый сахар-сырец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p>
        </w:tc>
      </w:tr>
    </w:tbl>
    <w:p>
      <w:pPr>
        <w:spacing w:after="0"/>
        <w:ind w:left="0"/>
        <w:jc w:val="left"/>
      </w:pPr>
      <w:r>
        <w:rPr>
          <w:rFonts w:ascii="Times New Roman"/>
          <w:b/>
          <w:i w:val="false"/>
          <w:color w:val="000000"/>
        </w:rPr>
        <w:t xml:space="preserve"> Основные показатели производства хлопчатника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883"/>
        <w:gridCol w:w="1530"/>
        <w:gridCol w:w="1883"/>
        <w:gridCol w:w="1884"/>
        <w:gridCol w:w="1530"/>
        <w:gridCol w:w="1885"/>
      </w:tblGrid>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 тыс.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bl>
    <w:p>
      <w:pPr>
        <w:spacing w:after="0"/>
        <w:ind w:left="0"/>
        <w:jc w:val="both"/>
      </w:pPr>
      <w:r>
        <w:rPr>
          <w:rFonts w:ascii="Times New Roman"/>
          <w:b w:val="false"/>
          <w:i w:val="false"/>
          <w:color w:val="000000"/>
          <w:sz w:val="28"/>
        </w:rPr>
        <w:t>
      *- хлопок-волокно в пересчете на хлопок-сырец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p>
        </w:tc>
      </w:tr>
    </w:tbl>
    <w:p>
      <w:pPr>
        <w:spacing w:after="0"/>
        <w:ind w:left="0"/>
        <w:jc w:val="left"/>
      </w:pPr>
      <w:r>
        <w:rPr>
          <w:rFonts w:ascii="Times New Roman"/>
          <w:b/>
          <w:i w:val="false"/>
          <w:color w:val="000000"/>
        </w:rPr>
        <w:t xml:space="preserve"> Репродукционный состав высеянных семян сельскохозяйственных культур под урожай 2011 - 2015 годов,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027"/>
        <w:gridCol w:w="1027"/>
        <w:gridCol w:w="1027"/>
        <w:gridCol w:w="1339"/>
        <w:gridCol w:w="1339"/>
        <w:gridCol w:w="1340"/>
        <w:gridCol w:w="1340"/>
        <w:gridCol w:w="1340"/>
        <w:gridCol w:w="1028"/>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высеянных семян,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питомники размножения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репродукция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репродукция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репродукция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репродукция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репродукция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репродукция</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bl>
    <w:p>
      <w:pPr>
        <w:spacing w:after="0"/>
        <w:ind w:left="0"/>
        <w:jc w:val="left"/>
      </w:pPr>
      <w:r>
        <w:rPr>
          <w:rFonts w:ascii="Times New Roman"/>
          <w:b/>
          <w:i w:val="false"/>
          <w:color w:val="000000"/>
        </w:rPr>
        <w:t xml:space="preserve"> Динамика применения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1349"/>
        <w:gridCol w:w="1604"/>
        <w:gridCol w:w="1605"/>
        <w:gridCol w:w="1605"/>
        <w:gridCol w:w="1605"/>
        <w:gridCol w:w="2244"/>
      </w:tblGrid>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научно-обоснованная потребность в удобрениях, в действующем веществе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минеральных удобрений, млн. тонн в действующем веществе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на 1 га посевной площади, кг в действующем веществе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удобренная минеральными удобрениями, тыс. га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площади, удобренной минеральными удобрениями, от всей посевной, %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Внесено органических удобрений, млн. тонн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110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на 1 га посевной площади, тонн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удобренная органическими удобрениями, тыс. га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площади, удобренной органическими удобрениями, от всей посевной, %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bl>
    <w:p>
      <w:pPr>
        <w:spacing w:after="0"/>
        <w:ind w:left="0"/>
        <w:jc w:val="left"/>
      </w:pPr>
      <w:r>
        <w:rPr>
          <w:rFonts w:ascii="Times New Roman"/>
          <w:b/>
          <w:i w:val="false"/>
          <w:color w:val="000000"/>
        </w:rPr>
        <w:t xml:space="preserve"> Объем государственной поддержки за 2011-2015 годы, млн. тг.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014"/>
        <w:gridCol w:w="1451"/>
        <w:gridCol w:w="1451"/>
        <w:gridCol w:w="1358"/>
        <w:gridCol w:w="1452"/>
        <w:gridCol w:w="1452"/>
        <w:gridCol w:w="2602"/>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г.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2015 г. к 2011 г.</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ГСМ и других ТМЦ, необходимых для проведения ВП и ОУР (</w:t>
            </w:r>
            <w:r>
              <w:rPr>
                <w:rFonts w:ascii="Times New Roman"/>
                <w:b w:val="false"/>
                <w:i/>
                <w:color w:val="000000"/>
                <w:sz w:val="20"/>
              </w:rPr>
              <w:t>гектарная субсидия</w:t>
            </w: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18 572,7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40 616,8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38 364,7</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9 672,7</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закладку и выращивание (в том числе восстановление) многолетних насаждений плодово-ягодных культур и винограда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экспертизу качества хлопка-сырца и хлопка-волокна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сельскохозяйственного сырья для производства продуктов ее глубокой переработки (производство сахара)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29 500,9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31 465,9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66 594,2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64 591,3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bl>
    <w:p>
      <w:pPr>
        <w:spacing w:after="0"/>
        <w:ind w:left="0"/>
        <w:jc w:val="left"/>
      </w:pPr>
      <w:r>
        <w:rPr>
          <w:rFonts w:ascii="Times New Roman"/>
          <w:b/>
          <w:i w:val="false"/>
          <w:color w:val="000000"/>
        </w:rPr>
        <w:t xml:space="preserve"> Динамика распространения карантинных объектов на территории РК,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30"/>
        <w:gridCol w:w="1735"/>
        <w:gridCol w:w="1922"/>
        <w:gridCol w:w="1922"/>
        <w:gridCol w:w="1923"/>
        <w:gridCol w:w="1923"/>
        <w:gridCol w:w="1923"/>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г.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белая бабочка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плодожорка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974,556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Дынная муха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Калифорнийская щитовка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2776,36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Непарный шелкопряд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26456,756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104157,45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280061,056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55707,2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Комстока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Разновидности черного усача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шелкопряд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моль</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ожог плодовых культур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картофельная нематода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многолетняя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полыннолистная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167434,8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137327,1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177655,03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136194,3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193621,32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156781,9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колючий</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Повилики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6173,58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4566,44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194323,13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182563,744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301143,245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432526,746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264332,161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179622,741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bl>
    <w:p>
      <w:pPr>
        <w:spacing w:after="0"/>
        <w:ind w:left="0"/>
        <w:jc w:val="left"/>
      </w:pPr>
      <w:r>
        <w:rPr>
          <w:rFonts w:ascii="Times New Roman"/>
          <w:b/>
          <w:i w:val="false"/>
          <w:color w:val="000000"/>
        </w:rPr>
        <w:t xml:space="preserve"> Производство продукции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198"/>
        <w:gridCol w:w="1865"/>
        <w:gridCol w:w="1865"/>
        <w:gridCol w:w="2198"/>
        <w:gridCol w:w="3642"/>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производство, тыс. тонн</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3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продукцией отечественного производства, 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2364"/>
        <w:gridCol w:w="2042"/>
        <w:gridCol w:w="2042"/>
        <w:gridCol w:w="2364"/>
        <w:gridCol w:w="1934"/>
      </w:tblGrid>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4 930,3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645,7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5 067,9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684,6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5 182,4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568,9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5038,78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млн. штук</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 за 5 лет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bl>
    <w:p>
      <w:pPr>
        <w:spacing w:after="0"/>
        <w:ind w:left="0"/>
        <w:jc w:val="both"/>
      </w:pPr>
      <w:r>
        <w:rPr>
          <w:rFonts w:ascii="Times New Roman"/>
          <w:b w:val="false"/>
          <w:i w:val="false"/>
          <w:color w:val="000000"/>
          <w:sz w:val="28"/>
        </w:rPr>
        <w:t>
      Примечание: *- данные МСХ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bl>
    <w:p>
      <w:pPr>
        <w:spacing w:after="0"/>
        <w:ind w:left="0"/>
        <w:jc w:val="left"/>
      </w:pPr>
      <w:r>
        <w:rPr>
          <w:rFonts w:ascii="Times New Roman"/>
          <w:b/>
          <w:i w:val="false"/>
          <w:color w:val="000000"/>
        </w:rPr>
        <w:t xml:space="preserve"> Продуктивность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1207"/>
        <w:gridCol w:w="1207"/>
        <w:gridCol w:w="1207"/>
        <w:gridCol w:w="1207"/>
        <w:gridCol w:w="1207"/>
        <w:gridCol w:w="1207"/>
        <w:gridCol w:w="1208"/>
        <w:gridCol w:w="1208"/>
      </w:tblGrid>
      <w:tr>
        <w:trPr>
          <w:trHeight w:val="30" w:hRule="atLeast"/>
        </w:trPr>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живой вес одной головы скота и птицы, забитых или реализуемых на убой,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r>
      <w:tr>
        <w:trPr>
          <w:trHeight w:val="30" w:hRule="atLeast"/>
        </w:trPr>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bl>
    <w:p>
      <w:pPr>
        <w:spacing w:after="0"/>
        <w:ind w:left="0"/>
        <w:jc w:val="left"/>
      </w:pPr>
      <w:r>
        <w:rPr>
          <w:rFonts w:ascii="Times New Roman"/>
          <w:b/>
          <w:i w:val="false"/>
          <w:color w:val="000000"/>
        </w:rPr>
        <w:t xml:space="preserve"> Численность поголовья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375"/>
        <w:gridCol w:w="843"/>
        <w:gridCol w:w="1376"/>
        <w:gridCol w:w="843"/>
        <w:gridCol w:w="1659"/>
        <w:gridCol w:w="844"/>
        <w:gridCol w:w="1660"/>
        <w:gridCol w:w="844"/>
        <w:gridCol w:w="1660"/>
        <w:gridCol w:w="845"/>
      </w:tblGrid>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животные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поголовья, тыс. голов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племенного поголовья, %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поголовья, тыс. голов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племенного поголовья,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поголовья, тыс. голов</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племенного поголовья,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поголовья, тыс. голов</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племенного поголовья,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поголовья, тыс. голов</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племенного поголовья,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5 833,80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6 028,70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6 179,80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15 532,40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1 936,70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2 068,90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34 155,50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35 000,70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35 623,40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bl>
    <w:p>
      <w:pPr>
        <w:spacing w:after="0"/>
        <w:ind w:left="0"/>
        <w:jc w:val="left"/>
      </w:pPr>
      <w:r>
        <w:rPr>
          <w:rFonts w:ascii="Times New Roman"/>
          <w:b/>
          <w:i w:val="false"/>
          <w:color w:val="000000"/>
        </w:rPr>
        <w:t xml:space="preserve"> Объем субсидий за 2011 - 2015 годы, млн. тг.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1767"/>
        <w:gridCol w:w="1768"/>
        <w:gridCol w:w="1767"/>
        <w:gridCol w:w="1769"/>
        <w:gridCol w:w="1767"/>
        <w:gridCol w:w="3167"/>
      </w:tblGrid>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животноводства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2015 г. к 2011 г.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скотоводство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1 1796,6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13 844,8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2 0812,6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31 781,6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Молочное скотоводство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птицеводство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Яичное птицеводство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Свиноводство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3 133,9</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Овцеводство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Коневодство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Верблюдоводство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Мараловодство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31 454,2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49 302,3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69 060,9</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bl>
    <w:p>
      <w:pPr>
        <w:spacing w:after="0"/>
        <w:ind w:left="0"/>
        <w:jc w:val="left"/>
      </w:pPr>
      <w:r>
        <w:rPr>
          <w:rFonts w:ascii="Times New Roman"/>
          <w:b/>
          <w:i w:val="false"/>
          <w:color w:val="000000"/>
        </w:rPr>
        <w:t xml:space="preserve"> Объем производства продукции животноводства, охваченный субсидированием в 2015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670"/>
        <w:gridCol w:w="2671"/>
        <w:gridCol w:w="1691"/>
        <w:gridCol w:w="2671"/>
        <w:gridCol w:w="1692"/>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тыс. тонн/млн. шт*</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Просубсидированный объем продукции, тыс. тонн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субсидированием</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в СХТП</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субсидированием</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яйцо*</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Конина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Кумыс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p>
      <w:pPr>
        <w:spacing w:after="0"/>
        <w:ind w:left="0"/>
        <w:jc w:val="both"/>
      </w:pPr>
      <w:r>
        <w:rPr>
          <w:rFonts w:ascii="Times New Roman"/>
          <w:b w:val="false"/>
          <w:i w:val="false"/>
          <w:color w:val="000000"/>
          <w:sz w:val="28"/>
        </w:rPr>
        <w:t>
      </w:t>
      </w:r>
      <w:r>
        <w:rPr>
          <w:rFonts w:ascii="Times New Roman"/>
          <w:b w:val="false"/>
          <w:i/>
          <w:color w:val="000000"/>
          <w:sz w:val="28"/>
        </w:rPr>
        <w:t>* единица измерения для пищевого я</w:t>
      </w:r>
      <w:r>
        <w:rPr>
          <w:rFonts w:ascii="Times New Roman"/>
          <w:b w:val="false"/>
          <w:i/>
          <w:color w:val="000000"/>
          <w:sz w:val="28"/>
        </w:rPr>
        <w:t>й</w:t>
      </w:r>
      <w:r>
        <w:rPr>
          <w:rFonts w:ascii="Times New Roman"/>
          <w:b w:val="false"/>
          <w:i/>
          <w:color w:val="000000"/>
          <w:sz w:val="28"/>
        </w:rPr>
        <w:t>ца (млн. штук)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bl>
    <w:p>
      <w:pPr>
        <w:spacing w:after="0"/>
        <w:ind w:left="0"/>
        <w:jc w:val="left"/>
      </w:pPr>
      <w:r>
        <w:rPr>
          <w:rFonts w:ascii="Times New Roman"/>
          <w:b/>
          <w:i w:val="false"/>
          <w:color w:val="000000"/>
        </w:rPr>
        <w:t xml:space="preserve"> Эпизоотическая ситуация по особо опасным болезням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025"/>
        <w:gridCol w:w="2119"/>
        <w:gridCol w:w="2119"/>
        <w:gridCol w:w="2119"/>
        <w:gridCol w:w="2119"/>
        <w:gridCol w:w="2119"/>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опасные болезни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Зарегистрированные очаги с начала года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очаги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Ликвидированные очаги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bl>
    <w:p>
      <w:pPr>
        <w:spacing w:after="0"/>
        <w:ind w:left="0"/>
        <w:jc w:val="left"/>
      </w:pPr>
      <w:r>
        <w:rPr>
          <w:rFonts w:ascii="Times New Roman"/>
          <w:b/>
          <w:i w:val="false"/>
          <w:color w:val="000000"/>
        </w:rPr>
        <w:t xml:space="preserve"> Эпизоотическая ситуация по хроническим болезням животных</w:t>
      </w:r>
      <w:r>
        <w:br/>
      </w:r>
      <w:r>
        <w:rPr>
          <w:rFonts w:ascii="Times New Roman"/>
          <w:b/>
          <w:i w:val="false"/>
          <w:color w:val="000000"/>
        </w:rPr>
        <w:t>(неблагополучные пункты по бруцеллҰзу)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54"/>
        <w:gridCol w:w="2151"/>
        <w:gridCol w:w="2151"/>
        <w:gridCol w:w="2151"/>
        <w:gridCol w:w="2151"/>
        <w:gridCol w:w="2151"/>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Зарегистрированные</w:t>
            </w:r>
            <w:r>
              <w:br/>
            </w:r>
            <w:r>
              <w:rPr>
                <w:rFonts w:ascii="Times New Roman"/>
                <w:b w:val="false"/>
                <w:i w:val="false"/>
                <w:color w:val="000000"/>
                <w:sz w:val="20"/>
              </w:rPr>
              <w:t xml:space="preserve">
очаги с начала года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Переходящие очаги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Оздоровленные очаги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bl>
    <w:p>
      <w:pPr>
        <w:spacing w:after="0"/>
        <w:ind w:left="0"/>
        <w:jc w:val="left"/>
      </w:pPr>
      <w:r>
        <w:rPr>
          <w:rFonts w:ascii="Times New Roman"/>
          <w:b/>
          <w:i w:val="false"/>
          <w:color w:val="000000"/>
        </w:rPr>
        <w:t xml:space="preserve"> Органическая продукция за 2015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436"/>
        <w:gridCol w:w="3347"/>
        <w:gridCol w:w="3347"/>
        <w:gridCol w:w="2888"/>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тонн</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тонн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Рыжик</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(период конверсии)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Залежные земли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ЛҰн (период конверсии)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желтая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ОвҰс</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Рапсовый жмых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(период конверсии)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Соевый жмых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(период конверсии)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(период конверсии)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виноград</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лен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 просо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292 066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299 679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bl>
    <w:p>
      <w:pPr>
        <w:spacing w:after="0"/>
        <w:ind w:left="0"/>
        <w:jc w:val="left"/>
      </w:pPr>
      <w:r>
        <w:rPr>
          <w:rFonts w:ascii="Times New Roman"/>
          <w:b/>
          <w:i w:val="false"/>
          <w:color w:val="000000"/>
        </w:rPr>
        <w:t xml:space="preserve"> Экспортный потенциал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979"/>
        <w:gridCol w:w="979"/>
        <w:gridCol w:w="979"/>
        <w:gridCol w:w="979"/>
        <w:gridCol w:w="979"/>
        <w:gridCol w:w="979"/>
        <w:gridCol w:w="979"/>
        <w:gridCol w:w="979"/>
        <w:gridCol w:w="979"/>
        <w:gridCol w:w="979"/>
        <w:gridCol w:w="845"/>
        <w:gridCol w:w="711"/>
        <w:gridCol w:w="712"/>
      </w:tblGrid>
      <w:tr>
        <w:trPr>
          <w:trHeight w:val="30" w:hRule="atLeast"/>
        </w:trPr>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продукции из Казахстана в импорте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 тонн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млн.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 тонн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млн.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 тонн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млн.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 тонн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млн.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 тонн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млн.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 тонн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млн.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объема</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Говядина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птицы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КИТАЙСКАЯ НАРОДНАЯ РЕСПУБЛИКА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Говядина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38348,6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Говядина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Говядина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ТУРКМЕНИЯ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Источник: </w:t>
      </w:r>
      <w:r>
        <w:rPr>
          <w:rFonts w:ascii="Times New Roman"/>
          <w:b w:val="false"/>
          <w:i/>
          <w:color w:val="000000"/>
          <w:sz w:val="28"/>
        </w:rPr>
        <w:t>www</w:t>
      </w:r>
      <w:r>
        <w:rPr>
          <w:rFonts w:ascii="Times New Roman"/>
          <w:b w:val="false"/>
          <w:i/>
          <w:color w:val="000000"/>
          <w:sz w:val="28"/>
        </w:rPr>
        <w:t>.</w:t>
      </w:r>
      <w:r>
        <w:rPr>
          <w:rFonts w:ascii="Times New Roman"/>
          <w:b w:val="false"/>
          <w:i/>
          <w:color w:val="000000"/>
          <w:sz w:val="28"/>
        </w:rPr>
        <w:t>trademap</w:t>
      </w:r>
      <w:r>
        <w:rPr>
          <w:rFonts w:ascii="Times New Roman"/>
          <w:b w:val="false"/>
          <w:i/>
          <w:color w:val="000000"/>
          <w:sz w:val="28"/>
        </w:rPr>
        <w:t>.</w:t>
      </w:r>
      <w:r>
        <w:rPr>
          <w:rFonts w:ascii="Times New Roman"/>
          <w:b w:val="false"/>
          <w:i/>
          <w:color w:val="000000"/>
          <w:sz w:val="28"/>
        </w:rPr>
        <w:t>org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bl>
    <w:p>
      <w:pPr>
        <w:spacing w:after="0"/>
        <w:ind w:left="0"/>
        <w:jc w:val="left"/>
      </w:pPr>
      <w:r>
        <w:rPr>
          <w:rFonts w:ascii="Times New Roman"/>
          <w:b/>
          <w:i w:val="false"/>
          <w:color w:val="000000"/>
        </w:rPr>
        <w:t xml:space="preserve"> Обеспеченность водных бассейнов Казахстана за 2015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2320"/>
        <w:gridCol w:w="2320"/>
        <w:gridCol w:w="1780"/>
        <w:gridCol w:w="1780"/>
        <w:gridCol w:w="2858"/>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бассейна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водные ресурсы, км</w:t>
            </w:r>
            <w:r>
              <w:rPr>
                <w:rFonts w:ascii="Times New Roman"/>
                <w:b w:val="false"/>
                <w:i w:val="false"/>
                <w:color w:val="000000"/>
                <w:vertAlign w:val="superscript"/>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Трансграничные водные ресурсы, км</w:t>
            </w:r>
            <w:r>
              <w:rPr>
                <w:rFonts w:ascii="Times New Roman"/>
                <w:b w:val="false"/>
                <w:i w:val="false"/>
                <w:color w:val="000000"/>
                <w:vertAlign w:val="superscript"/>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 км</w:t>
            </w:r>
            <w:r>
              <w:rPr>
                <w:rFonts w:ascii="Times New Roman"/>
                <w:b w:val="false"/>
                <w:i w:val="false"/>
                <w:color w:val="000000"/>
                <w:vertAlign w:val="superscript"/>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км</w:t>
            </w:r>
            <w:r>
              <w:rPr>
                <w:rFonts w:ascii="Times New Roman"/>
                <w:b w:val="false"/>
                <w:i w:val="false"/>
                <w:color w:val="000000"/>
                <w:vertAlign w:val="superscript"/>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км</w:t>
            </w:r>
            <w:r>
              <w:rPr>
                <w:rFonts w:ascii="Times New Roman"/>
                <w:b w:val="false"/>
                <w:i w:val="false"/>
                <w:color w:val="000000"/>
                <w:vertAlign w:val="superscript"/>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 Казахстан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w:t>
            </w:r>
          </w:p>
        </w:tc>
      </w:tr>
    </w:tbl>
    <w:p>
      <w:pPr>
        <w:spacing w:after="0"/>
        <w:ind w:left="0"/>
        <w:jc w:val="left"/>
      </w:pPr>
      <w:r>
        <w:rPr>
          <w:rFonts w:ascii="Times New Roman"/>
          <w:b/>
          <w:i w:val="false"/>
          <w:color w:val="000000"/>
        </w:rPr>
        <w:t xml:space="preserve"> Потенциальное снижение притока воды к 2040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461"/>
        <w:gridCol w:w="1483"/>
        <w:gridCol w:w="2124"/>
        <w:gridCol w:w="2124"/>
        <w:gridCol w:w="1483"/>
        <w:gridCol w:w="2125"/>
        <w:gridCol w:w="2125"/>
      </w:tblGrid>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бассейна</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забираемый соседними государствами,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поступающий в Республику Казахстан,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 сценарий 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 сценарий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 сценарий 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 сценарий 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 Каратал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Аса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 Казахстан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bl>
    <w:p>
      <w:pPr>
        <w:spacing w:after="0"/>
        <w:ind w:left="0"/>
        <w:jc w:val="left"/>
      </w:pPr>
      <w:r>
        <w:rPr>
          <w:rFonts w:ascii="Times New Roman"/>
          <w:b/>
          <w:i w:val="false"/>
          <w:color w:val="000000"/>
        </w:rPr>
        <w:t xml:space="preserve"> Структура земель сельскохозяйственных угодий за 2015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3687"/>
        <w:gridCol w:w="4015"/>
        <w:gridCol w:w="2995"/>
      </w:tblGrid>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млн. га</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 (+залежь), млн. га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 млн. га</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 Казахстан</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bl>
    <w:p>
      <w:pPr>
        <w:spacing w:after="0"/>
        <w:ind w:left="0"/>
        <w:jc w:val="left"/>
      </w:pPr>
      <w:r>
        <w:rPr>
          <w:rFonts w:ascii="Times New Roman"/>
          <w:b/>
          <w:i w:val="false"/>
          <w:color w:val="000000"/>
        </w:rPr>
        <w:t xml:space="preserve"> Структура используемых земельных угодий за 2015 год, тыс.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107"/>
        <w:gridCol w:w="2107"/>
        <w:gridCol w:w="1962"/>
        <w:gridCol w:w="1530"/>
        <w:gridCol w:w="2108"/>
        <w:gridCol w:w="1821"/>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для ведения 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неиспользуемые земли сельхоз-назначения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Пашни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 Казахстан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68362,5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bl>
    <w:p>
      <w:pPr>
        <w:spacing w:after="0"/>
        <w:ind w:left="0"/>
        <w:jc w:val="left"/>
      </w:pPr>
      <w:r>
        <w:rPr>
          <w:rFonts w:ascii="Times New Roman"/>
          <w:b/>
          <w:i w:val="false"/>
          <w:color w:val="000000"/>
        </w:rPr>
        <w:t xml:space="preserve"> Средневзвешенный балл бонитета за 2015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2250"/>
        <w:gridCol w:w="2250"/>
        <w:gridCol w:w="2251"/>
        <w:gridCol w:w="2251"/>
        <w:gridCol w:w="2251"/>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Пастбища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 насаждения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угодья</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bl>
    <w:p>
      <w:pPr>
        <w:spacing w:after="0"/>
        <w:ind w:left="0"/>
        <w:jc w:val="left"/>
      </w:pPr>
      <w:r>
        <w:rPr>
          <w:rFonts w:ascii="Times New Roman"/>
          <w:b/>
          <w:i w:val="false"/>
          <w:color w:val="000000"/>
        </w:rPr>
        <w:t xml:space="preserve"> Площади застрахованных посевов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01"/>
        <w:gridCol w:w="1082"/>
        <w:gridCol w:w="1083"/>
        <w:gridCol w:w="902"/>
        <w:gridCol w:w="903"/>
        <w:gridCol w:w="770"/>
        <w:gridCol w:w="751"/>
        <w:gridCol w:w="710"/>
        <w:gridCol w:w="697"/>
        <w:gridCol w:w="2027"/>
        <w:gridCol w:w="153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застрахованных посевов, га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полная (зерновые), га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частичная (зерновые), га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полная (масличные), га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частичная (масличные), га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полная (сахарная свекла), га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частичная (сахарная свекла), га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полная (хлопок), га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частичная (хлопок), га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площадь гибели посевов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погибших площадей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4 004 968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4 934 740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6 474 845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670 278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5 461 672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7 904 526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293 334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2 321 996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9 321 153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586 874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4 035 642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4 505 740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49 196 967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1 534 928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372 038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5 070 566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w:t>
            </w:r>
          </w:p>
        </w:tc>
      </w:tr>
    </w:tbl>
    <w:p>
      <w:pPr>
        <w:spacing w:after="0"/>
        <w:ind w:left="0"/>
        <w:jc w:val="left"/>
      </w:pPr>
      <w:r>
        <w:rPr>
          <w:rFonts w:ascii="Times New Roman"/>
          <w:b/>
          <w:i w:val="false"/>
          <w:color w:val="000000"/>
        </w:rPr>
        <w:t xml:space="preserve"> Наличие и приобретение основной сельскохозяйственной техники,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301"/>
        <w:gridCol w:w="1302"/>
        <w:gridCol w:w="1302"/>
        <w:gridCol w:w="1302"/>
        <w:gridCol w:w="945"/>
        <w:gridCol w:w="946"/>
        <w:gridCol w:w="946"/>
        <w:gridCol w:w="946"/>
        <w:gridCol w:w="1865"/>
        <w:gridCol w:w="945"/>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техники на 1 января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техники старше 15 лет</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за 2000-2015</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158 143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Зерноуборочные комбайны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w:t>
            </w:r>
            <w:r>
              <w:br/>
            </w:r>
            <w:r>
              <w:rPr>
                <w:rFonts w:ascii="Times New Roman"/>
                <w:b w:val="false"/>
                <w:i w:val="false"/>
                <w:color w:val="000000"/>
                <w:sz w:val="20"/>
              </w:rPr>
              <w:t>
комплексы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техника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533 393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503 973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техники без учета прочей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308 820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316 187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307 230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299 153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4 979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61 905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w:t>
            </w:r>
          </w:p>
        </w:tc>
      </w:tr>
    </w:tbl>
    <w:p>
      <w:pPr>
        <w:spacing w:after="0"/>
        <w:ind w:left="0"/>
        <w:jc w:val="left"/>
      </w:pPr>
      <w:r>
        <w:rPr>
          <w:rFonts w:ascii="Times New Roman"/>
          <w:b/>
          <w:i w:val="false"/>
          <w:color w:val="000000"/>
        </w:rPr>
        <w:t xml:space="preserve"> Динамика поступлений по отрасли "Сельское хозяйство" налогов, других обязательных платежей в бюджет и отчислений по социальному страхованию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365"/>
        <w:gridCol w:w="1262"/>
        <w:gridCol w:w="1262"/>
        <w:gridCol w:w="1262"/>
        <w:gridCol w:w="1263"/>
        <w:gridCol w:w="1263"/>
        <w:gridCol w:w="2887"/>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за 2011-2015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всего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налоги и платежи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Удельный вес сельского хозяйства в общем объеме поступлений по всем отраслям экономики,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По данным </w:t>
      </w:r>
      <w:r>
        <w:rPr>
          <w:rFonts w:ascii="Times New Roman"/>
          <w:b w:val="false"/>
          <w:i/>
          <w:color w:val="000000"/>
          <w:sz w:val="28"/>
        </w:rPr>
        <w:t>КС МНЭ</w:t>
      </w:r>
      <w:r>
        <w:rPr>
          <w:rFonts w:ascii="Times New Roman"/>
          <w:b w:val="false"/>
          <w:i/>
          <w:color w:val="000000"/>
          <w:sz w:val="28"/>
        </w:rPr>
        <w:t xml:space="preserve">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bl>
    <w:p>
      <w:pPr>
        <w:spacing w:after="0"/>
        <w:ind w:left="0"/>
        <w:jc w:val="left"/>
      </w:pPr>
      <w:r>
        <w:rPr>
          <w:rFonts w:ascii="Times New Roman"/>
          <w:b/>
          <w:i w:val="false"/>
          <w:color w:val="000000"/>
        </w:rPr>
        <w:t xml:space="preserve"> Индикативные параметры Снижение импорта по приоритетным видам продукции за счет увеличения собственного производства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093"/>
        <w:gridCol w:w="2093"/>
        <w:gridCol w:w="2093"/>
        <w:gridCol w:w="2094"/>
        <w:gridCol w:w="2094"/>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продукции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изделия (в пересчете на мясо)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(в пересчете на молоко)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 и виноград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rPr>
          <w:rFonts w:ascii="Times New Roman"/>
          <w:b/>
          <w:i w:val="false"/>
          <w:color w:val="000000"/>
        </w:rPr>
        <w:t xml:space="preserve"> Обеспеченность внутреннего потребления продукцией отечественного производства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проценты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061"/>
        <w:gridCol w:w="2061"/>
        <w:gridCol w:w="2061"/>
        <w:gridCol w:w="2062"/>
        <w:gridCol w:w="2062"/>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производства во внутреннем потреблении</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птицы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изделия (в пересчете на мясо)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(в пересчете на молоко)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 и виноград</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rPr>
          <w:rFonts w:ascii="Times New Roman"/>
          <w:b/>
          <w:i w:val="false"/>
          <w:color w:val="000000"/>
        </w:rPr>
        <w:t xml:space="preserve"> Индикативные показатели по экспортной политике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537"/>
        <w:gridCol w:w="1940"/>
        <w:gridCol w:w="1538"/>
        <w:gridCol w:w="1538"/>
        <w:gridCol w:w="1538"/>
        <w:gridCol w:w="1538"/>
        <w:gridCol w:w="1942"/>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ЕАЭС</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СНГ (вне ЕАЭС)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страны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и шрот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rPr>
          <w:rFonts w:ascii="Times New Roman"/>
          <w:b/>
          <w:i w:val="false"/>
          <w:color w:val="000000"/>
        </w:rPr>
        <w:t xml:space="preserve"> Объем производства растениеводческой продукции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243"/>
        <w:gridCol w:w="985"/>
        <w:gridCol w:w="1243"/>
        <w:gridCol w:w="985"/>
        <w:gridCol w:w="1243"/>
        <w:gridCol w:w="1503"/>
        <w:gridCol w:w="1244"/>
        <w:gridCol w:w="1244"/>
        <w:gridCol w:w="1244"/>
        <w:gridCol w:w="986"/>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Плодово-ягодные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bl>
    <w:p>
      <w:pPr>
        <w:spacing w:after="0"/>
        <w:ind w:left="0"/>
        <w:jc w:val="left"/>
      </w:pPr>
      <w:r>
        <w:rPr>
          <w:rFonts w:ascii="Times New Roman"/>
          <w:b/>
          <w:i w:val="false"/>
          <w:color w:val="000000"/>
        </w:rPr>
        <w:t xml:space="preserve"> Посевные площади в 2021 году с учетом диверсификации и освоения залежных земель и использования пустующих бросовых земель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190"/>
        <w:gridCol w:w="1812"/>
        <w:gridCol w:w="1436"/>
        <w:gridCol w:w="1436"/>
        <w:gridCol w:w="1246"/>
        <w:gridCol w:w="1813"/>
        <w:gridCol w:w="1813"/>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295"/>
        <w:gridCol w:w="1759"/>
        <w:gridCol w:w="1760"/>
        <w:gridCol w:w="1760"/>
        <w:gridCol w:w="1992"/>
        <w:gridCol w:w="1528"/>
        <w:gridCol w:w="1528"/>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rPr>
          <w:rFonts w:ascii="Times New Roman"/>
          <w:b/>
          <w:i w:val="false"/>
          <w:color w:val="000000"/>
        </w:rPr>
        <w:t xml:space="preserve"> Площади промышленных теплиц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244"/>
        <w:gridCol w:w="2244"/>
        <w:gridCol w:w="2479"/>
        <w:gridCol w:w="2245"/>
        <w:gridCol w:w="2245"/>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rPr>
          <w:rFonts w:ascii="Times New Roman"/>
          <w:b/>
          <w:i w:val="false"/>
          <w:color w:val="000000"/>
        </w:rPr>
        <w:t xml:space="preserve"> Производство семян высоких репродукций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230"/>
        <w:gridCol w:w="2230"/>
        <w:gridCol w:w="2230"/>
        <w:gridCol w:w="2464"/>
        <w:gridCol w:w="2465"/>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bl>
    <w:p>
      <w:pPr>
        <w:spacing w:after="0"/>
        <w:ind w:left="0"/>
        <w:jc w:val="left"/>
      </w:pPr>
      <w:r>
        <w:rPr>
          <w:rFonts w:ascii="Times New Roman"/>
          <w:b/>
          <w:i w:val="false"/>
          <w:color w:val="000000"/>
        </w:rPr>
        <w:t xml:space="preserve"> Объемы внесения минеральных удобрений в соответствии с научно-обоснованными и экологически безопасными нормами применения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303"/>
        <w:gridCol w:w="2303"/>
        <w:gridCol w:w="2303"/>
        <w:gridCol w:w="2304"/>
        <w:gridCol w:w="2304"/>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bl>
    <w:p>
      <w:pPr>
        <w:spacing w:after="0"/>
        <w:ind w:left="0"/>
        <w:jc w:val="left"/>
      </w:pPr>
      <w:r>
        <w:rPr>
          <w:rFonts w:ascii="Times New Roman"/>
          <w:b/>
          <w:i w:val="false"/>
          <w:color w:val="000000"/>
        </w:rPr>
        <w:t xml:space="preserve"> Сокращение площадей, зараженных особо опасными вредными, вредными и карантинными организмами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очагов распространения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bl>
    <w:p>
      <w:pPr>
        <w:spacing w:after="0"/>
        <w:ind w:left="0"/>
        <w:jc w:val="left"/>
      </w:pPr>
      <w:r>
        <w:rPr>
          <w:rFonts w:ascii="Times New Roman"/>
          <w:b/>
          <w:i w:val="false"/>
          <w:color w:val="000000"/>
        </w:rPr>
        <w:t xml:space="preserve"> Увеличение площадей, обрабатываемых гербицидами против сорных растений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2174"/>
        <w:gridCol w:w="2174"/>
        <w:gridCol w:w="2174"/>
        <w:gridCol w:w="2175"/>
        <w:gridCol w:w="2175"/>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обработанные гербицидами против сорных растений</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r>
    </w:tbl>
    <w:p>
      <w:pPr>
        <w:spacing w:after="0"/>
        <w:ind w:left="0"/>
        <w:jc w:val="left"/>
      </w:pPr>
      <w:r>
        <w:rPr>
          <w:rFonts w:ascii="Times New Roman"/>
          <w:b/>
          <w:i w:val="false"/>
          <w:color w:val="000000"/>
        </w:rPr>
        <w:t xml:space="preserve"> Урожайность культур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660"/>
        <w:gridCol w:w="1660"/>
        <w:gridCol w:w="1466"/>
        <w:gridCol w:w="1080"/>
        <w:gridCol w:w="1467"/>
        <w:gridCol w:w="1467"/>
        <w:gridCol w:w="1467"/>
        <w:gridCol w:w="1468"/>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rPr>
          <w:rFonts w:ascii="Times New Roman"/>
          <w:b/>
          <w:i w:val="false"/>
          <w:color w:val="000000"/>
        </w:rPr>
        <w:t xml:space="preserve"> Объем производства животноводческой продукции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187"/>
        <w:gridCol w:w="2187"/>
        <w:gridCol w:w="2187"/>
        <w:gridCol w:w="2188"/>
        <w:gridCol w:w="2807"/>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5 665,0</w:t>
            </w:r>
          </w:p>
        </w:tc>
      </w:tr>
    </w:tbl>
    <w:p>
      <w:pPr>
        <w:spacing w:after="0"/>
        <w:ind w:left="0"/>
        <w:jc w:val="left"/>
      </w:pPr>
      <w:r>
        <w:rPr>
          <w:rFonts w:ascii="Times New Roman"/>
          <w:b/>
          <w:i w:val="false"/>
          <w:color w:val="000000"/>
        </w:rPr>
        <w:t xml:space="preserve"> Увеличение поголовья сельскохозяйственных животных и птиц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голов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928"/>
        <w:gridCol w:w="1928"/>
        <w:gridCol w:w="2331"/>
        <w:gridCol w:w="1528"/>
        <w:gridCol w:w="2332"/>
        <w:gridCol w:w="1529"/>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p>
      <w:pPr>
        <w:spacing w:after="0"/>
        <w:ind w:left="0"/>
        <w:jc w:val="left"/>
      </w:pPr>
      <w:r>
        <w:rPr>
          <w:rFonts w:ascii="Times New Roman"/>
          <w:b/>
          <w:i w:val="false"/>
          <w:color w:val="000000"/>
        </w:rPr>
        <w:t xml:space="preserve"> Уровень обеспеченности кормами в соответствии с научно-обоснованными нормативами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проценты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3939"/>
        <w:gridCol w:w="3940"/>
        <w:gridCol w:w="2901"/>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грубые</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сочные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rPr>
          <w:rFonts w:ascii="Times New Roman"/>
          <w:b/>
          <w:i w:val="false"/>
          <w:color w:val="000000"/>
        </w:rPr>
        <w:t xml:space="preserve"> Увеличение доли племенного поголовья сельскохозяйственных животных и птиц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проценты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939"/>
        <w:gridCol w:w="1940"/>
        <w:gridCol w:w="1940"/>
        <w:gridCol w:w="1940"/>
        <w:gridCol w:w="1940"/>
        <w:gridCol w:w="1940"/>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bl>
    <w:p>
      <w:pPr>
        <w:spacing w:after="0"/>
        <w:ind w:left="0"/>
        <w:jc w:val="left"/>
      </w:pPr>
      <w:r>
        <w:rPr>
          <w:rFonts w:ascii="Times New Roman"/>
          <w:b/>
          <w:i w:val="false"/>
          <w:color w:val="000000"/>
        </w:rPr>
        <w:t xml:space="preserve"> Продуктивность сельскохозяйственных животных и птиц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кг в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2706"/>
        <w:gridCol w:w="2989"/>
        <w:gridCol w:w="1579"/>
        <w:gridCol w:w="2146"/>
        <w:gridCol w:w="1863"/>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Надой на одну корову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живой вес одной головы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rPr>
          <w:rFonts w:ascii="Times New Roman"/>
          <w:b/>
          <w:i w:val="false"/>
          <w:color w:val="000000"/>
        </w:rPr>
        <w:t xml:space="preserve"> Производство приоритетных видов продукции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902"/>
        <w:gridCol w:w="1877"/>
        <w:gridCol w:w="2073"/>
        <w:gridCol w:w="2073"/>
        <w:gridCol w:w="1878"/>
        <w:gridCol w:w="1878"/>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улучшенных пастбищ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обводненных пастбищ (колодцами)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колодцев для обводнения пастбищ</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репродукторов КРС молочного направления</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молочно-товарных ферм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rPr>
          <w:rFonts w:ascii="Times New Roman"/>
          <w:b/>
          <w:i w:val="false"/>
          <w:color w:val="000000"/>
        </w:rPr>
        <w:t xml:space="preserve"> Плановые показатели по производству мяса птицы на 2017 - 2021 годы в разрезе по областям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303"/>
        <w:gridCol w:w="2303"/>
        <w:gridCol w:w="2303"/>
        <w:gridCol w:w="2304"/>
        <w:gridCol w:w="2304"/>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bl>
    <w:p>
      <w:pPr>
        <w:spacing w:after="0"/>
        <w:ind w:left="0"/>
        <w:jc w:val="left"/>
      </w:pPr>
      <w:r>
        <w:rPr>
          <w:rFonts w:ascii="Times New Roman"/>
          <w:b/>
          <w:i w:val="false"/>
          <w:color w:val="000000"/>
        </w:rPr>
        <w:t xml:space="preserve"> Плановые показатели по производству говядины на 2017 - 2021 годы в разрезе по областям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303"/>
        <w:gridCol w:w="2303"/>
        <w:gridCol w:w="2303"/>
        <w:gridCol w:w="2304"/>
        <w:gridCol w:w="2304"/>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bl>
    <w:p>
      <w:pPr>
        <w:spacing w:after="0"/>
        <w:ind w:left="0"/>
        <w:jc w:val="left"/>
      </w:pPr>
      <w:r>
        <w:rPr>
          <w:rFonts w:ascii="Times New Roman"/>
          <w:b/>
          <w:i w:val="false"/>
          <w:color w:val="000000"/>
        </w:rPr>
        <w:t xml:space="preserve"> Плановые показатели по производству баранины на 2017 - 2021 годы в разрезе по областям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303"/>
        <w:gridCol w:w="2303"/>
        <w:gridCol w:w="2303"/>
        <w:gridCol w:w="2304"/>
        <w:gridCol w:w="2304"/>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bl>
    <w:p>
      <w:pPr>
        <w:spacing w:after="0"/>
        <w:ind w:left="0"/>
        <w:jc w:val="left"/>
      </w:pPr>
      <w:r>
        <w:rPr>
          <w:rFonts w:ascii="Times New Roman"/>
          <w:b/>
          <w:i w:val="false"/>
          <w:color w:val="000000"/>
        </w:rPr>
        <w:t xml:space="preserve"> Плановые показатели по производству свинины на 2017 - 2021 годы в разрезе по областям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bl>
    <w:p>
      <w:pPr>
        <w:spacing w:after="0"/>
        <w:ind w:left="0"/>
        <w:jc w:val="left"/>
      </w:pPr>
      <w:r>
        <w:rPr>
          <w:rFonts w:ascii="Times New Roman"/>
          <w:b/>
          <w:i w:val="false"/>
          <w:color w:val="000000"/>
        </w:rPr>
        <w:t xml:space="preserve"> Плановые показатели по производству молока на 2017 - 2021 годы в разрезе по областям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327"/>
        <w:gridCol w:w="2327"/>
        <w:gridCol w:w="2327"/>
        <w:gridCol w:w="2327"/>
        <w:gridCol w:w="2327"/>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5665,1</w:t>
            </w:r>
          </w:p>
        </w:tc>
      </w:tr>
    </w:tbl>
    <w:p>
      <w:pPr>
        <w:spacing w:after="0"/>
        <w:ind w:left="0"/>
        <w:jc w:val="left"/>
      </w:pPr>
      <w:r>
        <w:rPr>
          <w:rFonts w:ascii="Times New Roman"/>
          <w:b/>
          <w:i w:val="false"/>
          <w:color w:val="000000"/>
        </w:rPr>
        <w:t xml:space="preserve"> Плановые показатели по обеспеченности сочными кормами на 2017 - 2021 годы в разрезе по областям,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318"/>
        <w:gridCol w:w="2318"/>
        <w:gridCol w:w="2318"/>
        <w:gridCol w:w="2319"/>
        <w:gridCol w:w="231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bl>
    <w:p>
      <w:pPr>
        <w:spacing w:after="0"/>
        <w:ind w:left="0"/>
        <w:jc w:val="left"/>
      </w:pPr>
      <w:r>
        <w:rPr>
          <w:rFonts w:ascii="Times New Roman"/>
          <w:b/>
          <w:i w:val="false"/>
          <w:color w:val="000000"/>
        </w:rPr>
        <w:t xml:space="preserve"> Плановые показатели по обеспеченности грубыми кормами на 2017 - 2021 годы в разрезе по областям,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p>
      <w:pPr>
        <w:spacing w:after="0"/>
        <w:ind w:left="0"/>
        <w:jc w:val="left"/>
      </w:pPr>
      <w:r>
        <w:rPr>
          <w:rFonts w:ascii="Times New Roman"/>
          <w:b/>
          <w:i w:val="false"/>
          <w:color w:val="000000"/>
        </w:rPr>
        <w:t xml:space="preserve"> Плановые показатели по обеспеченности комбикормами на 2017 - 2021 годы в разрезе по областям,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318"/>
        <w:gridCol w:w="2318"/>
        <w:gridCol w:w="2318"/>
        <w:gridCol w:w="2319"/>
        <w:gridCol w:w="231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rPr>
          <w:rFonts w:ascii="Times New Roman"/>
          <w:b/>
          <w:i w:val="false"/>
          <w:color w:val="000000"/>
        </w:rPr>
        <w:t xml:space="preserve"> Плановые показатели по созданию молокоприемных пунктов на 2017 - 2021 годы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318"/>
        <w:gridCol w:w="2318"/>
        <w:gridCol w:w="2318"/>
        <w:gridCol w:w="2319"/>
        <w:gridCol w:w="231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rPr>
          <w:rFonts w:ascii="Times New Roman"/>
          <w:b/>
          <w:i w:val="false"/>
          <w:color w:val="000000"/>
        </w:rPr>
        <w:t xml:space="preserve"> Плановые показатели по созданию убойных пунктов на 2017 - 2021 годы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318"/>
        <w:gridCol w:w="2318"/>
        <w:gridCol w:w="2318"/>
        <w:gridCol w:w="2319"/>
        <w:gridCol w:w="231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rPr>
          <w:rFonts w:ascii="Times New Roman"/>
          <w:b/>
          <w:i w:val="false"/>
          <w:color w:val="000000"/>
        </w:rPr>
        <w:t xml:space="preserve"> Плановые показатели по созданию кооперативов по птицеводству на 2017 – 2021 годы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318"/>
        <w:gridCol w:w="2318"/>
        <w:gridCol w:w="2318"/>
        <w:gridCol w:w="2319"/>
        <w:gridCol w:w="231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i w:val="false"/>
          <w:color w:val="000000"/>
        </w:rPr>
        <w:t xml:space="preserve"> Плановые показатели по созданию семейных откормочных площадок на 2017 – 2021 годы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584"/>
        <w:gridCol w:w="2584"/>
        <w:gridCol w:w="2177"/>
        <w:gridCol w:w="2177"/>
        <w:gridCol w:w="2177"/>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p>
      <w:pPr>
        <w:spacing w:after="0"/>
        <w:ind w:left="0"/>
        <w:jc w:val="left"/>
      </w:pPr>
      <w:r>
        <w:rPr>
          <w:rFonts w:ascii="Times New Roman"/>
          <w:b/>
          <w:i w:val="false"/>
          <w:color w:val="000000"/>
        </w:rPr>
        <w:t xml:space="preserve"> Плановые показатели по производству масла сливочного на 2017 – 2021 годы в разрезе по областям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bl>
    <w:p>
      <w:pPr>
        <w:spacing w:after="0"/>
        <w:ind w:left="0"/>
        <w:jc w:val="left"/>
      </w:pPr>
      <w:r>
        <w:rPr>
          <w:rFonts w:ascii="Times New Roman"/>
          <w:b/>
          <w:i w:val="false"/>
          <w:color w:val="000000"/>
        </w:rPr>
        <w:t xml:space="preserve"> Плановые показатели по производству сыра твердого на 2017 – 2021 годы в разрезе по областям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p>
      <w:pPr>
        <w:spacing w:after="0"/>
        <w:ind w:left="0"/>
        <w:jc w:val="left"/>
      </w:pPr>
      <w:r>
        <w:rPr>
          <w:rFonts w:ascii="Times New Roman"/>
          <w:b/>
          <w:i w:val="false"/>
          <w:color w:val="000000"/>
        </w:rPr>
        <w:t xml:space="preserve"> Объем выращивания ценных видов рыб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2081"/>
        <w:gridCol w:w="2081"/>
        <w:gridCol w:w="2626"/>
        <w:gridCol w:w="2081"/>
        <w:gridCol w:w="2628"/>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Растительноядные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bl>
    <w:p>
      <w:pPr>
        <w:spacing w:after="0"/>
        <w:ind w:left="0"/>
        <w:jc w:val="left"/>
      </w:pPr>
      <w:r>
        <w:rPr>
          <w:rFonts w:ascii="Times New Roman"/>
          <w:b/>
          <w:i w:val="false"/>
          <w:color w:val="000000"/>
        </w:rPr>
        <w:t xml:space="preserve"> Объем выращивания ценных видов рыб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992"/>
        <w:gridCol w:w="1992"/>
        <w:gridCol w:w="2514"/>
        <w:gridCol w:w="1993"/>
        <w:gridCol w:w="251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производства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Растительноядные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замкнутого водоснабжения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Садковые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Прудовые, бассейновые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Озерно-товарные рыбные хозяйства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bl>
    <w:p>
      <w:pPr>
        <w:spacing w:after="0"/>
        <w:ind w:left="0"/>
        <w:jc w:val="left"/>
      </w:pPr>
      <w:r>
        <w:rPr>
          <w:rFonts w:ascii="Times New Roman"/>
          <w:b/>
          <w:i w:val="false"/>
          <w:color w:val="000000"/>
        </w:rPr>
        <w:t xml:space="preserve"> Использование специализированных кормов для выращивания осетровых, лососевых и карповых видов рыб в соответствии нормативами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3984"/>
        <w:gridCol w:w="3607"/>
        <w:gridCol w:w="3607"/>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Лососевые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bl>
    <w:p>
      <w:pPr>
        <w:spacing w:after="0"/>
        <w:ind w:left="0"/>
        <w:jc w:val="left"/>
      </w:pPr>
      <w:r>
        <w:rPr>
          <w:rFonts w:ascii="Times New Roman"/>
          <w:b/>
          <w:i w:val="false"/>
          <w:color w:val="000000"/>
        </w:rPr>
        <w:t xml:space="preserve"> Объемы производства приоритетных видов продукции отраслей переработки сельскохозяйственной продукции и пищевой промышленности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923"/>
        <w:gridCol w:w="2177"/>
        <w:gridCol w:w="1924"/>
        <w:gridCol w:w="2682"/>
        <w:gridCol w:w="2682"/>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картофеля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обработанное жидкое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3102"/>
        <w:gridCol w:w="3102"/>
        <w:gridCol w:w="2520"/>
        <w:gridCol w:w="2520"/>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Кисломолочная продукция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и мясорастительные консервы</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rPr>
          <w:rFonts w:ascii="Times New Roman"/>
          <w:b/>
          <w:i w:val="false"/>
          <w:color w:val="000000"/>
        </w:rPr>
        <w:t xml:space="preserve"> Увеличение загрузки мощностей действующих перерабатывающих предприятий и доли перерабатываемой продукции сельского хозяйства (из общего объема производства)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проценты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840"/>
        <w:gridCol w:w="1840"/>
        <w:gridCol w:w="1840"/>
        <w:gridCol w:w="1840"/>
        <w:gridCol w:w="1355"/>
        <w:gridCol w:w="1356"/>
        <w:gridCol w:w="1356"/>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загрузки мощностей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картофеля</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проценты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593"/>
        <w:gridCol w:w="1593"/>
        <w:gridCol w:w="2450"/>
        <w:gridCol w:w="2164"/>
        <w:gridCol w:w="1879"/>
        <w:gridCol w:w="1595"/>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сельхозсырья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left"/>
      </w:pPr>
      <w:r>
        <w:rPr>
          <w:rFonts w:ascii="Times New Roman"/>
          <w:b/>
          <w:i w:val="false"/>
          <w:color w:val="000000"/>
        </w:rPr>
        <w:t xml:space="preserve"> Расширение перерабатывающих мощностей через модернизацию существующих и введение новых предприятий в 2021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 сырья в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278"/>
        <w:gridCol w:w="1850"/>
        <w:gridCol w:w="1635"/>
        <w:gridCol w:w="2063"/>
        <w:gridCol w:w="2063"/>
        <w:gridCol w:w="1636"/>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Перерабатывающие мощности</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растительное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bl>
    <w:p>
      <w:pPr>
        <w:spacing w:after="0"/>
        <w:ind w:left="0"/>
        <w:jc w:val="left"/>
      </w:pPr>
      <w:r>
        <w:rPr>
          <w:rFonts w:ascii="Times New Roman"/>
          <w:b/>
          <w:i w:val="false"/>
          <w:color w:val="000000"/>
        </w:rPr>
        <w:t xml:space="preserve"> Инфраструктура обеспечения сырьем отраслей переработки сельскохозяйственной продукции и пищевой промышленности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911"/>
        <w:gridCol w:w="1897"/>
        <w:gridCol w:w="1897"/>
        <w:gridCol w:w="1897"/>
        <w:gridCol w:w="1897"/>
        <w:gridCol w:w="1898"/>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убойных пунктов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пунктов по приему молока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пунктов по заготовке плодоовощной продукции и картофеля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семейных теплиц</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rPr>
          <w:rFonts w:ascii="Times New Roman"/>
          <w:b/>
          <w:i w:val="false"/>
          <w:color w:val="000000"/>
        </w:rPr>
        <w:t xml:space="preserve"> Показатели по эффективному использованию водных ресурсов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941"/>
        <w:gridCol w:w="1960"/>
        <w:gridCol w:w="1960"/>
        <w:gridCol w:w="1961"/>
        <w:gridCol w:w="1961"/>
        <w:gridCol w:w="1961"/>
      </w:tblGrid>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построенных новых водохранилищ</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реконструированных аварийных водохранилищ и гидротехнических сооружений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восстановленных каналов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восстановленной коллекторно-дренажной сети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восстановленных скважин вертикального дренажа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восстановленных гидротехнических сооружений лиманного орошения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bl>
    <w:p>
      <w:pPr>
        <w:spacing w:after="0"/>
        <w:ind w:left="0"/>
        <w:jc w:val="left"/>
      </w:pPr>
      <w:r>
        <w:rPr>
          <w:rFonts w:ascii="Times New Roman"/>
          <w:b/>
          <w:i w:val="false"/>
          <w:color w:val="000000"/>
        </w:rPr>
        <w:t xml:space="preserve"> Расшифровка аббревиатур и сокращений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9533"/>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НПП РК "Атамекен"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потребительские кооперативы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ЦТКА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трансферта и коммерциализации агротехнологий</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сельхозтоваропроизводители</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СПК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социально-предпринимательская корпорация</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ЕЗН</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ГМО</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генетически-модифицированный организм</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институты</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опытно-конструкторские работы</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автономная организация образования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торговая организация</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БВУ</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подсобное хозяйство</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ИПН</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валовой внутренний продукт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ГПИИР</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индустриально-инновационного развития Республики Казахстан на 2015-2019 гг.</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весенне-полевые работы</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НАО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ОУР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осенне-уборочные работы</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ТЛЦ</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транспортно-логистический центр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кредитное товарищество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ОТРХ</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озерно-товарные рыбоводные хозяйства</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оптово-распределительный центр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"НУХ "КазАгро"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"КазАгро"</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добавленную стоимость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СМР</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строительно-монтажные работы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Банк Республики Казахстан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ГЗК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земельный кадастр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ЮКО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общество взаимного страхования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полезного действия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сервисно-заготовительный центр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Северо-Казахстанская область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СНГ</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 Независимых Государств</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ТМЦ</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ценности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регламент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замкнутого водообеспечения</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"НАНОЦ"</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аграрный научно-образовательный центр"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компания</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статистике Министерства национальной экономики Республики Казахстан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микрофинансовая организация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К(Ф)Х</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(фермерские) хозяйства</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скот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 экономическому сотрудничеству и развитию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