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fa68" w14:textId="8f6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2016 года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2017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2017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2017 года, на семь процентов от размера получаемых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