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ca9d" w14:textId="2b5c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10 декабря 2002 года № 1300 "О Регламенте Правительства Республики Казахстан" и от 18 апреля 2014 года № 380 "Об утверждении Концепции государственного регулирования предпринимательской деятельности до 2020 года"</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2016 года № 672.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постановлением Правительства РК от 02.06.2022 </w:t>
      </w:r>
      <w:r>
        <w:rPr>
          <w:rFonts w:ascii="Times New Roman"/>
          <w:b w:val="false"/>
          <w:i w:val="false"/>
          <w:color w:val="000000"/>
          <w:sz w:val="28"/>
        </w:rPr>
        <w:t>№ 355</w:t>
      </w:r>
      <w:r>
        <w:rPr>
          <w:rFonts w:ascii="Times New Roman"/>
          <w:b w:val="false"/>
          <w:i w:val="false"/>
          <w:color w:val="ff0000"/>
          <w:sz w:val="28"/>
        </w:rPr>
        <w:t>.</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апреля 2014 года № 380 "Об утверждении Концепции государственного регулирования предпринимательской деятельности до 2020 года" (САПП Республики Казахстан, 2002 г., № 44, ст. 443):</w:t>
      </w:r>
    </w:p>
    <w:bookmarkEnd w:id="1"/>
    <w:bookmarkStart w:name="z12"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государственного регулирования предпринимательской деятельности до 2020 года, утвержденной указанным постановлением:</w:t>
      </w:r>
    </w:p>
    <w:bookmarkEnd w:id="2"/>
    <w:bookmarkStart w:name="z13" w:id="3"/>
    <w:p>
      <w:pPr>
        <w:spacing w:after="0"/>
        <w:ind w:left="0"/>
        <w:jc w:val="both"/>
      </w:pPr>
      <w:r>
        <w:rPr>
          <w:rFonts w:ascii="Times New Roman"/>
          <w:b w:val="false"/>
          <w:i w:val="false"/>
          <w:color w:val="000000"/>
          <w:sz w:val="28"/>
        </w:rPr>
        <w:t>
      в разделе 1 "Видение развития государственного регулирования предпринимательской деятельности в Казахстане":</w:t>
      </w:r>
    </w:p>
    <w:bookmarkEnd w:id="3"/>
    <w:bookmarkStart w:name="z14"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"Анализ регулирования предпринимательской деятельности в Казахстане":</w:t>
      </w:r>
    </w:p>
    <w:bookmarkEnd w:id="4"/>
    <w:bookmarkStart w:name="z15" w:id="5"/>
    <w:p>
      <w:pPr>
        <w:spacing w:after="0"/>
        <w:ind w:left="0"/>
        <w:jc w:val="both"/>
      </w:pPr>
      <w:r>
        <w:rPr>
          <w:rFonts w:ascii="Times New Roman"/>
          <w:b w:val="false"/>
          <w:i w:val="false"/>
          <w:color w:val="000000"/>
          <w:sz w:val="28"/>
        </w:rPr>
        <w:t xml:space="preserve">
      часть семнадцатую дополнить подпунктом 6) следующего содержания: </w:t>
      </w:r>
    </w:p>
    <w:bookmarkEnd w:id="5"/>
    <w:p>
      <w:pPr>
        <w:spacing w:after="0"/>
        <w:ind w:left="0"/>
        <w:jc w:val="both"/>
      </w:pPr>
      <w:r>
        <w:rPr>
          <w:rFonts w:ascii="Times New Roman"/>
          <w:b w:val="false"/>
          <w:i w:val="false"/>
          <w:color w:val="000000"/>
          <w:sz w:val="28"/>
        </w:rPr>
        <w:t>
      "6) информационные инструменты – неконтролируемый рост числа информационных инструментов, отсутствие единообразного подхода к сбору информации, дублирование информационных инструментов и сроков их исполнения. В отличие от разрешений и сфер государственного контроля, перечень которых устанавливается в соответствующих законодательных актах, единого перечня информационных инструментов не существует. Информационные инструменты существуют в нормативных правовых актах различного уровня, как на законодательном, так и на подзаконном уровне.";</w:t>
      </w:r>
    </w:p>
    <w:bookmarkStart w:name="z16" w:id="6"/>
    <w:p>
      <w:pPr>
        <w:spacing w:after="0"/>
        <w:ind w:left="0"/>
        <w:jc w:val="both"/>
      </w:pPr>
      <w:r>
        <w:rPr>
          <w:rFonts w:ascii="Times New Roman"/>
          <w:b w:val="false"/>
          <w:i w:val="false"/>
          <w:color w:val="000000"/>
          <w:sz w:val="28"/>
        </w:rPr>
        <w:t>
      часть двадцатую изложить в следующей редакции:</w:t>
      </w:r>
    </w:p>
    <w:bookmarkEnd w:id="6"/>
    <w:p>
      <w:pPr>
        <w:spacing w:after="0"/>
        <w:ind w:left="0"/>
        <w:jc w:val="both"/>
      </w:pPr>
      <w:r>
        <w:rPr>
          <w:rFonts w:ascii="Times New Roman"/>
          <w:b w:val="false"/>
          <w:i w:val="false"/>
          <w:color w:val="000000"/>
          <w:sz w:val="28"/>
        </w:rPr>
        <w:t>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принятый 29 октября 2015 года, обеспечивает комплексное регулирование общественных отношений в сфере предпринимательства, в том числе возникающих в связи с взаимодействием предпринимателей и государства, вопросов государственного регулирования и поддержки предпринимательства. Он систематизировал положения соответствующих законов по принципу однородности, закрепив при этом единые принципы, меры государственной поддержки частного предпринимательства, агропромышленного комплекса, индустриально-инновационной, инвестиционной деятельности, специальных экономических зон.";</w:t>
      </w:r>
    </w:p>
    <w:bookmarkStart w:name="z17" w:id="7"/>
    <w:p>
      <w:pPr>
        <w:spacing w:after="0"/>
        <w:ind w:left="0"/>
        <w:jc w:val="both"/>
      </w:pPr>
      <w:r>
        <w:rPr>
          <w:rFonts w:ascii="Times New Roman"/>
          <w:b w:val="false"/>
          <w:i w:val="false"/>
          <w:color w:val="000000"/>
          <w:sz w:val="28"/>
        </w:rPr>
        <w:t>
      дополнить частями двадцать первой – двадцать седьмой следующего содержания:</w:t>
      </w:r>
    </w:p>
    <w:bookmarkEnd w:id="7"/>
    <w:p>
      <w:pPr>
        <w:spacing w:after="0"/>
        <w:ind w:left="0"/>
        <w:jc w:val="both"/>
      </w:pPr>
      <w:r>
        <w:rPr>
          <w:rFonts w:ascii="Times New Roman"/>
          <w:b w:val="false"/>
          <w:i w:val="false"/>
          <w:color w:val="000000"/>
          <w:sz w:val="28"/>
        </w:rPr>
        <w:t xml:space="preserve">
      "Ранее проведенные реформы разрешительной системы и государственного контроля и надзора обеспечили инвентаризацию соответствующих регуляторных инструментов и утверждение их лишь на уровне законов с признанием нелегитимными всех иных разрешений и контрольных функций, не вошедших в соответствующие перечни законов. </w:t>
      </w:r>
    </w:p>
    <w:p>
      <w:pPr>
        <w:spacing w:after="0"/>
        <w:ind w:left="0"/>
        <w:jc w:val="both"/>
      </w:pPr>
      <w:r>
        <w:rPr>
          <w:rFonts w:ascii="Times New Roman"/>
          <w:b w:val="false"/>
          <w:i w:val="false"/>
          <w:color w:val="000000"/>
          <w:sz w:val="28"/>
        </w:rPr>
        <w:t>
      Такой подход с одной стороны обеспечил гарантию для предпринимателей от произвольного введения новых обременительных регуляторных инструментов на уровне подзаконных, в том числе ведомственных, актов.</w:t>
      </w:r>
    </w:p>
    <w:p>
      <w:pPr>
        <w:spacing w:after="0"/>
        <w:ind w:left="0"/>
        <w:jc w:val="both"/>
      </w:pPr>
      <w:r>
        <w:rPr>
          <w:rFonts w:ascii="Times New Roman"/>
          <w:b w:val="false"/>
          <w:i w:val="false"/>
          <w:color w:val="000000"/>
          <w:sz w:val="28"/>
        </w:rPr>
        <w:t>
      Анализ действующего законодательства показывает, что вся необходимая нормативная правовая база на законодательном уровне уже существует.</w:t>
      </w:r>
    </w:p>
    <w:p>
      <w:pPr>
        <w:spacing w:after="0"/>
        <w:ind w:left="0"/>
        <w:jc w:val="both"/>
      </w:pPr>
      <w:r>
        <w:rPr>
          <w:rFonts w:ascii="Times New Roman"/>
          <w:b w:val="false"/>
          <w:i w:val="false"/>
          <w:color w:val="000000"/>
          <w:sz w:val="28"/>
        </w:rPr>
        <w:t xml:space="preserve">
      Вместе с тем, уведомления, являющиеся частью информационных инструментов, уже были проинвентаризированы и закреплены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разрешениях и уведомлениях". </w:t>
      </w:r>
    </w:p>
    <w:p>
      <w:pPr>
        <w:spacing w:after="0"/>
        <w:ind w:left="0"/>
        <w:jc w:val="both"/>
      </w:pPr>
      <w:r>
        <w:rPr>
          <w:rFonts w:ascii="Times New Roman"/>
          <w:b w:val="false"/>
          <w:i w:val="false"/>
          <w:color w:val="000000"/>
          <w:sz w:val="28"/>
        </w:rPr>
        <w:t>
      Уведомления являются очень распространенным информационным инструментом и, как правило, применяются государством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таких видов деятельности или действий для осуществления в отношении субъектов, осуществляющих такие виды деятельности, государственного контроля и надзора.</w:t>
      </w:r>
    </w:p>
    <w:p>
      <w:pPr>
        <w:spacing w:after="0"/>
        <w:ind w:left="0"/>
        <w:jc w:val="both"/>
      </w:pPr>
      <w:r>
        <w:rPr>
          <w:rFonts w:ascii="Times New Roman"/>
          <w:b w:val="false"/>
          <w:i w:val="false"/>
          <w:color w:val="000000"/>
          <w:sz w:val="28"/>
        </w:rPr>
        <w:t>
      Однако уведомления являются лишь небольшой частью информационных инструментов, а в соответствии с настоящей Концепцией будут определены подходы к их дальнейшей систематизации и оптимизации.</w:t>
      </w:r>
    </w:p>
    <w:p>
      <w:pPr>
        <w:spacing w:after="0"/>
        <w:ind w:left="0"/>
        <w:jc w:val="both"/>
      </w:pPr>
      <w:r>
        <w:rPr>
          <w:rFonts w:ascii="Times New Roman"/>
          <w:b w:val="false"/>
          <w:i w:val="false"/>
          <w:color w:val="000000"/>
          <w:sz w:val="28"/>
        </w:rPr>
        <w:t>
      Основным инструментом достижения заявленных целей и задач является анализ регуляторного воздействия вводимых и действующих регуляторных инструментов. В свою очередь, анализ регуляторного воздействия является аналитической процедурой, позволяющей выбирать наиболее эффективные способы решения проблем государственного регулирования и оценивать эффективность существующего регулирования.";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"Мировой опыт и сравнительный страновый анализ сильных и слабых сторон" дополнить частями девятнадцатой – тридцать шестой следующего содержания:</w:t>
      </w:r>
    </w:p>
    <w:p>
      <w:pPr>
        <w:spacing w:after="0"/>
        <w:ind w:left="0"/>
        <w:jc w:val="both"/>
      </w:pPr>
      <w:r>
        <w:rPr>
          <w:rFonts w:ascii="Times New Roman"/>
          <w:b w:val="false"/>
          <w:i w:val="false"/>
          <w:color w:val="000000"/>
          <w:sz w:val="28"/>
        </w:rPr>
        <w:t xml:space="preserve">
      "Одним из наиболее мягких вариантов государственного вмешательства в предпринимательскую деятельность является использование информационных инструментов. </w:t>
      </w:r>
    </w:p>
    <w:p>
      <w:pPr>
        <w:spacing w:after="0"/>
        <w:ind w:left="0"/>
        <w:jc w:val="both"/>
      </w:pPr>
      <w:r>
        <w:rPr>
          <w:rFonts w:ascii="Times New Roman"/>
          <w:b w:val="false"/>
          <w:i w:val="false"/>
          <w:color w:val="000000"/>
          <w:sz w:val="28"/>
        </w:rPr>
        <w:t>
      Вместе с тем, во многих развитых странах мира именно информационные инструменты, которые называют информационными обязательствами, часто являются объектами реформирования в рамках регуляторных реформ. Издержки информационных обязательств являются основными в структуре административных издержек бизнеса.</w:t>
      </w:r>
    </w:p>
    <w:p>
      <w:pPr>
        <w:spacing w:after="0"/>
        <w:ind w:left="0"/>
        <w:jc w:val="both"/>
      </w:pPr>
      <w:r>
        <w:rPr>
          <w:rFonts w:ascii="Times New Roman"/>
          <w:b w:val="false"/>
          <w:i w:val="false"/>
          <w:color w:val="000000"/>
          <w:sz w:val="28"/>
        </w:rPr>
        <w:t>
      Для расчета тяжести таких издержек некоторыми развитыми странами используется голландская модель стандартных затрат. Данная модель позволяет путем проведения анализа законодательства страны и последующего опроса субъектов регулирования определить реальную стоимость временных и финансовых затрат, вызываемых конкретными регуляторными актами.</w:t>
      </w:r>
    </w:p>
    <w:p>
      <w:pPr>
        <w:spacing w:after="0"/>
        <w:ind w:left="0"/>
        <w:jc w:val="both"/>
      </w:pPr>
      <w:r>
        <w:rPr>
          <w:rFonts w:ascii="Times New Roman"/>
          <w:b w:val="false"/>
          <w:i w:val="false"/>
          <w:color w:val="000000"/>
          <w:sz w:val="28"/>
        </w:rPr>
        <w:t xml:space="preserve">
      Как правило, расчет затрат позволяет оценивать эффективность реформ в конкретных сферах путем сопоставления издержек до проведения реформ и после. При этом могут оцениваться затраты как всех субъектов регулирования (предприниматели, социальные группы и т.п.), так и государства. </w:t>
      </w:r>
    </w:p>
    <w:p>
      <w:pPr>
        <w:spacing w:after="0"/>
        <w:ind w:left="0"/>
        <w:jc w:val="both"/>
      </w:pPr>
      <w:r>
        <w:rPr>
          <w:rFonts w:ascii="Times New Roman"/>
          <w:b w:val="false"/>
          <w:i w:val="false"/>
          <w:color w:val="000000"/>
          <w:sz w:val="28"/>
        </w:rPr>
        <w:t xml:space="preserve">
      Голландская модель показала свою жизнеспособность и была использована при проведении реформ в таких странах, как Германия, Дания, США, самих Нидерландах и многих других странах. </w:t>
      </w:r>
    </w:p>
    <w:p>
      <w:pPr>
        <w:spacing w:after="0"/>
        <w:ind w:left="0"/>
        <w:jc w:val="both"/>
      </w:pPr>
      <w:r>
        <w:rPr>
          <w:rFonts w:ascii="Times New Roman"/>
          <w:b w:val="false"/>
          <w:i w:val="false"/>
          <w:color w:val="000000"/>
          <w:sz w:val="28"/>
        </w:rPr>
        <w:t>
      В Казахстане данная модель была внедрена и апробирована в 2010 – 2014 годах для оценки операционных издержек бизнеса в соответствии с поручением Президента об их сокращении к 2015 году на 30 % по сравнению с 2011 годом.</w:t>
      </w:r>
    </w:p>
    <w:p>
      <w:pPr>
        <w:spacing w:after="0"/>
        <w:ind w:left="0"/>
        <w:jc w:val="both"/>
      </w:pPr>
      <w:r>
        <w:rPr>
          <w:rFonts w:ascii="Times New Roman"/>
          <w:b w:val="false"/>
          <w:i w:val="false"/>
          <w:color w:val="000000"/>
          <w:sz w:val="28"/>
        </w:rPr>
        <w:t>
      Исследование проводилось Национальным аналитическим центром по заданию Министерства национальной экономики Республики Казахстан.</w:t>
      </w:r>
    </w:p>
    <w:p>
      <w:pPr>
        <w:spacing w:after="0"/>
        <w:ind w:left="0"/>
        <w:jc w:val="both"/>
      </w:pPr>
      <w:r>
        <w:rPr>
          <w:rFonts w:ascii="Times New Roman"/>
          <w:b w:val="false"/>
          <w:i w:val="false"/>
          <w:color w:val="000000"/>
          <w:sz w:val="28"/>
        </w:rPr>
        <w:t>
      Данную модель можно использовать и для оценки эффективности реформы информационных инструментов.</w:t>
      </w:r>
    </w:p>
    <w:p>
      <w:pPr>
        <w:spacing w:after="0"/>
        <w:ind w:left="0"/>
        <w:jc w:val="both"/>
      </w:pPr>
      <w:r>
        <w:rPr>
          <w:rFonts w:ascii="Times New Roman"/>
          <w:b w:val="false"/>
          <w:i w:val="false"/>
          <w:color w:val="000000"/>
          <w:sz w:val="28"/>
        </w:rPr>
        <w:t xml:space="preserve">
      В свою очередь, информационные инструменты объединяет то, что их использование в регуляторных целях не требует авторизации (санкционирования) от государственных органов, и в большинстве своем они также не требуют никаких дополнительных капитальных вложений. Использование информационных инструментов сводится к исполнению требований по правильному сбору (получению), организации и передаче информации. Такие действия несут в основном издержки рабочего времени субъекта регулирования. </w:t>
      </w:r>
    </w:p>
    <w:p>
      <w:pPr>
        <w:spacing w:after="0"/>
        <w:ind w:left="0"/>
        <w:jc w:val="both"/>
      </w:pPr>
      <w:r>
        <w:rPr>
          <w:rFonts w:ascii="Times New Roman"/>
          <w:b w:val="false"/>
          <w:i w:val="false"/>
          <w:color w:val="000000"/>
          <w:sz w:val="28"/>
        </w:rPr>
        <w:t>
      Заполнение форм, организация данных отчетности, проверки правильности, весь открытый для мониторинга документооборот занимают пропорционально большое количество времени именно у руководителей субъектов предпринимательства. Это время тратится не на управление производством, работу с персоналом или другие продуктивные цели, а на работу с требованиями органов власти. Именно поэтому издержки, связанные с информационными инструментами, часто называют административными издержками.</w:t>
      </w:r>
    </w:p>
    <w:p>
      <w:pPr>
        <w:spacing w:after="0"/>
        <w:ind w:left="0"/>
        <w:jc w:val="both"/>
      </w:pPr>
      <w:r>
        <w:rPr>
          <w:rFonts w:ascii="Times New Roman"/>
          <w:b w:val="false"/>
          <w:i w:val="false"/>
          <w:color w:val="000000"/>
          <w:sz w:val="28"/>
        </w:rPr>
        <w:t xml:space="preserve">
      По информации Всемирного Банка в международной практике одним из самых первых и, наверное, самым отработанным и глубоким вариантом работы с информационными инструментами является практика исполнения Акта об уменьшении бумажного оборота (Paper Reduction Act) от 1980 года, принятого в США. </w:t>
      </w:r>
    </w:p>
    <w:p>
      <w:pPr>
        <w:spacing w:after="0"/>
        <w:ind w:left="0"/>
        <w:jc w:val="both"/>
      </w:pPr>
      <w:r>
        <w:rPr>
          <w:rFonts w:ascii="Times New Roman"/>
          <w:b w:val="false"/>
          <w:i w:val="false"/>
          <w:color w:val="000000"/>
          <w:sz w:val="28"/>
        </w:rPr>
        <w:t xml:space="preserve">
      Объектом внимания данного Акта является сбор информации. Этот сбор информации определяется так: "Получение, создание причин к получению, запросы, требования к открытию информации третьим лицам или общественности, фактов, точек зрения, любой организации независимо от формы или формата как постановка идентичных вопросов или требование идентичного типа информации или отчетности от десяти или более людей кроме ведомств, организаций или служащих федерального правительства США.". </w:t>
      </w:r>
    </w:p>
    <w:p>
      <w:pPr>
        <w:spacing w:after="0"/>
        <w:ind w:left="0"/>
        <w:jc w:val="both"/>
      </w:pPr>
      <w:r>
        <w:rPr>
          <w:rFonts w:ascii="Times New Roman"/>
          <w:b w:val="false"/>
          <w:i w:val="false"/>
          <w:color w:val="000000"/>
          <w:sz w:val="28"/>
        </w:rPr>
        <w:t xml:space="preserve">
      Как видно из этого определения, субъектами действия данного Акта являются не только субъекты предпринимательства, но и другие граждане и организации, включая органы региональной власти и местного самоуправления. </w:t>
      </w:r>
    </w:p>
    <w:p>
      <w:pPr>
        <w:spacing w:after="0"/>
        <w:ind w:left="0"/>
        <w:jc w:val="both"/>
      </w:pPr>
      <w:r>
        <w:rPr>
          <w:rFonts w:ascii="Times New Roman"/>
          <w:b w:val="false"/>
          <w:i w:val="false"/>
          <w:color w:val="000000"/>
          <w:sz w:val="28"/>
        </w:rPr>
        <w:t>
      Признавая пользу от информационных инструментов, этот Акт также дает четкое определение издержек, связанных с информационными инструментами. Издержки определяются как "время, усилия или финансовые ресурсы, выделяемые субъектами для подготовки, поддержания или предоставления информации любому агентству федерального правительства, включая ресурсы для (А) изучения инструкций; (Б) приобретения, установки и использования технологий и систем; (В) изменения существующих методов исполнения уже ранее существовавших инструкций и требований; (Г) поиска источников данных; (Д) заполнения и пересмотра сбора информации; и (Е) передачи информации.".</w:t>
      </w:r>
    </w:p>
    <w:p>
      <w:pPr>
        <w:spacing w:after="0"/>
        <w:ind w:left="0"/>
        <w:jc w:val="both"/>
      </w:pPr>
      <w:r>
        <w:rPr>
          <w:rFonts w:ascii="Times New Roman"/>
          <w:b w:val="false"/>
          <w:i w:val="false"/>
          <w:color w:val="000000"/>
          <w:sz w:val="28"/>
        </w:rPr>
        <w:t xml:space="preserve">
      Издержки информационных инструментов в США классифицируются по их причинам. Так, определены четыре категории таких причин, а именно: (1) новые требования законодательства; (2) действия агентств правительства; (3) изменения или перерасчеты из-за изменений в количестве субъектов или методах сбора информации; (4) ошибки или неисполнение требований, а также остановки и возобновления. </w:t>
      </w:r>
    </w:p>
    <w:p>
      <w:pPr>
        <w:spacing w:after="0"/>
        <w:ind w:left="0"/>
        <w:jc w:val="both"/>
      </w:pPr>
      <w:r>
        <w:rPr>
          <w:rFonts w:ascii="Times New Roman"/>
          <w:b w:val="false"/>
          <w:i w:val="false"/>
          <w:color w:val="000000"/>
          <w:sz w:val="28"/>
        </w:rPr>
        <w:t>
      Единицей измерения издержек информационных инструментов в США служат часы затраченного времени. Например, в отчете Офиса управления и бюджета США за 2011 финансовый год определено, что все население потратило 9.14 миллиарда часов на исполнение информационных требований, что на 355 миллионов часов или на 4 % больше, чем 8.78 миллиарда часов, потраченных в 2010 финансовом году.</w:t>
      </w:r>
    </w:p>
    <w:p>
      <w:pPr>
        <w:spacing w:after="0"/>
        <w:ind w:left="0"/>
        <w:jc w:val="both"/>
      </w:pPr>
      <w:r>
        <w:rPr>
          <w:rFonts w:ascii="Times New Roman"/>
          <w:b w:val="false"/>
          <w:i w:val="false"/>
          <w:color w:val="000000"/>
          <w:sz w:val="28"/>
        </w:rPr>
        <w:t>
      Применительно к Казахстану данный опыт США применим с точки зрения необходимости систематизации всех информационных инструментов и их последующей оптимизации.</w:t>
      </w:r>
    </w:p>
    <w:p>
      <w:pPr>
        <w:spacing w:after="0"/>
        <w:ind w:left="0"/>
        <w:jc w:val="both"/>
      </w:pPr>
      <w:r>
        <w:rPr>
          <w:rFonts w:ascii="Times New Roman"/>
          <w:b w:val="false"/>
          <w:i w:val="false"/>
          <w:color w:val="000000"/>
          <w:sz w:val="28"/>
        </w:rPr>
        <w:t>
      На сегодня в Казахстане проведены значительные реформы государственного регулирования, но все еще сохраняется высокое бремя административного регулирования.";</w:t>
      </w:r>
    </w:p>
    <w:bookmarkStart w:name="z19"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"Цели и задачи настоящей Концепции":</w:t>
      </w:r>
    </w:p>
    <w:bookmarkEnd w:id="8"/>
    <w:bookmarkStart w:name="z20" w:id="9"/>
    <w:p>
      <w:pPr>
        <w:spacing w:after="0"/>
        <w:ind w:left="0"/>
        <w:jc w:val="both"/>
      </w:pPr>
      <w:r>
        <w:rPr>
          <w:rFonts w:ascii="Times New Roman"/>
          <w:b w:val="false"/>
          <w:i w:val="false"/>
          <w:color w:val="000000"/>
          <w:sz w:val="28"/>
        </w:rPr>
        <w:t>
      часть вторую дополнить подпунктами 7) и 8) следующего содержания:</w:t>
      </w:r>
    </w:p>
    <w:bookmarkEnd w:id="9"/>
    <w:p>
      <w:pPr>
        <w:spacing w:after="0"/>
        <w:ind w:left="0"/>
        <w:jc w:val="both"/>
      </w:pPr>
      <w:r>
        <w:rPr>
          <w:rFonts w:ascii="Times New Roman"/>
          <w:b w:val="false"/>
          <w:i w:val="false"/>
          <w:color w:val="000000"/>
          <w:sz w:val="28"/>
        </w:rPr>
        <w:t>
      "7) снижение бремени государственного регулирования предпринимателей;</w:t>
      </w:r>
    </w:p>
    <w:p>
      <w:pPr>
        <w:spacing w:after="0"/>
        <w:ind w:left="0"/>
        <w:jc w:val="both"/>
      </w:pPr>
      <w:r>
        <w:rPr>
          <w:rFonts w:ascii="Times New Roman"/>
          <w:b w:val="false"/>
          <w:i w:val="false"/>
          <w:color w:val="000000"/>
          <w:sz w:val="28"/>
        </w:rPr>
        <w:t>
      8) систематизация и оптимизация информационных инструментов.";</w:t>
      </w:r>
    </w:p>
    <w:bookmarkStart w:name="z34" w:id="10"/>
    <w:p>
      <w:pPr>
        <w:spacing w:after="0"/>
        <w:ind w:left="0"/>
        <w:jc w:val="both"/>
      </w:pPr>
      <w:r>
        <w:rPr>
          <w:rFonts w:ascii="Times New Roman"/>
          <w:b w:val="false"/>
          <w:i w:val="false"/>
          <w:color w:val="000000"/>
          <w:sz w:val="28"/>
        </w:rPr>
        <w:t>
      дополнить частью третьей следующего содержания:</w:t>
      </w:r>
    </w:p>
    <w:bookmarkEnd w:id="10"/>
    <w:p>
      <w:pPr>
        <w:spacing w:after="0"/>
        <w:ind w:left="0"/>
        <w:jc w:val="both"/>
      </w:pPr>
      <w:r>
        <w:rPr>
          <w:rFonts w:ascii="Times New Roman"/>
          <w:b w:val="false"/>
          <w:i w:val="false"/>
          <w:color w:val="000000"/>
          <w:sz w:val="28"/>
        </w:rPr>
        <w:t xml:space="preserve">
      "Главной целью реформирования информационных инструментов является уменьшение издержек, связанных с этими инструментами, на бизнес через количественное уменьшение информационных обязательств, оптимизацию методов сбора информации, качественное улучшение индивидуальных информационных инструментов. Такое реформирование возможно при условии: </w:t>
      </w:r>
    </w:p>
    <w:p>
      <w:pPr>
        <w:spacing w:after="0"/>
        <w:ind w:left="0"/>
        <w:jc w:val="both"/>
      </w:pPr>
      <w:r>
        <w:rPr>
          <w:rFonts w:ascii="Times New Roman"/>
          <w:b w:val="false"/>
          <w:i w:val="false"/>
          <w:color w:val="000000"/>
          <w:sz w:val="28"/>
        </w:rPr>
        <w:t>
      создания системы мониторинга информационных обязательств с использованием хорошо измеряемых индикаторов издержек, связанных с ними;</w:t>
      </w:r>
    </w:p>
    <w:p>
      <w:pPr>
        <w:spacing w:after="0"/>
        <w:ind w:left="0"/>
        <w:jc w:val="both"/>
      </w:pPr>
      <w:r>
        <w:rPr>
          <w:rFonts w:ascii="Times New Roman"/>
          <w:b w:val="false"/>
          <w:i w:val="false"/>
          <w:color w:val="000000"/>
          <w:sz w:val="28"/>
        </w:rPr>
        <w:t>
      внедрения системного подхода к оптимизации информационных инструментов.";</w:t>
      </w:r>
    </w:p>
    <w:bookmarkStart w:name="z21"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"Этапы внедрения политики государственного регулирования предпринимательской деятельности":</w:t>
      </w:r>
    </w:p>
    <w:bookmarkEnd w:id="11"/>
    <w:bookmarkStart w:name="z22" w:id="12"/>
    <w:p>
      <w:pPr>
        <w:spacing w:after="0"/>
        <w:ind w:left="0"/>
        <w:jc w:val="both"/>
      </w:pPr>
      <w:r>
        <w:rPr>
          <w:rFonts w:ascii="Times New Roman"/>
          <w:b w:val="false"/>
          <w:i w:val="false"/>
          <w:color w:val="000000"/>
          <w:sz w:val="28"/>
        </w:rPr>
        <w:t>
      часть четвертую изложить в следующей редакции:</w:t>
      </w:r>
    </w:p>
    <w:bookmarkEnd w:id="12"/>
    <w:p>
      <w:pPr>
        <w:spacing w:after="0"/>
        <w:ind w:left="0"/>
        <w:jc w:val="both"/>
      </w:pPr>
      <w:r>
        <w:rPr>
          <w:rFonts w:ascii="Times New Roman"/>
          <w:b w:val="false"/>
          <w:i w:val="false"/>
          <w:color w:val="000000"/>
          <w:sz w:val="28"/>
        </w:rPr>
        <w:t>
      "Реформирование регуляторных инструментов уже проводится в Республике Казахстан. Для завершения первого этапа необходимо завершить реформирование системы контроля и надзора, разработать и внедрить систему саморегулирования там, где это возможно, а также провести реформу информационных инструментов.";</w:t>
      </w:r>
    </w:p>
    <w:bookmarkStart w:name="z23" w:id="13"/>
    <w:p>
      <w:pPr>
        <w:spacing w:after="0"/>
        <w:ind w:left="0"/>
        <w:jc w:val="both"/>
      </w:pPr>
      <w:r>
        <w:rPr>
          <w:rFonts w:ascii="Times New Roman"/>
          <w:b w:val="false"/>
          <w:i w:val="false"/>
          <w:color w:val="000000"/>
          <w:sz w:val="28"/>
        </w:rPr>
        <w:t>
      дополнить частями пятнадцатой – двадцать первой следующего содержания:</w:t>
      </w:r>
    </w:p>
    <w:bookmarkEnd w:id="13"/>
    <w:p>
      <w:pPr>
        <w:spacing w:after="0"/>
        <w:ind w:left="0"/>
        <w:jc w:val="both"/>
      </w:pPr>
      <w:r>
        <w:rPr>
          <w:rFonts w:ascii="Times New Roman"/>
          <w:b w:val="false"/>
          <w:i w:val="false"/>
          <w:color w:val="000000"/>
          <w:sz w:val="28"/>
        </w:rPr>
        <w:t xml:space="preserve">
      "В рамках вышеуказанных этапов и последовательности действий применительно к реформе информационных инструментов предлагается следующая последовательность ее этапов. </w:t>
      </w:r>
    </w:p>
    <w:p>
      <w:pPr>
        <w:spacing w:after="0"/>
        <w:ind w:left="0"/>
        <w:jc w:val="both"/>
      </w:pPr>
      <w:r>
        <w:rPr>
          <w:rFonts w:ascii="Times New Roman"/>
          <w:b w:val="false"/>
          <w:i w:val="false"/>
          <w:color w:val="000000"/>
          <w:sz w:val="28"/>
        </w:rPr>
        <w:t>
      Этап 1. 2016 – 2017 годы.</w:t>
      </w:r>
    </w:p>
    <w:p>
      <w:pPr>
        <w:spacing w:after="0"/>
        <w:ind w:left="0"/>
        <w:jc w:val="both"/>
      </w:pPr>
      <w:r>
        <w:rPr>
          <w:rFonts w:ascii="Times New Roman"/>
          <w:b w:val="false"/>
          <w:i w:val="false"/>
          <w:color w:val="000000"/>
          <w:sz w:val="28"/>
        </w:rPr>
        <w:t xml:space="preserve">
      На первом этапе необходимо провести инвентаризацию всех информационных инструментов, существующих и используемых в Казахстане. </w:t>
      </w:r>
    </w:p>
    <w:p>
      <w:pPr>
        <w:spacing w:after="0"/>
        <w:ind w:left="0"/>
        <w:jc w:val="both"/>
      </w:pPr>
      <w:r>
        <w:rPr>
          <w:rFonts w:ascii="Times New Roman"/>
          <w:b w:val="false"/>
          <w:i w:val="false"/>
          <w:color w:val="000000"/>
          <w:sz w:val="28"/>
        </w:rPr>
        <w:t xml:space="preserve">
      В процессе проведения инвентаризации государственным органам следует определить используемость собираемой посредством информационного инструмента информации. </w:t>
      </w:r>
    </w:p>
    <w:p>
      <w:pPr>
        <w:spacing w:after="0"/>
        <w:ind w:left="0"/>
        <w:jc w:val="both"/>
      </w:pPr>
      <w:r>
        <w:rPr>
          <w:rFonts w:ascii="Times New Roman"/>
          <w:b w:val="false"/>
          <w:i w:val="false"/>
          <w:color w:val="000000"/>
          <w:sz w:val="28"/>
        </w:rPr>
        <w:t>
      Этап 2. 2018 – 2019 годы.</w:t>
      </w:r>
    </w:p>
    <w:p>
      <w:pPr>
        <w:spacing w:after="0"/>
        <w:ind w:left="0"/>
        <w:jc w:val="both"/>
      </w:pPr>
      <w:r>
        <w:rPr>
          <w:rFonts w:ascii="Times New Roman"/>
          <w:b w:val="false"/>
          <w:i w:val="false"/>
          <w:color w:val="000000"/>
          <w:sz w:val="28"/>
        </w:rPr>
        <w:t>
      После проведения инвентаризации необходимо провести централизованный анализ всех информационных инструментов на предмет дублирования и требования информации, которая уже собрана в национальных базах данных. Соответствующую оптимизацию необходимо провести единовременно по всем информационным инструментам.</w:t>
      </w:r>
    </w:p>
    <w:p>
      <w:pPr>
        <w:spacing w:after="0"/>
        <w:ind w:left="0"/>
        <w:jc w:val="both"/>
      </w:pPr>
      <w:r>
        <w:rPr>
          <w:rFonts w:ascii="Times New Roman"/>
          <w:b w:val="false"/>
          <w:i w:val="false"/>
          <w:color w:val="000000"/>
          <w:sz w:val="28"/>
        </w:rPr>
        <w:t>
      Все информационные инструменты, которые сохранятся после исполнения предыдущих этапов, будут аккумулированы в едином перечне информационных инструментов (требований).";</w:t>
      </w:r>
    </w:p>
    <w:bookmarkStart w:name="z2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2</w:t>
      </w:r>
      <w:r>
        <w:rPr>
          <w:rFonts w:ascii="Times New Roman"/>
          <w:b w:val="false"/>
          <w:i w:val="false"/>
          <w:color w:val="000000"/>
          <w:sz w:val="28"/>
        </w:rPr>
        <w:t xml:space="preserve"> "Основные принципы и общие подходы к сфере государственного регулирования предпринимательской деятельности":</w:t>
      </w:r>
    </w:p>
    <w:bookmarkEnd w:id="14"/>
    <w:bookmarkStart w:name="z25" w:id="15"/>
    <w:p>
      <w:pPr>
        <w:spacing w:after="0"/>
        <w:ind w:left="0"/>
        <w:jc w:val="both"/>
      </w:pPr>
      <w:r>
        <w:rPr>
          <w:rFonts w:ascii="Times New Roman"/>
          <w:b w:val="false"/>
          <w:i w:val="false"/>
          <w:color w:val="000000"/>
          <w:sz w:val="28"/>
        </w:rPr>
        <w:t>
      часть девятую изложить в следующей редакции:</w:t>
      </w:r>
    </w:p>
    <w:bookmarkEnd w:id="15"/>
    <w:p>
      <w:pPr>
        <w:spacing w:after="0"/>
        <w:ind w:left="0"/>
        <w:jc w:val="both"/>
      </w:pPr>
      <w:r>
        <w:rPr>
          <w:rFonts w:ascii="Times New Roman"/>
          <w:b w:val="false"/>
          <w:i w:val="false"/>
          <w:color w:val="000000"/>
          <w:sz w:val="28"/>
        </w:rPr>
        <w:t>
      "Политика государственного регулирования предпринимательской деятельности регламентирует состав и процедуры применения этих инструментов и их жизненный цикл, устанавливает классификацию инструментов регулирования, необходимые условия появления новых инструментов, процедуру их обоснования и согласования, публичного обсуждения, устанавливает адекватность выбора применяемых инструментов с использованием результатов анализа рисков и параметры, по которым осуществляется мониторинг достижения целей их использования, условия и процедуру их отмены или замены.";</w:t>
      </w:r>
    </w:p>
    <w:bookmarkStart w:name="z26" w:id="16"/>
    <w:p>
      <w:pPr>
        <w:spacing w:after="0"/>
        <w:ind w:left="0"/>
        <w:jc w:val="both"/>
      </w:pPr>
      <w:r>
        <w:rPr>
          <w:rFonts w:ascii="Times New Roman"/>
          <w:b w:val="false"/>
          <w:i w:val="false"/>
          <w:color w:val="000000"/>
          <w:sz w:val="28"/>
        </w:rPr>
        <w:t>
      часть семьдесят третью изложить в следующей редакции:</w:t>
      </w:r>
    </w:p>
    <w:bookmarkEnd w:id="16"/>
    <w:p>
      <w:pPr>
        <w:spacing w:after="0"/>
        <w:ind w:left="0"/>
        <w:jc w:val="both"/>
      </w:pPr>
      <w:r>
        <w:rPr>
          <w:rFonts w:ascii="Times New Roman"/>
          <w:b w:val="false"/>
          <w:i w:val="false"/>
          <w:color w:val="000000"/>
          <w:sz w:val="28"/>
        </w:rPr>
        <w:t xml:space="preserve">
      "В соответствии с Перспективным планом законопроектных работ Правительства Республики Казахстан на 2015 – 2016 годы обеспечены разработка и принятие 12 ноября 2015 года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саморегулировании.";</w:t>
      </w:r>
    </w:p>
    <w:bookmarkStart w:name="z27" w:id="17"/>
    <w:p>
      <w:pPr>
        <w:spacing w:after="0"/>
        <w:ind w:left="0"/>
        <w:jc w:val="both"/>
      </w:pPr>
      <w:r>
        <w:rPr>
          <w:rFonts w:ascii="Times New Roman"/>
          <w:b w:val="false"/>
          <w:i w:val="false"/>
          <w:color w:val="000000"/>
          <w:sz w:val="28"/>
        </w:rPr>
        <w:t>
      часть восемьдесят восьмую изложить в следующей редакции:</w:t>
      </w:r>
    </w:p>
    <w:bookmarkEnd w:id="17"/>
    <w:p>
      <w:pPr>
        <w:spacing w:after="0"/>
        <w:ind w:left="0"/>
        <w:jc w:val="both"/>
      </w:pPr>
      <w:r>
        <w:rPr>
          <w:rFonts w:ascii="Times New Roman"/>
          <w:b w:val="false"/>
          <w:i w:val="false"/>
          <w:color w:val="000000"/>
          <w:sz w:val="28"/>
        </w:rPr>
        <w:t>
      "В состав таких комиссий должны входить представители консультативно-совещательного органа, государственного органа, где проводится анализ исполнения регуляторных функций, Национальной палаты предпринимателей, министерств финансов и национальной экономики.";</w:t>
      </w:r>
    </w:p>
    <w:bookmarkStart w:name="z28" w:id="18"/>
    <w:p>
      <w:pPr>
        <w:spacing w:after="0"/>
        <w:ind w:left="0"/>
        <w:jc w:val="both"/>
      </w:pPr>
      <w:r>
        <w:rPr>
          <w:rFonts w:ascii="Times New Roman"/>
          <w:b w:val="false"/>
          <w:i w:val="false"/>
          <w:color w:val="000000"/>
          <w:sz w:val="28"/>
        </w:rPr>
        <w:t>
      часть девяносто восьмую изложить в следующей редакции:</w:t>
      </w:r>
    </w:p>
    <w:bookmarkEnd w:id="18"/>
    <w:p>
      <w:pPr>
        <w:spacing w:after="0"/>
        <w:ind w:left="0"/>
        <w:jc w:val="both"/>
      </w:pPr>
      <w:r>
        <w:rPr>
          <w:rFonts w:ascii="Times New Roman"/>
          <w:b w:val="false"/>
          <w:i w:val="false"/>
          <w:color w:val="000000"/>
          <w:sz w:val="28"/>
        </w:rPr>
        <w:t>
      "Консультативно-совещательный орган предполагается создать на базе действующей Межведомственной комиссии по вопросам регулирования предпринимательской деятельности под председательством Первого заместителя Премьер-Министра, членами которого будут являться представители государственных органов на уровне заместителей первых руководителей государственных органов, национальных ассоциаций предпринимателей, потребителей, а также другие лица от заинтересованных органов и организаций.";</w:t>
      </w:r>
    </w:p>
    <w:bookmarkStart w:name="z29" w:id="19"/>
    <w:p>
      <w:pPr>
        <w:spacing w:after="0"/>
        <w:ind w:left="0"/>
        <w:jc w:val="both"/>
      </w:pPr>
      <w:r>
        <w:rPr>
          <w:rFonts w:ascii="Times New Roman"/>
          <w:b w:val="false"/>
          <w:i w:val="false"/>
          <w:color w:val="000000"/>
          <w:sz w:val="28"/>
        </w:rPr>
        <w:t>
      в части сто тридцать первой:</w:t>
      </w:r>
    </w:p>
    <w:bookmarkEnd w:id="19"/>
    <w:bookmarkStart w:name="z30" w:id="20"/>
    <w:p>
      <w:pPr>
        <w:spacing w:after="0"/>
        <w:ind w:left="0"/>
        <w:jc w:val="both"/>
      </w:pPr>
      <w:r>
        <w:rPr>
          <w:rFonts w:ascii="Times New Roman"/>
          <w:b w:val="false"/>
          <w:i w:val="false"/>
          <w:color w:val="000000"/>
          <w:sz w:val="28"/>
        </w:rPr>
        <w:t>
      подпункт 1) изложить в следующей редакции:</w:t>
      </w:r>
    </w:p>
    <w:bookmarkEnd w:id="20"/>
    <w:p>
      <w:pPr>
        <w:spacing w:after="0"/>
        <w:ind w:left="0"/>
        <w:jc w:val="both"/>
      </w:pPr>
      <w:r>
        <w:rPr>
          <w:rFonts w:ascii="Times New Roman"/>
          <w:b w:val="false"/>
          <w:i w:val="false"/>
          <w:color w:val="000000"/>
          <w:sz w:val="28"/>
        </w:rPr>
        <w:t>
      "1) определить одним из акцентов работы уполномоченного органа в сфере защиты прав потребителей рассмотрение жалоб потребителей на региональном уровне. Для этого необходимо структурные подразделения уполномоченного органа в сфере защиты прав потребителей во всех регионах наделить соответствующими полномочиями. Это позволит более оперативно и своевременно реагировать по конкретным фактам причинения вреда жизни, здоровью человека, окружающей среде, а также повысит доверие со стороны населения к деятельности указанного уполномоченного органа.</w:t>
      </w:r>
    </w:p>
    <w:p>
      <w:pPr>
        <w:spacing w:after="0"/>
        <w:ind w:left="0"/>
        <w:jc w:val="both"/>
      </w:pPr>
      <w:r>
        <w:rPr>
          <w:rFonts w:ascii="Times New Roman"/>
          <w:b w:val="false"/>
          <w:i w:val="false"/>
          <w:color w:val="000000"/>
          <w:sz w:val="28"/>
        </w:rPr>
        <w:t>
      Вместе с тем, предполагается рассмотреть вопрос наделения уполномоченного органа в сфере защиты прав потребителей правом досудебного урегулирования конфликтов, вытекающих из нарушений прав потребителей. Так, уполномоченный орган в сфере защиты прав потребителей мог бы утверждать мировые соглашения между предпринимателями и потребителями, права которых были нарушены;";</w:t>
      </w:r>
    </w:p>
    <w:bookmarkStart w:name="z31" w:id="21"/>
    <w:p>
      <w:pPr>
        <w:spacing w:after="0"/>
        <w:ind w:left="0"/>
        <w:jc w:val="both"/>
      </w:pPr>
      <w:r>
        <w:rPr>
          <w:rFonts w:ascii="Times New Roman"/>
          <w:b w:val="false"/>
          <w:i w:val="false"/>
          <w:color w:val="000000"/>
          <w:sz w:val="28"/>
        </w:rPr>
        <w:t>
      подпункты 7) и 8) изложить в следующей редакции:</w:t>
      </w:r>
    </w:p>
    <w:bookmarkEnd w:id="21"/>
    <w:p>
      <w:pPr>
        <w:spacing w:after="0"/>
        <w:ind w:left="0"/>
        <w:jc w:val="both"/>
      </w:pPr>
      <w:r>
        <w:rPr>
          <w:rFonts w:ascii="Times New Roman"/>
          <w:b w:val="false"/>
          <w:i w:val="false"/>
          <w:color w:val="000000"/>
          <w:sz w:val="28"/>
        </w:rPr>
        <w:t>
      "7) для повышения уровня правовой грамотности потребителей необходимо широкое освещение в средствах массовой информации и общественных местах (кинотеатры, телевидение, общественный транспорт) политики государства и работы уполномоченного органа в сфере защиты прав потребителей в этом направлении;</w:t>
      </w:r>
    </w:p>
    <w:p>
      <w:pPr>
        <w:spacing w:after="0"/>
        <w:ind w:left="0"/>
        <w:jc w:val="both"/>
      </w:pPr>
      <w:r>
        <w:rPr>
          <w:rFonts w:ascii="Times New Roman"/>
          <w:b w:val="false"/>
          <w:i w:val="false"/>
          <w:color w:val="000000"/>
          <w:sz w:val="28"/>
        </w:rPr>
        <w:t xml:space="preserve">
      8) выявление ненадлежащей рекламы и борьба с ней (особенно в сети интернет) должны также стать приоритетами работы уполномоченного органа в сфере защиты прав потребителей и всех других государственных органов по курируемым направлениям."; </w:t>
      </w:r>
    </w:p>
    <w:bookmarkStart w:name="z32" w:id="22"/>
    <w:p>
      <w:pPr>
        <w:spacing w:after="0"/>
        <w:ind w:left="0"/>
        <w:jc w:val="both"/>
      </w:pPr>
      <w:r>
        <w:rPr>
          <w:rFonts w:ascii="Times New Roman"/>
          <w:b w:val="false"/>
          <w:i w:val="false"/>
          <w:color w:val="000000"/>
          <w:sz w:val="28"/>
        </w:rPr>
        <w:t>
      дополнить подразделом следующего содержания:</w:t>
      </w:r>
    </w:p>
    <w:bookmarkEnd w:id="22"/>
    <w:p>
      <w:pPr>
        <w:spacing w:after="0"/>
        <w:ind w:left="0"/>
        <w:jc w:val="both"/>
      </w:pPr>
      <w:r>
        <w:rPr>
          <w:rFonts w:ascii="Times New Roman"/>
          <w:b w:val="false"/>
          <w:i w:val="false"/>
          <w:color w:val="000000"/>
          <w:sz w:val="28"/>
        </w:rPr>
        <w:t xml:space="preserve">
      "Подходы к реформе информационных инструментов. </w:t>
      </w:r>
    </w:p>
    <w:p>
      <w:pPr>
        <w:spacing w:after="0"/>
        <w:ind w:left="0"/>
        <w:jc w:val="both"/>
      </w:pPr>
      <w:r>
        <w:rPr>
          <w:rFonts w:ascii="Times New Roman"/>
          <w:b w:val="false"/>
          <w:i w:val="false"/>
          <w:color w:val="000000"/>
          <w:sz w:val="28"/>
        </w:rPr>
        <w:t xml:space="preserve">
      Целью работы с информационными инструментами в рамках государственной регуляторной политики являются сокращение издержек, связанных с информационными обязательствами субъектов предпринимательства, оптимизация сбора и обработки информации, лучшая информированность органов государственной власти. Для этого рекомендуется определить следующие приоритетные направления этой работы: </w:t>
      </w:r>
    </w:p>
    <w:p>
      <w:pPr>
        <w:spacing w:after="0"/>
        <w:ind w:left="0"/>
        <w:jc w:val="both"/>
      </w:pPr>
      <w:r>
        <w:rPr>
          <w:rFonts w:ascii="Times New Roman"/>
          <w:b w:val="false"/>
          <w:i w:val="false"/>
          <w:color w:val="000000"/>
          <w:sz w:val="28"/>
        </w:rPr>
        <w:t xml:space="preserve">
      1) проведение четкой функциональной классификации информационных инструментов для наведения порядка в их использовании и исключения дублирования; </w:t>
      </w:r>
    </w:p>
    <w:p>
      <w:pPr>
        <w:spacing w:after="0"/>
        <w:ind w:left="0"/>
        <w:jc w:val="both"/>
      </w:pPr>
      <w:r>
        <w:rPr>
          <w:rFonts w:ascii="Times New Roman"/>
          <w:b w:val="false"/>
          <w:i w:val="false"/>
          <w:color w:val="000000"/>
          <w:sz w:val="28"/>
        </w:rPr>
        <w:t>
      2) выработка системы использования информационных инструментов, определение границ их эффективного функционирования и достижения целей;</w:t>
      </w:r>
    </w:p>
    <w:p>
      <w:pPr>
        <w:spacing w:after="0"/>
        <w:ind w:left="0"/>
        <w:jc w:val="both"/>
      </w:pPr>
      <w:r>
        <w:rPr>
          <w:rFonts w:ascii="Times New Roman"/>
          <w:b w:val="false"/>
          <w:i w:val="false"/>
          <w:color w:val="000000"/>
          <w:sz w:val="28"/>
        </w:rPr>
        <w:t>
      3) сокращение и оптимизация информационных требований и издержек информационных инструментов, необходимых для исполнения субъектами предпринимательства;</w:t>
      </w:r>
    </w:p>
    <w:p>
      <w:pPr>
        <w:spacing w:after="0"/>
        <w:ind w:left="0"/>
        <w:jc w:val="both"/>
      </w:pPr>
      <w:r>
        <w:rPr>
          <w:rFonts w:ascii="Times New Roman"/>
          <w:b w:val="false"/>
          <w:i w:val="false"/>
          <w:color w:val="000000"/>
          <w:sz w:val="28"/>
        </w:rPr>
        <w:t>
      4) оценка административных издержек бизнеса в связи с исполнением информационных требований.</w:t>
      </w:r>
    </w:p>
    <w:p>
      <w:pPr>
        <w:spacing w:after="0"/>
        <w:ind w:left="0"/>
        <w:jc w:val="both"/>
      </w:pPr>
      <w:r>
        <w:rPr>
          <w:rFonts w:ascii="Times New Roman"/>
          <w:b w:val="false"/>
          <w:i w:val="false"/>
          <w:color w:val="000000"/>
          <w:sz w:val="28"/>
        </w:rPr>
        <w:t>
      Реформирование информационных инструментов предполагает создание необходимой институциональной и методологической базы.</w:t>
      </w:r>
    </w:p>
    <w:p>
      <w:pPr>
        <w:spacing w:after="0"/>
        <w:ind w:left="0"/>
        <w:jc w:val="both"/>
      </w:pPr>
      <w:r>
        <w:rPr>
          <w:rFonts w:ascii="Times New Roman"/>
          <w:b w:val="false"/>
          <w:i w:val="false"/>
          <w:color w:val="000000"/>
          <w:sz w:val="28"/>
        </w:rPr>
        <w:t>
      Для полного охвата всех информационных инструментов, их классификации и качественного формированиях их перечня будет создана экспертная группа при консультативно-совещательном органе из числа представителей государственных органов и бизнес-сообщества.</w:t>
      </w:r>
    </w:p>
    <w:p>
      <w:pPr>
        <w:spacing w:after="0"/>
        <w:ind w:left="0"/>
        <w:jc w:val="both"/>
      </w:pPr>
      <w:r>
        <w:rPr>
          <w:rFonts w:ascii="Times New Roman"/>
          <w:b w:val="false"/>
          <w:i w:val="false"/>
          <w:color w:val="000000"/>
          <w:sz w:val="28"/>
        </w:rPr>
        <w:t>
      Государственные органы проводят инвентаризацию информационных обязательств, для чего осуществляется анализ каждого информационного инструмента (требования) путем определения группы этого инструмента, используемости предоставляемой информации, индикативные издержки по этапам исполнения информационного инструмента.</w:t>
      </w:r>
    </w:p>
    <w:p>
      <w:pPr>
        <w:spacing w:after="0"/>
        <w:ind w:left="0"/>
        <w:jc w:val="both"/>
      </w:pPr>
      <w:r>
        <w:rPr>
          <w:rFonts w:ascii="Times New Roman"/>
          <w:b w:val="false"/>
          <w:i w:val="false"/>
          <w:color w:val="000000"/>
          <w:sz w:val="28"/>
        </w:rPr>
        <w:t>
      Государственным органам следует выявить индикаторное значение затрачиваемого рабочего времени на исполнение элементов (этапов) информационных обязательств, таких как:</w:t>
      </w:r>
    </w:p>
    <w:p>
      <w:pPr>
        <w:spacing w:after="0"/>
        <w:ind w:left="0"/>
        <w:jc w:val="both"/>
      </w:pPr>
      <w:r>
        <w:rPr>
          <w:rFonts w:ascii="Times New Roman"/>
          <w:b w:val="false"/>
          <w:i w:val="false"/>
          <w:color w:val="000000"/>
          <w:sz w:val="28"/>
        </w:rPr>
        <w:t xml:space="preserve">
      1) изучение инструкций; </w:t>
      </w:r>
    </w:p>
    <w:p>
      <w:pPr>
        <w:spacing w:after="0"/>
        <w:ind w:left="0"/>
        <w:jc w:val="both"/>
      </w:pPr>
      <w:r>
        <w:rPr>
          <w:rFonts w:ascii="Times New Roman"/>
          <w:b w:val="false"/>
          <w:i w:val="false"/>
          <w:color w:val="000000"/>
          <w:sz w:val="28"/>
        </w:rPr>
        <w:t xml:space="preserve">
      2) приобретение, установка и использование технологий и систем; </w:t>
      </w:r>
    </w:p>
    <w:p>
      <w:pPr>
        <w:spacing w:after="0"/>
        <w:ind w:left="0"/>
        <w:jc w:val="both"/>
      </w:pPr>
      <w:r>
        <w:rPr>
          <w:rFonts w:ascii="Times New Roman"/>
          <w:b w:val="false"/>
          <w:i w:val="false"/>
          <w:color w:val="000000"/>
          <w:sz w:val="28"/>
        </w:rPr>
        <w:t xml:space="preserve">
      3) поиск источников данных; </w:t>
      </w:r>
    </w:p>
    <w:p>
      <w:pPr>
        <w:spacing w:after="0"/>
        <w:ind w:left="0"/>
        <w:jc w:val="both"/>
      </w:pPr>
      <w:r>
        <w:rPr>
          <w:rFonts w:ascii="Times New Roman"/>
          <w:b w:val="false"/>
          <w:i w:val="false"/>
          <w:color w:val="000000"/>
          <w:sz w:val="28"/>
        </w:rPr>
        <w:t xml:space="preserve">
      4) заполнение и пересмотр сбора информации; </w:t>
      </w:r>
    </w:p>
    <w:p>
      <w:pPr>
        <w:spacing w:after="0"/>
        <w:ind w:left="0"/>
        <w:jc w:val="both"/>
      </w:pPr>
      <w:r>
        <w:rPr>
          <w:rFonts w:ascii="Times New Roman"/>
          <w:b w:val="false"/>
          <w:i w:val="false"/>
          <w:color w:val="000000"/>
          <w:sz w:val="28"/>
        </w:rPr>
        <w:t xml:space="preserve">
      5) передача информации. </w:t>
      </w:r>
    </w:p>
    <w:p>
      <w:pPr>
        <w:spacing w:after="0"/>
        <w:ind w:left="0"/>
        <w:jc w:val="both"/>
      </w:pPr>
      <w:r>
        <w:rPr>
          <w:rFonts w:ascii="Times New Roman"/>
          <w:b w:val="false"/>
          <w:i w:val="false"/>
          <w:color w:val="000000"/>
          <w:sz w:val="28"/>
        </w:rPr>
        <w:t>
      Итоги инвентаризации будут рассмотрены экспертной группой и по итогам обсуждения, в зависимости от эффективности в достижении поставленных целей, будет приниматься решение об отмене или пересмотре каждого информационного инструмента.</w:t>
      </w:r>
    </w:p>
    <w:p>
      <w:pPr>
        <w:spacing w:after="0"/>
        <w:ind w:left="0"/>
        <w:jc w:val="both"/>
      </w:pPr>
      <w:r>
        <w:rPr>
          <w:rFonts w:ascii="Times New Roman"/>
          <w:b w:val="false"/>
          <w:i w:val="false"/>
          <w:color w:val="000000"/>
          <w:sz w:val="28"/>
        </w:rPr>
        <w:t xml:space="preserve">
      По итогам инвентаризации рекомендуется их классифицировать по функциональному признаку. </w:t>
      </w:r>
    </w:p>
    <w:p>
      <w:pPr>
        <w:spacing w:after="0"/>
        <w:ind w:left="0"/>
        <w:jc w:val="both"/>
      </w:pPr>
      <w:r>
        <w:rPr>
          <w:rFonts w:ascii="Times New Roman"/>
          <w:b w:val="false"/>
          <w:i w:val="false"/>
          <w:color w:val="000000"/>
          <w:sz w:val="28"/>
        </w:rPr>
        <w:t>
      Для этого предлагается использовать деление на такие группы:</w:t>
      </w:r>
    </w:p>
    <w:p>
      <w:pPr>
        <w:spacing w:after="0"/>
        <w:ind w:left="0"/>
        <w:jc w:val="both"/>
      </w:pPr>
      <w:r>
        <w:rPr>
          <w:rFonts w:ascii="Times New Roman"/>
          <w:b w:val="false"/>
          <w:i w:val="false"/>
          <w:color w:val="000000"/>
          <w:sz w:val="28"/>
        </w:rPr>
        <w:t>
      1) исполнение требований законодательства перед третьими лицами. Например, маркировка, декларирование, обязательные инструкции, правила обслуживания, иная информация, обязательная для предоставления потребителям, информация в рамках процедур банкротства, об изменении структуры собственности, иная информация о субъектах частного предпринимательства, обязательная для предоставления третьим лицам;</w:t>
      </w:r>
    </w:p>
    <w:p>
      <w:pPr>
        <w:spacing w:after="0"/>
        <w:ind w:left="0"/>
        <w:jc w:val="both"/>
      </w:pPr>
      <w:r>
        <w:rPr>
          <w:rFonts w:ascii="Times New Roman"/>
          <w:b w:val="false"/>
          <w:i w:val="false"/>
          <w:color w:val="000000"/>
          <w:sz w:val="28"/>
        </w:rPr>
        <w:t>
      2) регулярная обязательная отчетность органам государственной власти (за исключением налоговой, статистической и финансовой периодической отчетности);</w:t>
      </w:r>
    </w:p>
    <w:p>
      <w:pPr>
        <w:spacing w:after="0"/>
        <w:ind w:left="0"/>
        <w:jc w:val="both"/>
      </w:pPr>
      <w:r>
        <w:rPr>
          <w:rFonts w:ascii="Times New Roman"/>
          <w:b w:val="false"/>
          <w:i w:val="false"/>
          <w:color w:val="000000"/>
          <w:sz w:val="28"/>
        </w:rPr>
        <w:t>
      3) разовая подача информации государственным органам (формы, выписки, декларации, уведомления, иные заполняемые субъектами частного предпринимательства документы, предоставляемые в государственные органы в рамках регистрации, разрешительных процедур или иных обращений в государственные органы).</w:t>
      </w:r>
    </w:p>
    <w:p>
      <w:pPr>
        <w:spacing w:after="0"/>
        <w:ind w:left="0"/>
        <w:jc w:val="both"/>
      </w:pPr>
      <w:r>
        <w:rPr>
          <w:rFonts w:ascii="Times New Roman"/>
          <w:b w:val="false"/>
          <w:i w:val="false"/>
          <w:color w:val="000000"/>
          <w:sz w:val="28"/>
        </w:rPr>
        <w:t xml:space="preserve">
      К данной категории также относятся уведомления о начале или прекращении предпринимательской деятельности, перечень которых утвержден приложением к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Итоговый перечень информационных инструментов будет вынесен на рассмотрение в консультативно-совещательный орган.</w:t>
      </w:r>
    </w:p>
    <w:p>
      <w:pPr>
        <w:spacing w:after="0"/>
        <w:ind w:left="0"/>
        <w:jc w:val="both"/>
      </w:pPr>
      <w:r>
        <w:rPr>
          <w:rFonts w:ascii="Times New Roman"/>
          <w:b w:val="false"/>
          <w:i w:val="false"/>
          <w:color w:val="000000"/>
          <w:sz w:val="28"/>
        </w:rPr>
        <w:t xml:space="preserve">
      Дальнейшая оптимизация использования информационных инструментов возможна при проведении детального анализа конкретных требований или информационных обязательств. Главным критерием такого анализа является используемость предоставляемой информации ее реципиентом (как правило, государственным органом). Иногда субъекты частного предпринимательства предоставляют информацию, которая или не используется совсем, или полезность ее использования является ограниченной. Информационные требования, которые содержат такие типы информации, должны быть пересмотрены в первую очередь. </w:t>
      </w:r>
    </w:p>
    <w:p>
      <w:pPr>
        <w:spacing w:after="0"/>
        <w:ind w:left="0"/>
        <w:jc w:val="both"/>
      </w:pPr>
      <w:r>
        <w:rPr>
          <w:rFonts w:ascii="Times New Roman"/>
          <w:b w:val="false"/>
          <w:i w:val="false"/>
          <w:color w:val="000000"/>
          <w:sz w:val="28"/>
        </w:rPr>
        <w:t xml:space="preserve">
      Во многих странах, в том числе и в Казахстане, созданы или создаются интегрированные базы данных субъектов бизнеса. Использование таких баз данных позволяет значительно уменьшить количество требуемой информации от субъектов частного предпринимательства, потому что некоторое количество постоянной и исторической информации уже есть в этих базах данных, и интегрирование этих баз с требованиями различных государственных органов позволяет избежать дублирования предоставления требований субъектами частного предпринимательства. </w:t>
      </w:r>
    </w:p>
    <w:p>
      <w:pPr>
        <w:spacing w:after="0"/>
        <w:ind w:left="0"/>
        <w:jc w:val="both"/>
      </w:pPr>
      <w:r>
        <w:rPr>
          <w:rFonts w:ascii="Times New Roman"/>
          <w:b w:val="false"/>
          <w:i w:val="false"/>
          <w:color w:val="000000"/>
          <w:sz w:val="28"/>
        </w:rPr>
        <w:t>
      Этот момент должен быть учтен при проведении инвентаризации информационных инструментов и их последующей оптимизации.</w:t>
      </w:r>
    </w:p>
    <w:p>
      <w:pPr>
        <w:spacing w:after="0"/>
        <w:ind w:left="0"/>
        <w:jc w:val="both"/>
      </w:pPr>
      <w:r>
        <w:rPr>
          <w:rFonts w:ascii="Times New Roman"/>
          <w:b w:val="false"/>
          <w:i w:val="false"/>
          <w:color w:val="000000"/>
          <w:sz w:val="28"/>
        </w:rPr>
        <w:t xml:space="preserve">
      Описанные выше шаги по оптимизации информационных инструментов при их полном внедрении приведут к сокращению количества информационных требований для субъектов частного предпринимательства. </w:t>
      </w:r>
    </w:p>
    <w:p>
      <w:pPr>
        <w:spacing w:after="0"/>
        <w:ind w:left="0"/>
        <w:jc w:val="both"/>
      </w:pPr>
      <w:r>
        <w:rPr>
          <w:rFonts w:ascii="Times New Roman"/>
          <w:b w:val="false"/>
          <w:i w:val="false"/>
          <w:color w:val="000000"/>
          <w:sz w:val="28"/>
        </w:rPr>
        <w:t xml:space="preserve">
      Следующим шагом является пересмотр информационных обязательств на предмет сокращения издержек. </w:t>
      </w:r>
    </w:p>
    <w:p>
      <w:pPr>
        <w:spacing w:after="0"/>
        <w:ind w:left="0"/>
        <w:jc w:val="both"/>
      </w:pPr>
      <w:r>
        <w:rPr>
          <w:rFonts w:ascii="Times New Roman"/>
          <w:b w:val="false"/>
          <w:i w:val="false"/>
          <w:color w:val="000000"/>
          <w:sz w:val="28"/>
        </w:rPr>
        <w:t xml:space="preserve">
      Международный опыт и опыт Казахстана показывают, что такое сокращение возможно и результативно в случаях, когда политическое руководство государства ставит определенные количественные цели такого сокращения. </w:t>
      </w:r>
    </w:p>
    <w:p>
      <w:pPr>
        <w:spacing w:after="0"/>
        <w:ind w:left="0"/>
        <w:jc w:val="both"/>
      </w:pPr>
      <w:r>
        <w:rPr>
          <w:rFonts w:ascii="Times New Roman"/>
          <w:b w:val="false"/>
          <w:i w:val="false"/>
          <w:color w:val="000000"/>
          <w:sz w:val="28"/>
        </w:rPr>
        <w:t>
      Например, после количественного сокращения и инвентаризации оставшихся информационных инструментов можно определить цель в сокращении временных издержек и соответственно финансовых затрат субъектов частного предпринимательства.";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посредством которых предполагается реализация Концепции, изложить в следующей редакции:</w:t>
      </w:r>
    </w:p>
    <w:p>
      <w:pPr>
        <w:spacing w:after="0"/>
        <w:ind w:left="0"/>
        <w:jc w:val="both"/>
      </w:pPr>
      <w:r>
        <w:rPr>
          <w:rFonts w:ascii="Times New Roman"/>
          <w:b w:val="false"/>
          <w:i w:val="false"/>
          <w:color w:val="000000"/>
          <w:sz w:val="28"/>
        </w:rPr>
        <w:t>
      "Перечень нормативных правовых актов, посредством которых предполагается реализация Концепции</w:t>
      </w:r>
    </w:p>
    <w:p>
      <w:pPr>
        <w:spacing w:after="0"/>
        <w:ind w:left="0"/>
        <w:jc w:val="both"/>
      </w:pPr>
      <w:r>
        <w:rPr>
          <w:rFonts w:ascii="Times New Roman"/>
          <w:b w:val="false"/>
          <w:i w:val="false"/>
          <w:color w:val="000000"/>
          <w:sz w:val="28"/>
        </w:rPr>
        <w:t>
      Реализация Концепции предполагается посредством следующих нормативных правовых актов:</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5 июля 2014 года "Об административных правонарушениях".</w:t>
      </w:r>
    </w:p>
    <w:p>
      <w:pPr>
        <w:spacing w:after="0"/>
        <w:ind w:left="0"/>
        <w:jc w:val="both"/>
      </w:pPr>
      <w:r>
        <w:rPr>
          <w:rFonts w:ascii="Times New Roman"/>
          <w:b w:val="false"/>
          <w:i w:val="false"/>
          <w:color w:val="000000"/>
          <w:sz w:val="28"/>
        </w:rPr>
        <w:t>
      2. Предпринимательский кодекс Республики Казахстан от 29 октября 2015 года.</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мая 1996 года "Об общественных объединениях".</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Сагинтаев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