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cc25" w14:textId="dd5c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Кыргызской Республики о техническом содействии</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2016 года № 648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между Правительством Республики Казахстан и Правительством Кыргызской Республики о техническом содействии.</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Мамина Аскара Узакпаевича подписать от имени Правительства Республики Казахстан Протокол между Правительством Республики Казахстан и Правительством Кыргызской Республики о техническом содействии,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bookmarkStart w:name="z6"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2016 года № 648</w:t>
      </w:r>
    </w:p>
    <w:bookmarkEnd w:id="1"/>
    <w:p>
      <w:pPr>
        <w:spacing w:after="0"/>
        <w:ind w:left="0"/>
        <w:jc w:val="both"/>
      </w:pPr>
      <w:r>
        <w:rPr>
          <w:rFonts w:ascii="Times New Roman"/>
          <w:b w:val="false"/>
          <w:i w:val="false"/>
          <w:color w:val="000000"/>
          <w:sz w:val="28"/>
        </w:rPr>
        <w:t>Проект</w:t>
      </w:r>
    </w:p>
    <w:bookmarkStart w:name="z5" w:id="2"/>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Кыргызской Республики о техническом содействии</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далее именуемые Сторонами,</w:t>
      </w:r>
      <w:r>
        <w:br/>
      </w:r>
      <w:r>
        <w:rPr>
          <w:rFonts w:ascii="Times New Roman"/>
          <w:b w:val="false"/>
          <w:i w:val="false"/>
          <w:color w:val="000000"/>
          <w:sz w:val="28"/>
        </w:rPr>
        <w:t>
      признавая важность исполнения решений Высшего Евразийского экономического совета на уровне глав государств от 29 мая 2014 года №  </w:t>
      </w:r>
      <w:r>
        <w:rPr>
          <w:rFonts w:ascii="Times New Roman"/>
          <w:b w:val="false"/>
          <w:i w:val="false"/>
          <w:color w:val="000000"/>
          <w:sz w:val="28"/>
        </w:rPr>
        <w:t>74</w:t>
      </w:r>
      <w:r>
        <w:rPr>
          <w:rFonts w:ascii="Times New Roman"/>
          <w:b w:val="false"/>
          <w:i w:val="false"/>
          <w:color w:val="000000"/>
          <w:sz w:val="28"/>
        </w:rPr>
        <w:t xml:space="preserve">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 а также от 10 октября 2014 года № </w:t>
      </w:r>
      <w:r>
        <w:rPr>
          <w:rFonts w:ascii="Times New Roman"/>
          <w:b w:val="false"/>
          <w:i w:val="false"/>
          <w:color w:val="000000"/>
          <w:sz w:val="28"/>
        </w:rPr>
        <w:t>75</w:t>
      </w:r>
      <w:r>
        <w:rPr>
          <w:rFonts w:ascii="Times New Roman"/>
          <w:b w:val="false"/>
          <w:i w:val="false"/>
          <w:color w:val="000000"/>
          <w:sz w:val="28"/>
        </w:rPr>
        <w:t xml:space="preserve"> «О плане мероприятий («дорожной карте») по присоединению Кыргызской Республики к единому экономическому пространству Республики Беларусь, Республики Казахстан и Российской Федерации с учетом формирования Евразийского экономического союза» (далее – дорожные карты), </w:t>
      </w:r>
      <w:r>
        <w:br/>
      </w:r>
      <w:r>
        <w:rPr>
          <w:rFonts w:ascii="Times New Roman"/>
          <w:b w:val="false"/>
          <w:i w:val="false"/>
          <w:color w:val="000000"/>
          <w:sz w:val="28"/>
        </w:rPr>
        <w:t xml:space="preserve">
      в целях реализации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 (далее – Соглашение), </w:t>
      </w:r>
      <w:r>
        <w:br/>
      </w:r>
      <w:r>
        <w:rPr>
          <w:rFonts w:ascii="Times New Roman"/>
          <w:b w:val="false"/>
          <w:i w:val="false"/>
          <w:color w:val="000000"/>
          <w:sz w:val="28"/>
        </w:rPr>
        <w:t>
      согласились о нижеследующем:</w:t>
      </w:r>
    </w:p>
    <w:bookmarkStart w:name="z7" w:id="3"/>
    <w:p>
      <w:pPr>
        <w:spacing w:after="0"/>
        <w:ind w:left="0"/>
        <w:jc w:val="left"/>
      </w:pPr>
      <w:r>
        <w:rPr>
          <w:rFonts w:ascii="Times New Roman"/>
          <w:b/>
          <w:i w:val="false"/>
          <w:color w:val="000000"/>
        </w:rPr>
        <w:t xml:space="preserve"> 
Статья 1</w:t>
      </w:r>
    </w:p>
    <w:bookmarkEnd w:id="3"/>
    <w:bookmarkStart w:name="z8" w:id="4"/>
    <w:p>
      <w:pPr>
        <w:spacing w:after="0"/>
        <w:ind w:left="0"/>
        <w:jc w:val="both"/>
      </w:pPr>
      <w:r>
        <w:rPr>
          <w:rFonts w:ascii="Times New Roman"/>
          <w:b w:val="false"/>
          <w:i w:val="false"/>
          <w:color w:val="000000"/>
          <w:sz w:val="28"/>
        </w:rPr>
        <w:t>
      1. Настоящим Протоколом Стороны в соответствии со статьей 2 Соглашения утверждают перечень мероприятий, соответствующих мероприятиям дорожных карт, суммы, сроки, уполномоченные органы Сторон за их реализацию на общую сумму 7659745 (семь миллионов шестьсот пятьдесят девять тысяч семьсот сорок пять) долларов США согласно </w:t>
      </w:r>
      <w:r>
        <w:rPr>
          <w:rFonts w:ascii="Times New Roman"/>
          <w:b w:val="false"/>
          <w:i w:val="false"/>
          <w:color w:val="000000"/>
          <w:sz w:val="28"/>
        </w:rPr>
        <w:t>приложению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Перечень мероприятий технического содействия Кыргызской Республике согласно приложению к настоящему Протоколу является неотъемлемой его частью. </w:t>
      </w:r>
    </w:p>
    <w:bookmarkEnd w:id="4"/>
    <w:bookmarkStart w:name="z10"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Помощь предоставляется в порядке, утвержденном Протоколом между Правительством Республики Казахстан и Правительством Кыргызской Республики о порядке предоставления помощи и контроля за ее использованием, в следующих формах: денежные средства, оборудование, товары, обучение и услуги.</w:t>
      </w:r>
    </w:p>
    <w:bookmarkStart w:name="z11"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Разногласия и споры, связанные с применением или толкованием положений настоящего Протокола, регулируются Сторонами путем консультаций и переговоров.</w:t>
      </w:r>
    </w:p>
    <w:bookmarkStart w:name="z12"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xml:space="preserve">      По взаимному согласию Сторон в настоящий Протокол могут вноситься изменения и дополнения, которые оформляются отдельными протоколами и являются его неотъемлемыми частями. </w:t>
      </w:r>
    </w:p>
    <w:bookmarkStart w:name="z13"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в силу настоящего Протокола, Соглашения 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w:t>
      </w:r>
      <w:r>
        <w:br/>
      </w:r>
      <w:r>
        <w:rPr>
          <w:rFonts w:ascii="Times New Roman"/>
          <w:b w:val="false"/>
          <w:i w:val="false"/>
          <w:color w:val="000000"/>
          <w:sz w:val="28"/>
        </w:rPr>
        <w:t>
      Настоящий Протокол прекращает действие с момента выполнения всех обязательств Сторон, предусмотренных настоящим Протоколом.</w:t>
      </w:r>
    </w:p>
    <w:p>
      <w:pPr>
        <w:spacing w:after="0"/>
        <w:ind w:left="0"/>
        <w:jc w:val="both"/>
      </w:pPr>
      <w:r>
        <w:rPr>
          <w:rFonts w:ascii="Times New Roman"/>
          <w:b w:val="false"/>
          <w:i w:val="false"/>
          <w:color w:val="000000"/>
          <w:sz w:val="28"/>
        </w:rPr>
        <w:t>      Совершено в городе ______ «___» ________ 2016 года в двух подлинных экземплярах, каждый на казахском, кыргызском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настоящего Протокола, Стороны будут обращаться к тексту на русском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r>
    </w:tbl>
    <w:bookmarkStart w:name="z14"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Кыргызской Республики о техническом содействии</w:t>
      </w:r>
    </w:p>
    <w:bookmarkEnd w:id="9"/>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Перечень мероприятий технического содействия</w:t>
      </w:r>
      <w:r>
        <w:br/>
      </w:r>
      <w:r>
        <w:rPr>
          <w:rFonts w:ascii="Times New Roman"/>
          <w:b w:val="false"/>
          <w:i w:val="false"/>
          <w:color w:val="000000"/>
          <w:sz w:val="28"/>
        </w:rPr>
        <w:t>
</w:t>
      </w:r>
      <w:r>
        <w:rPr>
          <w:rFonts w:ascii="Times New Roman"/>
          <w:b/>
          <w:i w:val="false"/>
          <w:color w:val="000000"/>
          <w:sz w:val="28"/>
        </w:rPr>
        <w:t xml:space="preserve">                    Кыргызской Республике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652"/>
        <w:gridCol w:w="1205"/>
        <w:gridCol w:w="1678"/>
        <w:gridCol w:w="1770"/>
        <w:gridCol w:w="1770"/>
        <w:gridCol w:w="121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долларов США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Республики Казахстан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Кыргызской Республики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карты ТС и ЕЭП</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В сфере таможенного администрирования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Обустройство и материально-техническое оснащение АДПП «Достук» (кыргызско-узбекский участок границы)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автоматического (поосного) определения весовых параметров и габаритных размеров автотранспортных средств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государственных доходов Министерства финансов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30 ДК ТС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инженерных средств охраны, контроля доступа и охранной сигнализации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 (размещение дополнительных видеокамер по периметру, в контрольно-пропускных пунктах (далее-КПП), в залах оформления пассажиров и проведения контроля грузов, организация доступа к ним пограничной и таможенной служб)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Обустройство и материально-техническое оснащение оптимизируемого АДПП «Карамык» (кыргызско-таджикский участок границы)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Поисковый сигнализатор типа РМ 1703М (4 комплекта)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государственных доходов Министерства финансов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35 ДК ТС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Радиометр - спектрометр типа МКС-А03 (1 комплект)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Дозиметр индивидуальный типа РМ 1203М </w:t>
            </w:r>
            <w:r>
              <w:rPr>
                <w:rFonts w:ascii="Times New Roman"/>
                <w:b w:val="false"/>
                <w:i w:val="false"/>
                <w:color w:val="000000"/>
                <w:sz w:val="20"/>
              </w:rPr>
              <w:t>(2 комплекта)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Портативный рамановский анализатор (1 комплект)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Портативный рентгенофлуорисцентный анализатор (1 комплект)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Детектор ионный взрывчатых и наркотических веществ (1 комплект)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автоматического (поосного) определения весовых параметров и габаритных размеров транспортных средств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инженерных средств охраны, контроля доступа и охранной сигнализации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 (размещение дополнительных видеокамер по периметру, в КПП, залах оформления пассажиров и проведения контроля грузов, организация доступа к ним пограничной и таможенной служб)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резервного электропитания мощностью не менее 110 кВт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Обустройство и материально-техническое оснащение перспективного АДПП «Маданият» (кыргызско-узбекский участок границы)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Поисковый сигнализатор типа РМ 1703М (4 комплекта)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государственных доходов Министерства финансов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31 ДК ТС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Радиометр - спектрометр типа МКС-А03 (1 комплект)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 индивидуальный типа РМ 1203М (2 комплекта)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Портативный рамановский анализатор (1 комплект)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Портативный рентгенофлуорисцентный анализатор (1 комплект)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Детектор ионный взрывчатых и наркотических веществ (1 комплект)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автоматического (поосного) определения весовых параметров и габаритных размеров транспортных средств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инженерных средств охраны, контроля доступа и охранной сигнализации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 (размещение дополнительных видеокамер по периметру, в КПП, залах оформления пассажиров и проведения контроля грузов, организация доступа к ним пограничной и таможенной служб)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резервного электропитания мощностью не менее 110 кВт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обнаружения оружия, наркотиков и других товаров, запрещенных к вывозу и ввозу </w:t>
            </w:r>
            <w:r>
              <w:rPr>
                <w:rFonts w:ascii="Times New Roman"/>
                <w:b w:val="false"/>
                <w:i w:val="false"/>
                <w:color w:val="000000"/>
                <w:sz w:val="20"/>
              </w:rPr>
              <w:t>(2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1 286 800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В СФЕРЕ ТЕХНИЧЕСКОГО РЕГУЛИРОВАНИЯ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лаборатории пробирной экспертизы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Рентгенофлуроесцентный анализатор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драгоценных металлов при Министерстве финансов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ДК ТС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Лазерный клеймитель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«Сарториус» прецизионные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Электроэрозиоанная клеймильная установка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Тестер для золота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«Сарториус»" каратные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 эмиссионный optima 8000 DV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Анализатор проб драгоценных металлов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Вытяжной шкаф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Печь муфельная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 лабораторный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клеймильные станки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Аквадистиллятор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Сушильный шкаф лабораторный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для лабораторной посуды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ареометров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Плитка нагревательная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титровальные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компьютерные лабораторные ЛАБ 1200 СП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пристенные химические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Столы-мойки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 навесной ЛАБ 1500 НШ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 весов ЛАБ 1200-ВГ30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Тумба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 микроскопирования ЛАБ 1500 См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Колбонагреватель 3-х местный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Ультрафиолетовая лампа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установку, наладку, монтаж и сопровождение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619 619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Дооснащение испытательной лаборатории Государственного агентства связи при Правительстве Кыргызской Республики (ГАС ПКР)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безэховой камеры</w:t>
            </w:r>
          </w:p>
          <w:p>
            <w:pPr>
              <w:spacing w:after="20"/>
              <w:ind w:left="20"/>
              <w:jc w:val="both"/>
            </w:pPr>
            <w:r>
              <w:rPr>
                <w:rFonts w:ascii="Times New Roman"/>
                <w:b w:val="false"/>
                <w:i w:val="false"/>
                <w:color w:val="000000"/>
                <w:sz w:val="20"/>
              </w:rPr>
              <w:t>Диапазон частот от 26 до 18000 МГц;</w:t>
            </w:r>
          </w:p>
          <w:p>
            <w:pPr>
              <w:spacing w:after="20"/>
              <w:ind w:left="20"/>
              <w:jc w:val="both"/>
            </w:pPr>
            <w:r>
              <w:rPr>
                <w:rFonts w:ascii="Times New Roman"/>
                <w:b w:val="false"/>
                <w:i w:val="false"/>
                <w:color w:val="000000"/>
                <w:sz w:val="20"/>
              </w:rPr>
              <w:t>Габариты 9000х6000х5700 мм;</w:t>
            </w:r>
          </w:p>
          <w:p>
            <w:pPr>
              <w:spacing w:after="20"/>
              <w:ind w:left="20"/>
              <w:jc w:val="both"/>
            </w:pPr>
            <w:r>
              <w:rPr>
                <w:rFonts w:ascii="Times New Roman"/>
                <w:b w:val="false"/>
                <w:i w:val="false"/>
                <w:color w:val="000000"/>
                <w:sz w:val="20"/>
              </w:rPr>
              <w:t>Рабочее расстояние - 3м;</w:t>
            </w:r>
          </w:p>
          <w:p>
            <w:pPr>
              <w:spacing w:after="20"/>
              <w:ind w:left="20"/>
              <w:jc w:val="both"/>
            </w:pPr>
            <w:r>
              <w:rPr>
                <w:rFonts w:ascii="Times New Roman"/>
                <w:b w:val="false"/>
                <w:i w:val="false"/>
                <w:color w:val="000000"/>
                <w:sz w:val="20"/>
              </w:rPr>
              <w:t>Состав комплектации:</w:t>
            </w:r>
          </w:p>
          <w:p>
            <w:pPr>
              <w:spacing w:after="20"/>
              <w:ind w:left="20"/>
              <w:jc w:val="both"/>
            </w:pPr>
            <w:r>
              <w:rPr>
                <w:rFonts w:ascii="Times New Roman"/>
                <w:b w:val="false"/>
                <w:i w:val="false"/>
                <w:color w:val="000000"/>
                <w:sz w:val="20"/>
              </w:rPr>
              <w:t>- габариты входной двери 2000х2500 мм, автоматизированное управление;</w:t>
            </w:r>
          </w:p>
          <w:p>
            <w:pPr>
              <w:spacing w:after="20"/>
              <w:ind w:left="20"/>
              <w:jc w:val="both"/>
            </w:pPr>
            <w:r>
              <w:rPr>
                <w:rFonts w:ascii="Times New Roman"/>
                <w:b w:val="false"/>
                <w:i w:val="false"/>
                <w:color w:val="000000"/>
                <w:sz w:val="20"/>
              </w:rPr>
              <w:t>- поворотный стол диаметр 1,2 м, нагрузка 500 кг;</w:t>
            </w:r>
          </w:p>
          <w:p>
            <w:pPr>
              <w:spacing w:after="20"/>
              <w:ind w:left="20"/>
              <w:jc w:val="both"/>
            </w:pPr>
            <w:r>
              <w:rPr>
                <w:rFonts w:ascii="Times New Roman"/>
                <w:b w:val="false"/>
                <w:i w:val="false"/>
                <w:color w:val="000000"/>
                <w:sz w:val="20"/>
              </w:rPr>
              <w:t>- антенная мачта с высотами сканирования 1-4 м;</w:t>
            </w:r>
          </w:p>
          <w:p>
            <w:pPr>
              <w:spacing w:after="20"/>
              <w:ind w:left="20"/>
              <w:jc w:val="both"/>
            </w:pPr>
            <w:r>
              <w:rPr>
                <w:rFonts w:ascii="Times New Roman"/>
                <w:b w:val="false"/>
                <w:i w:val="false"/>
                <w:color w:val="000000"/>
                <w:sz w:val="20"/>
              </w:rPr>
              <w:t>- контроллер управления мачтой и поворотным столом;</w:t>
            </w:r>
          </w:p>
          <w:p>
            <w:pPr>
              <w:spacing w:after="20"/>
              <w:ind w:left="20"/>
              <w:jc w:val="both"/>
            </w:pPr>
            <w:r>
              <w:rPr>
                <w:rFonts w:ascii="Times New Roman"/>
                <w:b w:val="false"/>
                <w:i w:val="false"/>
                <w:color w:val="000000"/>
                <w:sz w:val="20"/>
              </w:rPr>
              <w:t>- система видеонаблюдения и контроля объектом испытаний;</w:t>
            </w:r>
          </w:p>
          <w:p>
            <w:pPr>
              <w:spacing w:after="20"/>
              <w:ind w:left="20"/>
              <w:jc w:val="both"/>
            </w:pPr>
            <w:r>
              <w:rPr>
                <w:rFonts w:ascii="Times New Roman"/>
                <w:b w:val="false"/>
                <w:i w:val="false"/>
                <w:color w:val="000000"/>
                <w:sz w:val="20"/>
              </w:rPr>
              <w:t>- вентиляционная система 400х400 мм;</w:t>
            </w:r>
          </w:p>
          <w:p>
            <w:pPr>
              <w:spacing w:after="20"/>
              <w:ind w:left="20"/>
              <w:jc w:val="both"/>
            </w:pPr>
            <w:r>
              <w:rPr>
                <w:rFonts w:ascii="Times New Roman"/>
                <w:b w:val="false"/>
                <w:i w:val="false"/>
                <w:color w:val="000000"/>
                <w:sz w:val="20"/>
              </w:rPr>
              <w:t>- проходные разъемы 4 BNC, 4 N, 1 волновод;</w:t>
            </w:r>
          </w:p>
          <w:p>
            <w:pPr>
              <w:spacing w:after="20"/>
              <w:ind w:left="20"/>
              <w:jc w:val="both"/>
            </w:pPr>
            <w:r>
              <w:rPr>
                <w:rFonts w:ascii="Times New Roman"/>
                <w:b w:val="false"/>
                <w:i w:val="false"/>
                <w:color w:val="000000"/>
                <w:sz w:val="20"/>
              </w:rPr>
              <w:t>- распределительная система проводки;</w:t>
            </w:r>
          </w:p>
          <w:p>
            <w:pPr>
              <w:spacing w:after="20"/>
              <w:ind w:left="20"/>
              <w:jc w:val="both"/>
            </w:pPr>
            <w:r>
              <w:rPr>
                <w:rFonts w:ascii="Times New Roman"/>
                <w:b w:val="false"/>
                <w:i w:val="false"/>
                <w:color w:val="000000"/>
                <w:sz w:val="20"/>
              </w:rPr>
              <w:t>- основной щиток с выключателями; система предохранителей; аварийное выключение; аварийное освещение над дверью;</w:t>
            </w:r>
          </w:p>
          <w:p>
            <w:pPr>
              <w:spacing w:after="20"/>
              <w:ind w:left="20"/>
              <w:jc w:val="both"/>
            </w:pPr>
            <w:r>
              <w:rPr>
                <w:rFonts w:ascii="Times New Roman"/>
                <w:b w:val="false"/>
                <w:i w:val="false"/>
                <w:color w:val="000000"/>
                <w:sz w:val="20"/>
              </w:rPr>
              <w:t>- 4 галогенных прожектора;</w:t>
            </w:r>
          </w:p>
          <w:p>
            <w:pPr>
              <w:spacing w:after="20"/>
              <w:ind w:left="20"/>
              <w:jc w:val="both"/>
            </w:pPr>
            <w:r>
              <w:rPr>
                <w:rFonts w:ascii="Times New Roman"/>
                <w:b w:val="false"/>
                <w:i w:val="false"/>
                <w:color w:val="000000"/>
                <w:sz w:val="20"/>
              </w:rPr>
              <w:t>- комплект кабелей, 1 шт.</w:t>
            </w:r>
          </w:p>
          <w:p>
            <w:pPr>
              <w:spacing w:after="20"/>
              <w:ind w:left="20"/>
              <w:jc w:val="both"/>
            </w:pPr>
            <w:r>
              <w:rPr>
                <w:rFonts w:ascii="Times New Roman"/>
                <w:b w:val="false"/>
                <w:i w:val="false"/>
                <w:color w:val="000000"/>
                <w:sz w:val="20"/>
              </w:rPr>
              <w:t>Операторская</w:t>
            </w:r>
          </w:p>
          <w:p>
            <w:pPr>
              <w:spacing w:after="20"/>
              <w:ind w:left="20"/>
              <w:jc w:val="both"/>
            </w:pPr>
            <w:r>
              <w:rPr>
                <w:rFonts w:ascii="Times New Roman"/>
                <w:b w:val="false"/>
                <w:i w:val="false"/>
                <w:color w:val="000000"/>
                <w:sz w:val="20"/>
              </w:rPr>
              <w:t>Доставка оборудования</w:t>
            </w:r>
          </w:p>
          <w:p>
            <w:pPr>
              <w:spacing w:after="20"/>
              <w:ind w:left="20"/>
              <w:jc w:val="both"/>
            </w:pPr>
            <w:r>
              <w:rPr>
                <w:rFonts w:ascii="Times New Roman"/>
                <w:b w:val="false"/>
                <w:i w:val="false"/>
                <w:color w:val="000000"/>
                <w:sz w:val="20"/>
              </w:rPr>
              <w:t>Пуско-наладочные работы</w:t>
            </w:r>
          </w:p>
          <w:p>
            <w:pPr>
              <w:spacing w:after="20"/>
              <w:ind w:left="20"/>
              <w:jc w:val="both"/>
            </w:pPr>
            <w:r>
              <w:rPr>
                <w:rFonts w:ascii="Times New Roman"/>
                <w:b w:val="false"/>
                <w:i w:val="false"/>
                <w:color w:val="000000"/>
                <w:sz w:val="20"/>
              </w:rPr>
              <w:t>Аттестация БК</w:t>
            </w:r>
          </w:p>
          <w:p>
            <w:pPr>
              <w:spacing w:after="20"/>
              <w:ind w:left="20"/>
              <w:jc w:val="both"/>
            </w:pPr>
            <w:r>
              <w:rPr>
                <w:rFonts w:ascii="Times New Roman"/>
                <w:b w:val="false"/>
                <w:i w:val="false"/>
                <w:color w:val="000000"/>
                <w:sz w:val="20"/>
              </w:rPr>
              <w:t>Обучение персонала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агентство связи при Правительстве Кыргызской Республики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Перечень необходимого эталонного оборудования для калибровочных лабораторий Центра по стандартизации и метрологии при Министерстве экономики Кыргызской Республики</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Эталонная лаборатория давления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стандартизации и метрологии при Министерстве экономики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52 и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Грузопоршневой манометр МП 6 кл.т. 0,01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Грузопоршневой манометр МП 600 кл.т. 0,01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Эталонная лаборатория температуры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Сосуд Дьюара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Керамический блок для термопечи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блоки-вставки для сухоблочного калибратора Fluke 9173 (4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Мультиметр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 тройной точки воды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Эталонная лаборатория времени, частоты, электрических и радиотехнических измерений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передачи времени TTS-4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сигнала (HPDA-1 5RMi-S) (1 шт.)</w:t>
            </w:r>
          </w:p>
          <w:p>
            <w:pPr>
              <w:spacing w:after="20"/>
              <w:ind w:left="20"/>
              <w:jc w:val="both"/>
            </w:pPr>
            <w:r>
              <w:rPr>
                <w:rFonts w:ascii="Times New Roman"/>
                <w:b w:val="false"/>
                <w:i w:val="false"/>
                <w:color w:val="000000"/>
                <w:sz w:val="20"/>
              </w:rPr>
              <w:t>Частота входного сигнала 1 Гц</w:t>
            </w:r>
          </w:p>
          <w:p>
            <w:pPr>
              <w:spacing w:after="20"/>
              <w:ind w:left="20"/>
              <w:jc w:val="both"/>
            </w:pPr>
            <w:r>
              <w:rPr>
                <w:rFonts w:ascii="Times New Roman"/>
                <w:b w:val="false"/>
                <w:i w:val="false"/>
                <w:color w:val="000000"/>
                <w:sz w:val="20"/>
              </w:rPr>
              <w:t>Число входов 6</w:t>
            </w:r>
          </w:p>
          <w:p>
            <w:pPr>
              <w:spacing w:after="20"/>
              <w:ind w:left="20"/>
              <w:jc w:val="both"/>
            </w:pPr>
            <w:r>
              <w:rPr>
                <w:rFonts w:ascii="Times New Roman"/>
                <w:b w:val="false"/>
                <w:i w:val="false"/>
                <w:color w:val="000000"/>
                <w:sz w:val="20"/>
              </w:rPr>
              <w:t>Число выходов 16</w:t>
            </w:r>
          </w:p>
          <w:p>
            <w:pPr>
              <w:spacing w:after="20"/>
              <w:ind w:left="20"/>
              <w:jc w:val="both"/>
            </w:pPr>
            <w:r>
              <w:rPr>
                <w:rFonts w:ascii="Times New Roman"/>
                <w:b w:val="false"/>
                <w:i w:val="false"/>
                <w:color w:val="000000"/>
                <w:sz w:val="20"/>
              </w:rPr>
              <w:t>Амплитуда выходных сигналов (RН=50 Ом) не менее 2,5 В</w:t>
            </w:r>
          </w:p>
          <w:p>
            <w:pPr>
              <w:spacing w:after="20"/>
              <w:ind w:left="20"/>
              <w:jc w:val="both"/>
            </w:pPr>
            <w:r>
              <w:rPr>
                <w:rFonts w:ascii="Times New Roman"/>
                <w:b w:val="false"/>
                <w:i w:val="false"/>
                <w:color w:val="000000"/>
                <w:sz w:val="20"/>
              </w:rPr>
              <w:t>Длительность фронта выходных импульсов не более 5 нс</w:t>
            </w:r>
          </w:p>
          <w:p>
            <w:pPr>
              <w:spacing w:after="20"/>
              <w:ind w:left="20"/>
              <w:jc w:val="both"/>
            </w:pPr>
            <w:r>
              <w:rPr>
                <w:rFonts w:ascii="Times New Roman"/>
                <w:b w:val="false"/>
                <w:i w:val="false"/>
                <w:color w:val="000000"/>
                <w:sz w:val="20"/>
              </w:rPr>
              <w:t>Несинхронность выходных импульсов, сформированных от одного источника, не более 2 нс</w:t>
            </w:r>
          </w:p>
          <w:p>
            <w:pPr>
              <w:spacing w:after="20"/>
              <w:ind w:left="20"/>
              <w:jc w:val="both"/>
            </w:pPr>
            <w:r>
              <w:rPr>
                <w:rFonts w:ascii="Times New Roman"/>
                <w:b w:val="false"/>
                <w:i w:val="false"/>
                <w:color w:val="000000"/>
                <w:sz w:val="20"/>
              </w:rPr>
              <w:t>Температурная нестабильность задержки выходных сигналов не более 0,1 нс/ oС (100 МГц)</w:t>
            </w:r>
          </w:p>
          <w:p>
            <w:pPr>
              <w:spacing w:after="20"/>
              <w:ind w:left="20"/>
              <w:jc w:val="both"/>
            </w:pPr>
            <w:r>
              <w:rPr>
                <w:rFonts w:ascii="Times New Roman"/>
                <w:b w:val="false"/>
                <w:i w:val="false"/>
                <w:color w:val="000000"/>
                <w:sz w:val="20"/>
              </w:rPr>
              <w:t>Диапазон рабочих температур 5–50 0С</w:t>
            </w:r>
          </w:p>
          <w:p>
            <w:pPr>
              <w:spacing w:after="20"/>
              <w:ind w:left="20"/>
              <w:jc w:val="both"/>
            </w:pPr>
            <w:r>
              <w:rPr>
                <w:rFonts w:ascii="Times New Roman"/>
                <w:b w:val="false"/>
                <w:i w:val="false"/>
                <w:color w:val="000000"/>
                <w:sz w:val="20"/>
              </w:rPr>
              <w:t>Относительная влажность воздуха при температуре 25</w:t>
            </w:r>
            <w:r>
              <w:rPr>
                <w:rFonts w:ascii="Times New Roman"/>
                <w:b w:val="false"/>
                <w:i w:val="false"/>
                <w:color w:val="000000"/>
                <w:vertAlign w:val="superscript"/>
              </w:rPr>
              <w:t>0</w:t>
            </w:r>
            <w:r>
              <w:rPr>
                <w:rFonts w:ascii="Times New Roman"/>
                <w:b w:val="false"/>
                <w:i w:val="false"/>
                <w:color w:val="000000"/>
                <w:sz w:val="20"/>
              </w:rPr>
              <w:t>С до 98 %</w:t>
            </w:r>
          </w:p>
          <w:p>
            <w:pPr>
              <w:spacing w:after="20"/>
              <w:ind w:left="20"/>
              <w:jc w:val="both"/>
            </w:pPr>
            <w:r>
              <w:rPr>
                <w:rFonts w:ascii="Times New Roman"/>
                <w:b w:val="false"/>
                <w:i w:val="false"/>
                <w:color w:val="000000"/>
                <w:sz w:val="20"/>
              </w:rPr>
              <w:t>Питание от сети переменного тока 220 ± 22 В; 50 ± 1 Гц</w:t>
            </w:r>
          </w:p>
          <w:p>
            <w:pPr>
              <w:spacing w:after="20"/>
              <w:ind w:left="20"/>
              <w:jc w:val="both"/>
            </w:pPr>
            <w:r>
              <w:rPr>
                <w:rFonts w:ascii="Times New Roman"/>
                <w:b w:val="false"/>
                <w:i w:val="false"/>
                <w:color w:val="000000"/>
                <w:sz w:val="20"/>
              </w:rPr>
              <w:t>от источника постоянного тока 24 - 30 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Компаратор Ч7-12 (1 шт.)</w:t>
            </w:r>
          </w:p>
          <w:p>
            <w:pPr>
              <w:spacing w:after="20"/>
              <w:ind w:left="20"/>
              <w:jc w:val="both"/>
            </w:pPr>
            <w:r>
              <w:rPr>
                <w:rFonts w:ascii="Times New Roman"/>
                <w:b w:val="false"/>
                <w:i w:val="false"/>
                <w:color w:val="000000"/>
                <w:sz w:val="20"/>
              </w:rPr>
              <w:t>Частота входных сигналов: 1 МГц - 5 МГц</w:t>
            </w:r>
          </w:p>
          <w:p>
            <w:pPr>
              <w:spacing w:after="20"/>
              <w:ind w:left="20"/>
              <w:jc w:val="both"/>
            </w:pPr>
            <w:r>
              <w:rPr>
                <w:rFonts w:ascii="Times New Roman"/>
                <w:b w:val="false"/>
                <w:i w:val="false"/>
                <w:color w:val="000000"/>
                <w:sz w:val="20"/>
              </w:rPr>
              <w:t>Напряжение входного сигнала: 0,5 В - 1,5 В</w:t>
            </w:r>
          </w:p>
          <w:p>
            <w:pPr>
              <w:spacing w:after="20"/>
              <w:ind w:left="20"/>
              <w:jc w:val="both"/>
            </w:pPr>
            <w:r>
              <w:rPr>
                <w:rFonts w:ascii="Times New Roman"/>
                <w:b w:val="false"/>
                <w:i w:val="false"/>
                <w:color w:val="000000"/>
                <w:sz w:val="20"/>
              </w:rPr>
              <w:t>Коэффициенты умножения разности частот входных сигналов (N)</w:t>
            </w:r>
            <w:r>
              <w:br/>
            </w:r>
            <w:r>
              <w:rPr>
                <w:rFonts w:ascii="Times New Roman"/>
                <w:b w:val="false"/>
                <w:i w:val="false"/>
                <w:color w:val="000000"/>
                <w:sz w:val="20"/>
              </w:rPr>
              <w:t>
</w:t>
            </w:r>
            <w:r>
              <w:rPr>
                <w:rFonts w:ascii="Times New Roman"/>
                <w:b w:val="false"/>
                <w:i w:val="false"/>
                <w:color w:val="000000"/>
                <w:sz w:val="20"/>
              </w:rPr>
              <w:t>- 1 МГц</w:t>
            </w:r>
            <w:r>
              <w:br/>
            </w:r>
            <w:r>
              <w:rPr>
                <w:rFonts w:ascii="Times New Roman"/>
                <w:b w:val="false"/>
                <w:i w:val="false"/>
                <w:color w:val="000000"/>
                <w:sz w:val="20"/>
              </w:rPr>
              <w:t>
</w:t>
            </w:r>
            <w:r>
              <w:rPr>
                <w:rFonts w:ascii="Times New Roman"/>
                <w:b w:val="false"/>
                <w:i w:val="false"/>
                <w:color w:val="000000"/>
                <w:sz w:val="20"/>
              </w:rPr>
              <w:t>- 5 МГц</w:t>
            </w:r>
          </w:p>
          <w:p>
            <w:pPr>
              <w:spacing w:after="20"/>
              <w:ind w:left="20"/>
              <w:jc w:val="both"/>
            </w:pPr>
            <w:r>
              <w:rPr>
                <w:rFonts w:ascii="Times New Roman"/>
                <w:b w:val="false"/>
                <w:i w:val="false"/>
                <w:color w:val="000000"/>
                <w:sz w:val="20"/>
              </w:rPr>
              <w:t>Входное сопротивление на всех входах: 150 Ом</w:t>
            </w:r>
          </w:p>
          <w:p>
            <w:pPr>
              <w:spacing w:after="20"/>
              <w:ind w:left="20"/>
              <w:jc w:val="both"/>
            </w:pPr>
            <w:r>
              <w:rPr>
                <w:rFonts w:ascii="Times New Roman"/>
                <w:b w:val="false"/>
                <w:i w:val="false"/>
                <w:color w:val="000000"/>
                <w:sz w:val="20"/>
              </w:rPr>
              <w:t>Потребляемая мощность: 15 В·А</w:t>
            </w:r>
          </w:p>
          <w:p>
            <w:pPr>
              <w:spacing w:after="20"/>
              <w:ind w:left="20"/>
              <w:jc w:val="both"/>
            </w:pPr>
            <w:r>
              <w:rPr>
                <w:rFonts w:ascii="Times New Roman"/>
                <w:b w:val="false"/>
                <w:i w:val="false"/>
                <w:color w:val="000000"/>
                <w:sz w:val="20"/>
              </w:rPr>
              <w:t>Габариты Ч7-12: 495х136х480 мм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Частотомер электронносчетный тип Ч3-88 (1 шт.)</w:t>
            </w:r>
          </w:p>
          <w:tbl>
            <w:tblPr>
              <w:tblW w:w="0" w:type="auto"/>
              <w:tblCellSpacing w:w="0" w:type="auto"/>
              <w:tblBorders>
                <w:top w:val="none"/>
                <w:left w:val="none"/>
                <w:bottom w:val="none"/>
                <w:right w:val="none"/>
                <w:insideH w:val="none"/>
                <w:insideV w:val="none"/>
              </w:tblBorders>
            </w:tblPr>
            <w:tblGrid>
              <w:gridCol w:w="2682"/>
              <w:gridCol w:w="286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измерения частот по входам «А», «С»</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измеряемых сигналов</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Синусоидальная и импульсная любой полярности</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измеряемых частот</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Гц - 200 МГц</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входных сигналов:</w:t>
                  </w:r>
                </w:p>
                <w:p>
                  <w:pPr>
                    <w:spacing w:after="20"/>
                    <w:ind w:left="20"/>
                    <w:jc w:val="both"/>
                  </w:pPr>
                  <w:r>
                    <w:rPr>
                      <w:rFonts w:ascii="Times New Roman"/>
                      <w:b w:val="false"/>
                      <w:i w:val="false"/>
                      <w:color w:val="000000"/>
                      <w:sz w:val="20"/>
                    </w:rPr>
                    <w:t>синусоидальных (эффективное значение)</w:t>
                  </w:r>
                  <w:r>
                    <w:br/>
                  </w:r>
                  <w:r>
                    <w:rPr>
                      <w:rFonts w:ascii="Times New Roman"/>
                      <w:b w:val="false"/>
                      <w:i w:val="false"/>
                      <w:color w:val="000000"/>
                      <w:sz w:val="20"/>
                    </w:rPr>
                    <w:t>
</w:t>
                  </w:r>
                  <w:r>
                    <w:rPr>
                      <w:rFonts w:ascii="Times New Roman"/>
                      <w:b w:val="false"/>
                      <w:i w:val="false"/>
                      <w:color w:val="000000"/>
                      <w:sz w:val="20"/>
                    </w:rPr>
                    <w:t>импульсных</w:t>
                  </w:r>
                </w:p>
              </w:tc>
              <w:tc>
                <w:tcPr>
                  <w:tcW w:w="2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0,02 - 10 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0,05 - 10 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измерения частот по входу «В»</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измеряемых сигналов</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Синусоидальная</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измеряемых частот</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2 500 МГц</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входных сигналов:</w:t>
                  </w:r>
                </w:p>
                <w:p>
                  <w:pPr>
                    <w:spacing w:after="20"/>
                    <w:ind w:left="20"/>
                    <w:jc w:val="both"/>
                  </w:pPr>
                  <w:r>
                    <w:rPr>
                      <w:rFonts w:ascii="Times New Roman"/>
                      <w:b w:val="false"/>
                      <w:i w:val="false"/>
                      <w:color w:val="000000"/>
                      <w:sz w:val="20"/>
                    </w:rPr>
                    <w:t>В диапазоне частот 100 – 1 200 МГц</w:t>
                  </w:r>
                </w:p>
                <w:p>
                  <w:pPr>
                    <w:spacing w:after="20"/>
                    <w:ind w:left="20"/>
                    <w:jc w:val="both"/>
                  </w:pPr>
                  <w:r>
                    <w:rPr>
                      <w:rFonts w:ascii="Times New Roman"/>
                      <w:b w:val="false"/>
                      <w:i w:val="false"/>
                      <w:color w:val="000000"/>
                      <w:sz w:val="20"/>
                    </w:rPr>
                    <w:t>В диапазоне частот 1 200 – 2 500 МГц</w:t>
                  </w:r>
                </w:p>
              </w:tc>
              <w:tc>
                <w:tcPr>
                  <w:tcW w:w="2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 – 1 В</w:t>
                  </w:r>
                </w:p>
                <w:p>
                  <w:pPr>
                    <w:spacing w:after="20"/>
                    <w:ind w:left="20"/>
                    <w:jc w:val="both"/>
                  </w:pPr>
                  <w:r>
                    <w:rPr>
                      <w:rFonts w:ascii="Times New Roman"/>
                      <w:b w:val="false"/>
                      <w:i w:val="false"/>
                      <w:color w:val="000000"/>
                      <w:sz w:val="20"/>
                    </w:rPr>
                    <w:t>0,03 – 20 мВ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счета при измерении частоты</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входам А, С</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1, 10, 10</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мс</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входу В</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16•10, 16•10</w:t>
                  </w:r>
                  <w:r>
                    <w:rPr>
                      <w:rFonts w:ascii="Times New Roman"/>
                      <w:b w:val="false"/>
                      <w:i w:val="false"/>
                      <w:color w:val="000000"/>
                      <w:vertAlign w:val="superscript"/>
                    </w:rPr>
                    <w:t>2</w:t>
                  </w:r>
                  <w:r>
                    <w:rPr>
                      <w:rFonts w:ascii="Times New Roman"/>
                      <w:b w:val="false"/>
                      <w:i w:val="false"/>
                      <w:color w:val="000000"/>
                      <w:sz w:val="20"/>
                    </w:rPr>
                    <w:t>, 16•10</w:t>
                  </w:r>
                  <w:r>
                    <w:rPr>
                      <w:rFonts w:ascii="Times New Roman"/>
                      <w:b w:val="false"/>
                      <w:i w:val="false"/>
                      <w:color w:val="000000"/>
                      <w:vertAlign w:val="superscript"/>
                    </w:rPr>
                    <w:t>3</w:t>
                  </w:r>
                  <w:r>
                    <w:rPr>
                      <w:rFonts w:ascii="Times New Roman"/>
                      <w:b w:val="false"/>
                      <w:i w:val="false"/>
                      <w:color w:val="000000"/>
                      <w:sz w:val="20"/>
                    </w:rPr>
                    <w:t>, 16•10</w:t>
                  </w:r>
                  <w:r>
                    <w:rPr>
                      <w:rFonts w:ascii="Times New Roman"/>
                      <w:b w:val="false"/>
                      <w:i w:val="false"/>
                      <w:color w:val="000000"/>
                      <w:vertAlign w:val="superscript"/>
                    </w:rPr>
                    <w:t>4</w:t>
                  </w:r>
                  <w:r>
                    <w:rPr>
                      <w:rFonts w:ascii="Times New Roman"/>
                      <w:b w:val="false"/>
                      <w:i w:val="false"/>
                      <w:color w:val="000000"/>
                      <w:sz w:val="20"/>
                    </w:rPr>
                    <w:t xml:space="preserve"> мс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измерения периода сигналов по входам «А», «С»</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синусоидального сигнала</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100 с (200 МГц – 0,01 Гц)</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импульсного сигнала</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100 с (100 МГц – 0,01 Гц)</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входных сигналов (вход 1 МОм):</w:t>
                  </w:r>
                </w:p>
                <w:p>
                  <w:pPr>
                    <w:spacing w:after="20"/>
                    <w:ind w:left="20"/>
                    <w:jc w:val="both"/>
                  </w:pPr>
                  <w:r>
                    <w:rPr>
                      <w:rFonts w:ascii="Times New Roman"/>
                      <w:b w:val="false"/>
                      <w:i w:val="false"/>
                      <w:color w:val="000000"/>
                      <w:sz w:val="20"/>
                    </w:rPr>
                    <w:t>Для синусоидального сигнала</w:t>
                  </w:r>
                </w:p>
                <w:p>
                  <w:pPr>
                    <w:spacing w:after="20"/>
                    <w:ind w:left="20"/>
                    <w:jc w:val="both"/>
                  </w:pPr>
                  <w:r>
                    <w:rPr>
                      <w:rFonts w:ascii="Times New Roman"/>
                      <w:b w:val="false"/>
                      <w:i w:val="false"/>
                      <w:color w:val="000000"/>
                      <w:sz w:val="20"/>
                    </w:rPr>
                    <w:t>Для импульсного сигнала</w:t>
                  </w:r>
                </w:p>
              </w:tc>
              <w:tc>
                <w:tcPr>
                  <w:tcW w:w="2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 – 10 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 – 10 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отношения частот</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диапазоне отношения частот 1,0001 – 999999999</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Каналов А/С и каналов С/А</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диапазоне отношения частот 1,5 – 999999999</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Каналов В/С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Встроенный опорный генератор</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Кварцевый, термостатированный</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 значение частоты</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МГц</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Нестабильность частоты</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за 30 суток, ±1*10</w:t>
                  </w:r>
                  <w:r>
                    <w:rPr>
                      <w:rFonts w:ascii="Times New Roman"/>
                      <w:b w:val="false"/>
                      <w:i w:val="false"/>
                      <w:color w:val="000000"/>
                      <w:vertAlign w:val="superscript"/>
                    </w:rPr>
                    <w:t>-7</w:t>
                  </w:r>
                  <w:r>
                    <w:rPr>
                      <w:rFonts w:ascii="Times New Roman"/>
                      <w:b w:val="false"/>
                      <w:i w:val="false"/>
                      <w:color w:val="000000"/>
                      <w:sz w:val="20"/>
                    </w:rPr>
                    <w:t xml:space="preserve"> за 12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характеристики</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усредняемых периодов входного сигнала</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1, 10, 100, 1 000, 10 000</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меток времени</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измерения длительности импульсов по входам А, С</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1мкс – 100 с</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длительности импульсов с усреднением</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 1000, 10000 или с использованием внешнего генератора меток</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измерения интервала времени по входам А, С между фронтами импульсов «Старт» и «Стоп»</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мкс – 100 с</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измерения скважности импульсного сигнала по входам А, С</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1,000001 – 999999999</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Интерфейс</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USB</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индикации</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разрядов</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 В, (50/60±1) Гц</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Потребляемая мощность</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В · А</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Габаритные размеры (HxWxD)</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285х106х345 мм</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4кг</w:t>
                  </w:r>
                </w:p>
              </w:tc>
            </w:tr>
            <w:tr>
              <w:trPr>
                <w:trHeight w:val="30" w:hRule="atLeast"/>
              </w:trPr>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эксплуатации:</w:t>
                  </w:r>
                </w:p>
                <w:p>
                  <w:pPr>
                    <w:spacing w:after="20"/>
                    <w:ind w:left="20"/>
                    <w:jc w:val="both"/>
                  </w:pPr>
                  <w:r>
                    <w:rPr>
                      <w:rFonts w:ascii="Times New Roman"/>
                      <w:b w:val="false"/>
                      <w:i w:val="false"/>
                      <w:color w:val="000000"/>
                      <w:sz w:val="20"/>
                    </w:rPr>
                    <w:t>Рабочая температура</w:t>
                  </w:r>
                </w:p>
              </w:tc>
              <w:tc>
                <w:tcPr>
                  <w:tcW w:w="2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0</w:t>
                  </w:r>
                  <w:r>
                    <w:rPr>
                      <w:rFonts w:ascii="Times New Roman"/>
                      <w:b w:val="false"/>
                      <w:i w:val="false"/>
                      <w:color w:val="000000"/>
                      <w:sz w:val="20"/>
                    </w:rPr>
                    <w:t>С — +50</w:t>
                  </w:r>
                  <w:r>
                    <w:rPr>
                      <w:rFonts w:ascii="Times New Roman"/>
                      <w:b w:val="false"/>
                      <w:i w:val="false"/>
                      <w:color w:val="000000"/>
                      <w:vertAlign w:val="superscript"/>
                    </w:rPr>
                    <w:t>0</w:t>
                  </w:r>
                  <w:r>
                    <w:rPr>
                      <w:rFonts w:ascii="Times New Roman"/>
                      <w:b w:val="false"/>
                      <w:i w:val="false"/>
                      <w:color w:val="000000"/>
                      <w:sz w:val="20"/>
                    </w:rPr>
                    <w:t>С</w:t>
                  </w:r>
                </w:p>
              </w:tc>
            </w:tr>
          </w:tbl>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Рубидиевый стандарт частоты со встроенной опцией 71</w:t>
            </w:r>
          </w:p>
          <w:p>
            <w:pPr>
              <w:spacing w:after="20"/>
              <w:ind w:left="20"/>
              <w:jc w:val="both"/>
            </w:pPr>
            <w:r>
              <w:rPr>
                <w:rFonts w:ascii="Times New Roman"/>
                <w:b w:val="false"/>
                <w:i w:val="false"/>
                <w:color w:val="000000"/>
                <w:sz w:val="20"/>
              </w:rPr>
              <w:t>FLUKE 910R/071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приема и передачи сигналов точного времени через интернет (1 шт.)</w:t>
            </w:r>
          </w:p>
          <w:tbl>
            <w:tblPr>
              <w:tblW w:w="0" w:type="auto"/>
              <w:tblCellSpacing w:w="0" w:type="auto"/>
              <w:tblBorders>
                <w:top w:val="none"/>
                <w:left w:val="none"/>
                <w:bottom w:val="none"/>
                <w:right w:val="none"/>
                <w:insideH w:val="none"/>
                <w:insideV w:val="none"/>
              </w:tblBorders>
            </w:tblPr>
            <w:tblGrid>
              <w:gridCol w:w="4089"/>
              <w:gridCol w:w="1456"/>
            </w:tblGrid>
            <w:tr>
              <w:trPr>
                <w:trHeight w:val="30" w:hRule="atLeast"/>
              </w:trPr>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Частотный диапазон принимаемых сигналов ГНСС, МГц</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1575…1610</w:t>
                  </w:r>
                </w:p>
              </w:tc>
            </w:tr>
            <w:tr>
              <w:trPr>
                <w:trHeight w:val="30" w:hRule="atLeast"/>
              </w:trPr>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Выходные сигналы </w:t>
                  </w:r>
                </w:p>
                <w:p>
                  <w:pPr>
                    <w:spacing w:after="20"/>
                    <w:ind w:left="20"/>
                    <w:jc w:val="both"/>
                  </w:pPr>
                  <w:r>
                    <w:rPr>
                      <w:rFonts w:ascii="Times New Roman"/>
                      <w:b w:val="false"/>
                      <w:i w:val="false"/>
                      <w:color w:val="000000"/>
                      <w:sz w:val="20"/>
                    </w:rPr>
                    <w:t>- длительность импульсов, мс</w:t>
                  </w:r>
                </w:p>
                <w:p>
                  <w:pPr>
                    <w:spacing w:after="20"/>
                    <w:ind w:left="20"/>
                    <w:jc w:val="both"/>
                  </w:pPr>
                  <w:r>
                    <w:rPr>
                      <w:rFonts w:ascii="Times New Roman"/>
                      <w:b w:val="false"/>
                      <w:i w:val="false"/>
                      <w:color w:val="000000"/>
                      <w:sz w:val="20"/>
                    </w:rPr>
                    <w:t>- верхний уровень напряжения (логический «1»). В, не менее</w:t>
                  </w:r>
                </w:p>
                <w:p>
                  <w:pPr>
                    <w:spacing w:after="20"/>
                    <w:ind w:left="20"/>
                    <w:jc w:val="both"/>
                  </w:pPr>
                  <w:r>
                    <w:rPr>
                      <w:rFonts w:ascii="Times New Roman"/>
                      <w:b w:val="false"/>
                      <w:i w:val="false"/>
                      <w:color w:val="000000"/>
                      <w:sz w:val="20"/>
                    </w:rPr>
                    <w:t xml:space="preserve">- нижний уровень напряжения (логический «0»). В, не более </w:t>
                  </w:r>
                </w:p>
                <w:p>
                  <w:pPr>
                    <w:spacing w:after="20"/>
                    <w:ind w:left="20"/>
                    <w:jc w:val="both"/>
                  </w:pPr>
                  <w:r>
                    <w:rPr>
                      <w:rFonts w:ascii="Times New Roman"/>
                      <w:b w:val="false"/>
                      <w:i w:val="false"/>
                      <w:color w:val="000000"/>
                      <w:sz w:val="20"/>
                    </w:rPr>
                    <w:t>- период выдачи информации о времени и дате, с</w:t>
                  </w:r>
                </w:p>
              </w:tc>
              <w:tc>
                <w:tcPr>
                  <w:tcW w:w="1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Минус 5,0</w:t>
                  </w:r>
                </w:p>
                <w:p>
                  <w:pPr>
                    <w:spacing w:after="20"/>
                    <w:ind w:left="20"/>
                    <w:jc w:val="both"/>
                  </w:pPr>
                  <w:r>
                    <w:rPr>
                      <w:rFonts w:ascii="Times New Roman"/>
                      <w:b w:val="false"/>
                      <w:i w:val="false"/>
                      <w:color w:val="000000"/>
                      <w:sz w:val="20"/>
                    </w:rPr>
                    <w:t>1,0</w:t>
                  </w:r>
                </w:p>
              </w:tc>
            </w:tr>
            <w:tr>
              <w:trPr>
                <w:trHeight w:val="30" w:hRule="atLeast"/>
              </w:trPr>
              <w:tc>
                <w:tcPr>
                  <w:tcW w:w="4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допускаемой абсолютной погрешности привязки фронта выходного импульса 1 PPS к шкале координированного времени UTC, мкс</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ДИАТЕСТ -4-Прецизионный генератор сигналов для поверки медицинского оборудования (электрокардиографов) (1 шт.)</w:t>
            </w:r>
          </w:p>
          <w:tbl>
            <w:tblPr>
              <w:tblW w:w="0" w:type="auto"/>
              <w:tblCellSpacing w:w="0" w:type="auto"/>
              <w:tblBorders>
                <w:top w:val="none"/>
                <w:left w:val="none"/>
                <w:bottom w:val="none"/>
                <w:right w:val="none"/>
                <w:insideH w:val="none"/>
                <w:insideV w:val="none"/>
              </w:tblBorders>
            </w:tblPr>
            <w:tblGrid>
              <w:gridCol w:w="2910"/>
              <w:gridCol w:w="2635"/>
            </w:tblGrid>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сигналы</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Синусоидальный, прямоугольный, треугольный, постоянное напряжение</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сигналов для поверки миографов</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ЭМГ-2, ЭМГ-6, ЭМГ-9, ЭМГ-14,ЭМГ-18,ЭМГС, МТ-3, Декремент-тест, МН-1, МН-2.</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сигналов для поверки реографов</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РГ-1</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сигналов для поверки электрокардиографов</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ЧСС1, ЧСС2, ЧСС3, ЧСС4</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сигналов для поверки энцефалографов</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ЭЭГ-7</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установки значений размаха напряжения Uрр выходных сигналов на нагрузке 1 МОм</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600 мВ на ЭКГ</w:t>
                  </w:r>
                  <w:r>
                    <w:br/>
                  </w:r>
                  <w:r>
                    <w:rPr>
                      <w:rFonts w:ascii="Times New Roman"/>
                      <w:b w:val="false"/>
                      <w:i w:val="false"/>
                      <w:color w:val="000000"/>
                      <w:sz w:val="20"/>
                    </w:rPr>
                    <w:t>
</w:t>
                  </w:r>
                  <w:r>
                    <w:rPr>
                      <w:rFonts w:ascii="Times New Roman"/>
                      <w:b w:val="false"/>
                      <w:i w:val="false"/>
                      <w:color w:val="000000"/>
                      <w:sz w:val="20"/>
                    </w:rPr>
                    <w:t>до 50 мВ на ЭМГ</w:t>
                  </w:r>
                  <w:r>
                    <w:br/>
                  </w:r>
                  <w:r>
                    <w:rPr>
                      <w:rFonts w:ascii="Times New Roman"/>
                      <w:b w:val="false"/>
                      <w:i w:val="false"/>
                      <w:color w:val="000000"/>
                      <w:sz w:val="20"/>
                    </w:rPr>
                    <w:t>
</w:t>
                  </w:r>
                  <w:r>
                    <w:rPr>
                      <w:rFonts w:ascii="Times New Roman"/>
                      <w:b w:val="false"/>
                      <w:i w:val="false"/>
                      <w:color w:val="000000"/>
                      <w:sz w:val="20"/>
                    </w:rPr>
                    <w:t>до 1 мВ на ЭЭГ</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допускаемой относительной погрешности установки частоты</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для частот до 450 Гц включительно</w:t>
                  </w:r>
                  <w:r>
                    <w:br/>
                  </w:r>
                  <w:r>
                    <w:rPr>
                      <w:rFonts w:ascii="Times New Roman"/>
                      <w:b w:val="false"/>
                      <w:i w:val="false"/>
                      <w:color w:val="000000"/>
                      <w:sz w:val="20"/>
                    </w:rPr>
                    <w:t>
</w:t>
                  </w:r>
                  <w:r>
                    <w:rPr>
                      <w:rFonts w:ascii="Times New Roman"/>
                      <w:b w:val="false"/>
                      <w:i w:val="false"/>
                      <w:color w:val="000000"/>
                      <w:sz w:val="20"/>
                    </w:rPr>
                    <w:t>1 % для частот до 1000 Гц включительно</w:t>
                  </w:r>
                  <w:r>
                    <w:br/>
                  </w:r>
                  <w:r>
                    <w:rPr>
                      <w:rFonts w:ascii="Times New Roman"/>
                      <w:b w:val="false"/>
                      <w:i w:val="false"/>
                      <w:color w:val="000000"/>
                      <w:sz w:val="20"/>
                    </w:rPr>
                    <w:t>
</w:t>
                  </w:r>
                  <w:r>
                    <w:rPr>
                      <w:rFonts w:ascii="Times New Roman"/>
                      <w:b w:val="false"/>
                      <w:i w:val="false"/>
                      <w:color w:val="000000"/>
                      <w:sz w:val="20"/>
                    </w:rPr>
                    <w:t>2,5 % частот больше 1000 Гц</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Диапазоны установки размаха переменной составляющей сопротивления канала реографов</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0,05 - 10 Ом</w:t>
                  </w:r>
                </w:p>
              </w:tc>
            </w:tr>
            <w:tr>
              <w:trPr>
                <w:trHeight w:val="30" w:hRule="atLeast"/>
              </w:trPr>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постоянной составляющей канала реографов</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10 - 1000 Ом</w:t>
                  </w:r>
                </w:p>
              </w:tc>
            </w:tr>
          </w:tbl>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Формирователь телефонных соединений "ПРИЗМА" (1 шт.)</w:t>
            </w:r>
          </w:p>
          <w:p>
            <w:pPr>
              <w:spacing w:after="20"/>
              <w:ind w:left="20"/>
              <w:jc w:val="both"/>
            </w:pPr>
            <w:r>
              <w:rPr>
                <w:rFonts w:ascii="Times New Roman"/>
                <w:b w:val="false"/>
                <w:i w:val="false"/>
                <w:color w:val="000000"/>
                <w:sz w:val="20"/>
              </w:rPr>
              <w:t>Количество измерительных каналов - от 8 до 16;</w:t>
            </w:r>
          </w:p>
          <w:p>
            <w:pPr>
              <w:spacing w:after="20"/>
              <w:ind w:left="20"/>
              <w:jc w:val="both"/>
            </w:pPr>
            <w:r>
              <w:rPr>
                <w:rFonts w:ascii="Times New Roman"/>
                <w:b w:val="false"/>
                <w:i w:val="false"/>
                <w:color w:val="000000"/>
                <w:sz w:val="20"/>
              </w:rPr>
              <w:t>Способ набора номера – импульсный/частотный;</w:t>
            </w:r>
          </w:p>
          <w:p>
            <w:pPr>
              <w:spacing w:after="20"/>
              <w:ind w:left="20"/>
              <w:jc w:val="both"/>
            </w:pPr>
            <w:r>
              <w:rPr>
                <w:rFonts w:ascii="Times New Roman"/>
                <w:b w:val="false"/>
                <w:i w:val="false"/>
                <w:color w:val="000000"/>
                <w:sz w:val="20"/>
              </w:rPr>
              <w:t>Длительность разговорного состояния – от 1 с до 3 ч, с точностью не более 0,1 с</w:t>
            </w:r>
          </w:p>
          <w:p>
            <w:pPr>
              <w:spacing w:after="20"/>
              <w:ind w:left="20"/>
              <w:jc w:val="both"/>
            </w:pPr>
            <w:r>
              <w:rPr>
                <w:rFonts w:ascii="Times New Roman"/>
                <w:b w:val="false"/>
                <w:i w:val="false"/>
                <w:color w:val="000000"/>
                <w:sz w:val="20"/>
              </w:rPr>
              <w:t>Связь с компьютером по USB-шине или через СОМ-порт;</w:t>
            </w:r>
          </w:p>
          <w:p>
            <w:pPr>
              <w:spacing w:after="20"/>
              <w:ind w:left="20"/>
              <w:jc w:val="both"/>
            </w:pPr>
            <w:r>
              <w:rPr>
                <w:rFonts w:ascii="Times New Roman"/>
                <w:b w:val="false"/>
                <w:i w:val="false"/>
                <w:color w:val="000000"/>
                <w:sz w:val="20"/>
              </w:rPr>
              <w:t>Хранение и печать полученных результатов;</w:t>
            </w:r>
          </w:p>
          <w:p>
            <w:pPr>
              <w:spacing w:after="20"/>
              <w:ind w:left="20"/>
              <w:jc w:val="both"/>
            </w:pPr>
            <w:r>
              <w:rPr>
                <w:rFonts w:ascii="Times New Roman"/>
                <w:b w:val="false"/>
                <w:i w:val="false"/>
                <w:color w:val="000000"/>
                <w:sz w:val="20"/>
              </w:rPr>
              <w:t>Запись и визуализация циклограмм соединений;</w:t>
            </w:r>
          </w:p>
          <w:p>
            <w:pPr>
              <w:spacing w:after="20"/>
              <w:ind w:left="20"/>
              <w:jc w:val="both"/>
            </w:pPr>
            <w:r>
              <w:rPr>
                <w:rFonts w:ascii="Times New Roman"/>
                <w:b w:val="false"/>
                <w:i w:val="false"/>
                <w:color w:val="000000"/>
                <w:sz w:val="20"/>
              </w:rPr>
              <w:t>Возможность аудиоиндикации соединений.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Формирователь IP-соединений «АМУЛЕТ» (1 шт.)</w:t>
            </w:r>
          </w:p>
          <w:tbl>
            <w:tblPr>
              <w:tblW w:w="0" w:type="auto"/>
              <w:tblCellSpacing w:w="0" w:type="auto"/>
              <w:tblBorders>
                <w:top w:val="none"/>
                <w:left w:val="none"/>
                <w:bottom w:val="none"/>
                <w:right w:val="none"/>
                <w:insideH w:val="none"/>
                <w:insideV w:val="none"/>
              </w:tblBorders>
            </w:tblPr>
            <w:tblGrid>
              <w:gridCol w:w="2561"/>
              <w:gridCol w:w="3428"/>
            </w:tblGrid>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Диапазон формирования и измерения длительности IP- соединений </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 с</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допускаемой абсолютной погрешности формирования и измерения длительности IP-соединений</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с</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Диапазон формирования и измерения количества информации </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байт - 10 Мбайт</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погрешность формирования и измерения количества информации IP-соединений</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байт</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наработка на отказ прибора, не менее </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часов</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срок службы прибора, не менее </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лет </w:t>
                  </w:r>
                </w:p>
              </w:tc>
            </w:tr>
          </w:tbl>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длин акустических ультразвуковая МАДУ-1 (3 шт.)</w:t>
            </w:r>
          </w:p>
          <w:tbl>
            <w:tblPr>
              <w:tblW w:w="0" w:type="auto"/>
              <w:tblCellSpacing w:w="0" w:type="auto"/>
              <w:tblBorders>
                <w:top w:val="none"/>
                <w:left w:val="none"/>
                <w:bottom w:val="none"/>
                <w:right w:val="none"/>
                <w:insideH w:val="none"/>
                <w:insideV w:val="none"/>
              </w:tblBorders>
            </w:tblPr>
            <w:tblGrid>
              <w:gridCol w:w="1739"/>
              <w:gridCol w:w="1681"/>
              <w:gridCol w:w="26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Номинальные значения воспроизводимых расстояний между соседними нитевидными мишенями, предназначенными для измерения линейных размеров в продольном и поперечном (относительно оси ультразвукового пучка) направлениях,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допускаемой относительной погрешности воспроизведения расстояний между соседними мишенями, %</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Номинальные значения воспроизводимых расстояний между соседними мишенями в группах мишеней, предназначенных для оценки поперечного и продольного разрешения,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1,0; 2,0; 3,0</w:t>
                  </w:r>
                </w:p>
              </w:tc>
            </w:tr>
            <w:tr>
              <w:trPr>
                <w:trHeight w:val="30" w:hRule="atLeast"/>
              </w:trPr>
              <w:tc>
                <w:tcPr>
                  <w:tcW w:w="17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допускаемой относительной погрешности задания расстояний между соседними мишенями для оценки разрешения, %</w:t>
                  </w: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0,5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tcBorders>
                </w:tcP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1,0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tcBorders>
                </w:tcP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2,0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tcBorders>
                </w:tcP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3,0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нитевидных мишеней, мм</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bl>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Переносные измерители мощности ультразвукового излучения: ИМУ-4ПМ (0,05…3 Вт) и ИМУ-4ПМ-01 (0,1…12 Вт), ЗАО “НПЦентр”, Москва; (3 шт.)</w:t>
            </w:r>
          </w:p>
          <w:p>
            <w:pPr>
              <w:spacing w:after="20"/>
              <w:ind w:left="20"/>
              <w:jc w:val="both"/>
            </w:pPr>
            <w:r>
              <w:rPr>
                <w:rFonts w:ascii="Times New Roman"/>
                <w:b w:val="false"/>
                <w:i w:val="false"/>
                <w:color w:val="000000"/>
                <w:sz w:val="20"/>
              </w:rPr>
              <w:t>Измеряемая мощность:</w:t>
            </w:r>
          </w:p>
          <w:p>
            <w:pPr>
              <w:spacing w:after="20"/>
              <w:ind w:left="20"/>
              <w:jc w:val="both"/>
            </w:pPr>
            <w:r>
              <w:rPr>
                <w:rFonts w:ascii="Times New Roman"/>
                <w:b w:val="false"/>
                <w:i w:val="false"/>
                <w:color w:val="000000"/>
                <w:sz w:val="20"/>
              </w:rPr>
              <w:t>от 0,05 до 3 Вт (исполнение ИМУ-4ПМ) – контроль оборудования УЗИ, а также УЗТ;</w:t>
            </w:r>
          </w:p>
          <w:p>
            <w:pPr>
              <w:spacing w:after="20"/>
              <w:ind w:left="20"/>
              <w:jc w:val="both"/>
            </w:pPr>
            <w:r>
              <w:rPr>
                <w:rFonts w:ascii="Times New Roman"/>
                <w:b w:val="false"/>
                <w:i w:val="false"/>
                <w:color w:val="000000"/>
                <w:sz w:val="20"/>
              </w:rPr>
              <w:t>от 0,1 до 12 Вт (исполнение ИМУ-4ПМ-01) – контроль аппаратов УЗТ.</w:t>
            </w:r>
          </w:p>
          <w:p>
            <w:pPr>
              <w:spacing w:after="20"/>
              <w:ind w:left="20"/>
              <w:jc w:val="both"/>
            </w:pPr>
            <w:r>
              <w:rPr>
                <w:rFonts w:ascii="Times New Roman"/>
                <w:b w:val="false"/>
                <w:i w:val="false"/>
                <w:color w:val="000000"/>
                <w:sz w:val="20"/>
              </w:rPr>
              <w:t xml:space="preserve">Пределы основной относительной погрешности измерений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о,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о = ±(7 + 0,3/P) для исполнения ИМУ-4ПМ;</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о = ±(7 + 1,5/P) для исполнения ИМУ-4ПМ-01,</w:t>
            </w:r>
          </w:p>
          <w:p>
            <w:pPr>
              <w:spacing w:after="20"/>
              <w:ind w:left="20"/>
              <w:jc w:val="both"/>
            </w:pPr>
            <w:r>
              <w:rPr>
                <w:rFonts w:ascii="Times New Roman"/>
                <w:b w:val="false"/>
                <w:i w:val="false"/>
                <w:color w:val="000000"/>
                <w:sz w:val="20"/>
              </w:rPr>
              <w:t>где Р – измеренная мощность, Вт.</w:t>
            </w:r>
          </w:p>
          <w:p>
            <w:pPr>
              <w:spacing w:after="20"/>
              <w:ind w:left="20"/>
              <w:jc w:val="both"/>
            </w:pPr>
            <w:r>
              <w:rPr>
                <w:rFonts w:ascii="Times New Roman"/>
                <w:b w:val="false"/>
                <w:i w:val="false"/>
                <w:color w:val="000000"/>
                <w:sz w:val="20"/>
              </w:rPr>
              <w:t>Разрешающая способность шкалы отсчета перемещения мишени 1 мм.</w:t>
            </w:r>
          </w:p>
          <w:p>
            <w:pPr>
              <w:spacing w:after="20"/>
              <w:ind w:left="20"/>
              <w:jc w:val="both"/>
            </w:pPr>
            <w:r>
              <w:rPr>
                <w:rFonts w:ascii="Times New Roman"/>
                <w:b w:val="false"/>
                <w:i w:val="false"/>
                <w:color w:val="000000"/>
                <w:sz w:val="20"/>
              </w:rPr>
              <w:t>Чувствительность не менее:</w:t>
            </w:r>
          </w:p>
          <w:p>
            <w:pPr>
              <w:spacing w:after="20"/>
              <w:ind w:left="20"/>
              <w:jc w:val="both"/>
            </w:pPr>
            <w:r>
              <w:rPr>
                <w:rFonts w:ascii="Times New Roman"/>
                <w:b w:val="false"/>
                <w:i w:val="false"/>
                <w:color w:val="000000"/>
                <w:sz w:val="20"/>
              </w:rPr>
              <w:t>25 мм/Вт для исполнения ИМУ-4ПМ;</w:t>
            </w:r>
          </w:p>
          <w:p>
            <w:pPr>
              <w:spacing w:after="20"/>
              <w:ind w:left="20"/>
              <w:jc w:val="both"/>
            </w:pPr>
            <w:r>
              <w:rPr>
                <w:rFonts w:ascii="Times New Roman"/>
                <w:b w:val="false"/>
                <w:i w:val="false"/>
                <w:color w:val="000000"/>
                <w:sz w:val="20"/>
              </w:rPr>
              <w:t>10 мм/Вт для исполнения ИМУ-4МП-01.</w:t>
            </w:r>
          </w:p>
          <w:p>
            <w:pPr>
              <w:spacing w:after="20"/>
              <w:ind w:left="20"/>
              <w:jc w:val="both"/>
            </w:pPr>
            <w:r>
              <w:rPr>
                <w:rFonts w:ascii="Times New Roman"/>
                <w:b w:val="false"/>
                <w:i w:val="false"/>
                <w:color w:val="000000"/>
                <w:sz w:val="20"/>
              </w:rPr>
              <w:t>Максимальный размер рабочей поверхности испытуемого датчика (излучателя) 60 мм.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 по эталонным лабораториям: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Перечень эталонного оборудования для поверочных лабораторий Центра по стандартизации и метрологии при Министерстве экономики Кыргызской Республики</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Оптические и физико-химические измерения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стандартизации и метрологии при Министерстве экономики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52 и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светофильтров нейтральных планшетного типа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мер ОДО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образцовых рефрактометрических пластин типа ОПР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светофильтров КС – 105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нейтральных светофильтров планшетного типа КСП-01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нейтральных светофильтров КНФ-1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образцовых нейтральных светофильтров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фильтрования градуировочных жидкостей в вискозиметрии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паров этанола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«искусственный глаз» (1 шт.)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Стеклянные меры плотности с номинальным значением 3 г/см</w:t>
            </w:r>
            <w:r>
              <w:rPr>
                <w:rFonts w:ascii="Times New Roman"/>
                <w:b w:val="false"/>
                <w:i w:val="false"/>
                <w:color w:val="000000"/>
                <w:vertAlign w:val="superscript"/>
              </w:rPr>
              <w:t>3</w:t>
            </w:r>
            <w:r>
              <w:rPr>
                <w:rFonts w:ascii="Times New Roman"/>
                <w:b w:val="false"/>
                <w:i w:val="false"/>
                <w:color w:val="000000"/>
                <w:sz w:val="20"/>
              </w:rPr>
              <w:t xml:space="preserve">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образцы плотности жидкостей (7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Буферные растворы рН 1 разряда (10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образцы электропроводности жидкости (9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Фотометрическая скамья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состоящий из дистиллятора и системы деионизации воды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измерения электропроводности жидкостей (прецизионный измеритель сопротивления и первичные кондуктометрические ячейки)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Лаборатория давления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Эталонный грузопоршневой манометр МП-60, 2 разряд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Эталонный грузопоршневой манометр МП-04, 3 разряд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Цифровой манометр калибратор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 грузопоршневой МП-0,4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Грузопоршневой манометр МП-6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Манометры грузопоршневые МП-6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Манометры грузопоршневые МП-60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Манометры образцовые МО (10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Поверочная лаборатория измерения температуры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Криостат ТЕРМОТЕСТ-100-07, включая рабочую жидкость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сухоблочный ТС 250-2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Калибратор температуры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образцовый масляный, включая рабочую жидкость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образцовый водяной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Поверочная лаборатория измерения времени, частоты, электрических и радиотехнических величин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УППУ-МЭ.3.1.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У358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Эталонный омметр Щ306-2,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ЦУ 6804 м,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Образцовый счетчик ЦЭ 6806 П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проверки электронных счетчиков электрической энергии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Эталонный электронный трехфазный счетчик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поверки трансформаторов тока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для эталонных мер сопротивления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для эталонных мер индуктивности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для эталонных мер емкости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Компаратор индуктивности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Компаратор емкости (1 шт.)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Поверочная лаборатория измерения массы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Компаратор массы тензометрический ТКГ в комплекте с набором эталонных гирь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Передвижная весоповерочная лаборатория СПВЛ-20 ТПП с комплектом эталонных гирь класса М</w:t>
            </w:r>
            <w:r>
              <w:rPr>
                <w:rFonts w:ascii="Times New Roman"/>
                <w:b w:val="false"/>
                <w:i w:val="false"/>
                <w:color w:val="000000"/>
                <w:vertAlign w:val="subscript"/>
              </w:rPr>
              <w:t>1</w:t>
            </w:r>
            <w:r>
              <w:rPr>
                <w:rFonts w:ascii="Times New Roman"/>
                <w:b w:val="false"/>
                <w:i w:val="false"/>
                <w:color w:val="000000"/>
                <w:sz w:val="20"/>
              </w:rPr>
              <w:t xml:space="preserve">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Передвижная весоповерочная лаборатория СПВЛ-20 ТПП с комплектом эталонных гирь класса М1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гирь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гирь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Эталонные электронные весы специализированного класса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гирь класса М1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гирь класса М1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эталонные специального разряда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образцовые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образцовые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автомобильные электронные стационарные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Гири класса Е2 (1 шт.)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Поверочная лаборатория измерения силы и твердости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твердости по Роквеллу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твердости по Брюнелю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Измерения параметров движения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поверки радаров ИС-24Д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 для поверки измерителей скорости ИС-24Д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поверки электронных спидометров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Измерение параметров уровня, расхода и объема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Передвижная лаборатория для градуировки горизонтальных стальных резервуаров ПИГЛ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эталонный на автомобильном шасси М2Р-2000-01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эталонный М2Р-10,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эталонный на автомобильном шасси М2Р-1000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металлический образцовый М-2Р-2000-01,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образцовый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поверки водомеров, кл точности 0,5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Лазерный дальномер марки LeicaDistoD3a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поверки газовых счетчиков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металлический образцовый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металлический образцовый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металлический образцовый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металлический образцовый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 металлический образцовый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Переносная установка для проверки водосчетчиков бытовых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Передвижная лаборатория калибровки резервуаров и автоцистерн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Лазерный 3D сканер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Мерники образцовые МО-2-10; МО-2-20; МО-2-50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поверки газовых счетчиков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Дальномер лазерный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Поверочная лаборатория измерения длины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Штриховые меры длины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длины концевые плоскопараллельные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Поверка медицинской техники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Эталонная установка для поверки электрокардиографов (УЭП, ЭКГ)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 Фантом Ф-1 (или ИМЧ-01) для измерений мощности УВЧ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поверочным лабораториям: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1 503 500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 по оборудованию:</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1 738 500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предназначенная для подтверждения прослеживаемости вышеуказанного оборудования (все измерительное оборудование должно быть с действующими сертификатами поверки и с сертификатами калибровки международного образца в соответствии с требованиями ИСО/МЭК 17025)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стандартизации и метрологии при Министерстве экономики Кыргызской Республики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52 и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Перечень оборудования, необходимого для оснащения лабораторий текстильных материалов Ошского ЦИСМа</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Газовый хроматограф модель 2010 Plus с пламенно-ионизированным детектором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стандартизации и метрологии при Министерстве экономики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52 и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Хроматомасс-спектрометр GCMS – QP 2010 Ultra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Вольтамперометр с программным и информационным обеспечением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Климатическая камера КТВО-250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технические настольного типа Ohaus Scout® Pro Portable Balance,200g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аналитические A&amp;D Galaxy HR-AZ Analytical Balance, 252g x 0.1mg with Internal Calibration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 для определения воздухопроницаемости тканей M021A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 уровня напряженности электростатического поля СТ-01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Анализатор токсичности АТ-05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крокметр M238 BB ELECTRONIC CROCKMETER/RUBBING FASTNEST TESTER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вытяжной для выпаривания кислот Моd. -1500 ШВКС с керамогранитной основой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Перспирометр M231/PR1-3(1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с охлаждением ТВ-20П3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Дистиллятор Compact General Purpose Still, 4 L/hr, 220/240 VAC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Кондиционер для отделения химических исследований мод. SYAC 0151А фирмы AMICO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Кондиционер «Samsung» для отделения пробоподготовки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 для хранения химреактивов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Сушильный шкаф Memmert UNE 200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Электрическая муфельная печь СНОЛ 3/10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БиДистиллятор Double still 1L/hr, 220/240 VAC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рН-метр Hanna H1 2215,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Разрывная машина 2166 Р-5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оборудование для текстильной лаборатории: детекторы, ГСО, посуда химическая, баллоны, колонки, сосуды Дьюара, насосы, очистители воды, генераторы водорода и азота, компрессор масляный, шкафы для баллонов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прочности крепления подошв рантового, допельного и сандального методов крепления (1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прочности крепления подошв гвоздевого, винтового, деревянно-шпилечного и прошивного методов крепления (2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оснащению лабораторий текстильных материалов Ошского ЦИСМа: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605 500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Перечень оборудования, необходимого для оснащения пищевой и сельскохозяйственной лабораторий Джалал-Абадского, Таласского, Нарынского ЦИСМов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Фотоэлектрокалориметр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стандартизации и метрологии при Министерстве экономики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52 и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Психрометр (10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Иономер электронный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 люминесцентный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Поляриметр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Анализатор ртути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Спектрометр плазменно–индукционный с программным и информационным обеспечением (3 шт.)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 газовый для водки и спиртов с информационным обеспечением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 ВЖХ для меламина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Вольтамперометр с программным и информационным обеспечением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 газовый и жидкостный с программным и информационным обеспечением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 медицинский (6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суховоздушный (без охлаждения/ с охлаждением) (6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ламинарный для микробиологической лаборатории (6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паровой (автоклав)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Облучатель бактерицидный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смеси (ГСО), микробиологические среды чистые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Встряхиватель орбитальный (с подогревом) (6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лабораторные электронные (6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мебельный лабораторный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Расходные материалы и вспомогательное оборудование (3 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испытательным лабораториям пищевой продукции Нарынского, Таласского и Джалалабадского ЦИСМов: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1 308 195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 по испытательным лабораториям: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1 913 695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лабораторий: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98 767</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технического регулирования и метрологии Министерства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стандартизации и метрологии при Министерстве экономики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52 и 57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стандартов и методик испытаний: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ЦСМ при МЭ КР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55 и 56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4 622 486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В сфере транспорта и инфраструктуры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Оснащение лаборатории ГП «НК «Кыргыз темир жолу»</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 на комбинированном ходу «ЛДМ-1» на базе внедорожника, оснащенная системой дефектоскопии и путей измерения, с учетом доставки и обучения специалистов (производитель АО «Фирма Твема», Россия)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годы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инвестициям и развитию Республики Казахстан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дорог Кыргызской Республики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30 ДК ТС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Эталонное оборудование для поверки гирь массой 2 тонны весоповерочного вагона ВПВ 640, включающее:</w:t>
            </w:r>
          </w:p>
          <w:p>
            <w:pPr>
              <w:spacing w:after="20"/>
              <w:ind w:left="20"/>
              <w:jc w:val="both"/>
            </w:pPr>
            <w:r>
              <w:rPr>
                <w:rFonts w:ascii="Times New Roman"/>
                <w:b w:val="false"/>
                <w:i w:val="false"/>
                <w:color w:val="000000"/>
                <w:sz w:val="20"/>
              </w:rPr>
              <w:t>- Электронный компаратор массы «CCS 3000 K Sartorius» для проверки гирь 2000 кг класса «М»;</w:t>
            </w:r>
          </w:p>
          <w:p>
            <w:pPr>
              <w:spacing w:after="20"/>
              <w:ind w:left="20"/>
              <w:jc w:val="both"/>
            </w:pPr>
            <w:r>
              <w:rPr>
                <w:rFonts w:ascii="Times New Roman"/>
                <w:b w:val="false"/>
                <w:i w:val="false"/>
                <w:color w:val="000000"/>
                <w:sz w:val="20"/>
              </w:rPr>
              <w:t>- Эталонная гиря 1000 кг класса «F2» (тритий)</w:t>
            </w:r>
          </w:p>
          <w:p>
            <w:pPr>
              <w:spacing w:after="20"/>
              <w:ind w:left="20"/>
              <w:jc w:val="both"/>
            </w:pPr>
            <w:r>
              <w:rPr>
                <w:rFonts w:ascii="Times New Roman"/>
                <w:b w:val="false"/>
                <w:i w:val="false"/>
                <w:color w:val="000000"/>
                <w:sz w:val="20"/>
              </w:rPr>
              <w:t>(поставщик «Технический центр фирмы Sartorius в Казахстане и Кыргызстане» (завод в Германии)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измерения параметров тормозного оборудования вагонов (СИТОВ-ДР)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577 840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 РАЗДЕЛАМ: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7 659 745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