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0da3" w14:textId="6460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присоединении Кыргызской Республики к Соглашению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 от 29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2016 года №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Кыргызской Республики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 от 29 мая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2016 года №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присоединении Кыргызской Республики к Соглашению</w:t>
      </w:r>
      <w:r>
        <w:br/>
      </w:r>
      <w:r>
        <w:rPr>
          <w:rFonts w:ascii="Times New Roman"/>
          <w:b/>
          <w:i w:val="false"/>
          <w:color w:val="000000"/>
        </w:rPr>
        <w:t>
о перемещении озоноразрушающих веществ и содержащей их</w:t>
      </w:r>
      <w:r>
        <w:br/>
      </w:r>
      <w:r>
        <w:rPr>
          <w:rFonts w:ascii="Times New Roman"/>
          <w:b/>
          <w:i w:val="false"/>
          <w:color w:val="000000"/>
        </w:rPr>
        <w:t>
продукции и учете озоноразрушающих веществ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
взаимной торговли государств-членов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от 29 мая 2015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государств-членов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Кыргызской Республики к Договору о Евразийском экономическом союзе от 29 мая 2014 года, подписанного 23 декабря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Протоколом Кыргызская Республика присоединяется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 от 29 мая 2015 года.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Евразийского экономического союза внутригосударственных процедур, необходимых для вступления настоящего Протокола в силу, но не ранее даты вступления в силу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 от 29 мая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________________ «___» _____________ 2016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Евразийского экономического союза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00"/>
        <w:gridCol w:w="2500"/>
        <w:gridCol w:w="2500"/>
        <w:gridCol w:w="2500"/>
        <w:gridCol w:w="2500"/>
      </w:tblGrid>
      <w:tr>
        <w:trPr>
          <w:trHeight w:val="30" w:hRule="atLeast"/>
        </w:trPr>
        <w:tc>
          <w:tcPr>
            <w:tcW w:w="2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Армения</w:t>
            </w:r>
          </w:p>
        </w:tc>
        <w:tc>
          <w:tcPr>
            <w:tcW w:w="2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Беларусь</w:t>
            </w:r>
          </w:p>
        </w:tc>
        <w:tc>
          <w:tcPr>
            <w:tcW w:w="2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</w:p>
        </w:tc>
        <w:tc>
          <w:tcPr>
            <w:tcW w:w="2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Кыргызской Республики</w:t>
            </w:r>
          </w:p>
        </w:tc>
        <w:tc>
          <w:tcPr>
            <w:tcW w:w="2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