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1246" w14:textId="43d1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марта 2015 года № 124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2016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2015 года № 124 «Об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промышленности» (САПП Республики Казахстан, 2015 г., № 13, ст. 71)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«Общие положения»: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«Условия и механизмы обусловленного размещения средств в банках второго уровня»: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в рамках кредитного соглашения, заключенного между АО «ФРП «Даму» и БВУ: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более 25 % от лимита на БВУ, одобренных Госкомиссией, составляет доля займов, направляемых БВУ на рефинансирование займов, выданных СМСП в обрабатывающей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 более 25 % от лимита на БВУ, одобренных Госкомиссией, составляет доля займов, направляемых БВУ на цели пополнения оборотных средств СМСП в обрабатывающей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50 % от лимита на БВУ, одобренных Госкомиссией, составляет доля займов, направляемых БВУ на финансирование новых проектов СМСП в обрабатывающей промышленности.».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