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1246" w14:textId="43d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промышленности» (САПП Республики Казахстан, 2015 г., № 13, ст. 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и механизмы обусловленного размещения средств в банках второго уровня»: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рамках кредитного соглашения, заключенного между АО «ФРП «Даму» и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25 % от лимита на БВУ, одобренных Госкомиссией, составляет доля займов, направляемых БВУ на рефинансирование займов, выданных СМСП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 более 25 % от лимита на БВУ, одобренных Госкомиссией, составляет доля займов, направляемых БВУ на цели пополнения оборотных средств СМСП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50 % от лимита на БВУ, одобренных Госкомиссией, составляет доля займов, направляемых БВУ на финансирование новых проектов СМСП в обрабатывающей промышленности.».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