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e37" w14:textId="e45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2016 год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2015 года направить заключение Российской Стороне по 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1121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 пусков</w:t>
      </w:r>
      <w:r>
        <w:br/>
      </w:r>
      <w:r>
        <w:rPr>
          <w:rFonts w:ascii="Times New Roman"/>
          <w:b/>
          <w:i w:val="false"/>
          <w:color w:val="000000"/>
        </w:rPr>
        <w:t>
ракет с космодрома «Байконур» на 2016 год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согласовывает представленные Российской Стороной (исх. МИД Российской Федерации № 20336/3дснг от 19 ноября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запусков космических аппаратов на 2016 год в рамках Федеральной космической программы России на 2016 – 2025 годы, федеральной целевой программы «Поддержание, развитие и использование системы ГЛОНАСС на 2012 – 2020 годы», программ международного сотрудничества и коммерческих проектов с космодрома «Байконур»;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«Байконур» на 2016 год.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