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766f" w14:textId="00f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 апреля 2010 года № 962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2015 года №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 апреля 2010 года № 962 «О Концепции формирования и использования средств Национального фонда Республики Казахстан».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 апреля 2010 года № 962</w:t>
      </w:r>
      <w:r>
        <w:br/>
      </w:r>
      <w:r>
        <w:rPr>
          <w:rFonts w:ascii="Times New Roman"/>
          <w:b/>
          <w:i w:val="false"/>
          <w:color w:val="000000"/>
        </w:rPr>
        <w:t>
«О Концепции формирования и использования средств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фонда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«О Концепции формирования и использования средств Национального фонда Республики Казахстан» (САПП Республики Казахстан, 2010 г., № 27, ст. 203)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формирования и использования средств Национального фонда Республики Казахстан, одобренной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«Порядок формирования и использования средств Национального фонда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превышения ожидаемого поступления доходов над плановыми, предусматривается возврат части привлеченного гарантированного трансферта из Национального фонда в республиканский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возврат из республиканского бюджета части привлеченного гарантированного трансферта из Национального фонда осуществляется в порядке, определенном центральным уполномоченным органом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неиспользования по итогам финансового года суммы, привлеченной из Национального фонда в республиканский бюджет в виде целевого трансферта, неиспользованная сумма подлежит возврату в Национальный фонд за счет остатков средств соответствующего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7 «Заключение»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в рамках данной Концепции затрагивает основы функционирования и выбора оптимальной модели формирования накоплений Национального фонда, изменение инвестиционной стратегии и требует внесения изменений в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будут внесены соответствующие изменения в соответствующие нормативные правовые акты Республики Казахстан, регулирующие деятельность Национального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по сбалансированности бюджета и Национального фонда будет направлена на сокращение ненефтяного дефицита государственного бюджета (без учета вывозной таможенной пошлины на сырую нефть), который должен составлять не более 6 % к ВВП в 2020 году, а также на сокращение текущих расходов из средств Национального фонда с последующим переходом на финансирование только бюджета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вышеизложенных подходов средства Национального фонда в 2020 году должны составить не менее 70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реализация мер, предусмотренных настоящей Концепцией, будет способствовать дальнейшему поддержанию стабильности республиканского бюджета, диверсификации экономики и перераспределению нефтяных доходов между поколениями.».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