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4c77a" w14:textId="694c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31 декабря 2013 года № 1536 "Об утверждении Национального плана распределения квот на выбросы парниковых газов на 2014 - 2015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ноября 2015 года № 927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декабря 2013 года № 1536 «Об утверждении Национального плана распределения квот на выбросы парниковых газов на 2014 – 2015 годы» (САПП Республики Казахстан, 2013 г., № 79, ст. 1047)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Национальном 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распределения квот на выбросы парниковых газов на 2014 – 2015 годы, утвержденном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Объем квоты в количестве 152 790 480 единиц для действующих установок бесплатно распределяется по отраслям экономики на 2015 год согласно таблице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Национальному плану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Национальному плану: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единицах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объема квот для функционирующих установок энергетической отрасли: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49,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4"/>
        <w:gridCol w:w="4302"/>
        <w:gridCol w:w="2203"/>
        <w:gridCol w:w="2404"/>
        <w:gridCol w:w="2203"/>
        <w:gridCol w:w="2204"/>
      </w:tblGrid>
      <w:tr>
        <w:trPr>
          <w:trHeight w:val="30" w:hRule="atLeast"/>
        </w:trPr>
        <w:tc>
          <w:tcPr>
            <w:tcW w:w="6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4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ГКП «Теплокоммунэнерго»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609 573</w:t>
            </w:r>
          </w:p>
        </w:tc>
        <w:tc>
          <w:tcPr>
            <w:tcW w:w="2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375 517</w:t>
            </w:r>
          </w:p>
        </w:tc>
        <w:tc>
          <w:tcPr>
            <w:tcW w:w="22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600 429</w:t>
            </w:r>
          </w:p>
        </w:tc>
        <w:tc>
          <w:tcPr>
            <w:tcW w:w="22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975 946</w:t>
            </w:r>
          </w:p>
        </w:tc>
      </w:tr>
    </w:tbl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31"/>
        <w:gridCol w:w="2786"/>
        <w:gridCol w:w="2786"/>
        <w:gridCol w:w="2787"/>
        <w:gridCol w:w="2810"/>
      </w:tblGrid>
      <w:tr>
        <w:trPr>
          <w:trHeight w:val="30" w:hRule="atLeast"/>
        </w:trPr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ИТОГО: 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7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91 496 552</w:t>
            </w:r>
          </w:p>
        </w:tc>
        <w:tc>
          <w:tcPr>
            <w:tcW w:w="28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184 386 453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 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61"/>
        <w:gridCol w:w="2862"/>
        <w:gridCol w:w="2862"/>
        <w:gridCol w:w="2862"/>
        <w:gridCol w:w="2553"/>
      </w:tblGrid>
      <w:tr>
        <w:trPr>
          <w:trHeight w:val="405" w:hRule="atLeast"/>
        </w:trPr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93 123 957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91 727 097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184 616 998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  К. Масимов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19 ноября 2015 года № 927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Национальному плану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распределения квот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 выбросы парниковых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газов на 2014 – 2015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 </w:t>
      </w:r>
      <w:r>
        <w:rPr>
          <w:rFonts w:ascii="Times New Roman"/>
          <w:b/>
          <w:i w:val="false"/>
          <w:color w:val="000000"/>
          <w:sz w:val="28"/>
        </w:rPr>
        <w:t>Единицы объема квот по отраслям экономики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71"/>
        <w:gridCol w:w="2473"/>
        <w:gridCol w:w="3703"/>
        <w:gridCol w:w="4253"/>
      </w:tblGrid>
      <w:tr>
        <w:trPr>
          <w:trHeight w:val="9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Отрасль экономики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предприятий отрасли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 на 2014 г. (0 % от базовой линии), тонн двуокиси углерода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 квот на 2015 г. (1,5 % от базовой линии), тонн двуокиси углерода</w:t>
            </w:r>
          </w:p>
        </w:tc>
      </w:tr>
      <w:tr>
        <w:trPr>
          <w:trHeight w:val="64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Энергетическая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92 889 901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91 727 097</w:t>
            </w:r>
          </w:p>
        </w:tc>
      </w:tr>
      <w:tr>
        <w:trPr>
          <w:trHeight w:val="6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Добыча угля, нефти и газа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23 430 347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23 078 885</w:t>
            </w:r>
          </w:p>
        </w:tc>
      </w:tr>
      <w:tr>
        <w:trPr>
          <w:trHeight w:val="6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38 562 942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37 984 498</w:t>
            </w:r>
          </w:p>
        </w:tc>
      </w:tr>
      <w:tr>
        <w:trPr>
          <w:trHeight w:val="615" w:hRule="atLeast"/>
        </w:trPr>
        <w:tc>
          <w:tcPr>
            <w:tcW w:w="3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3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154 883 190</w:t>
            </w:r>
          </w:p>
        </w:tc>
        <w:tc>
          <w:tcPr>
            <w:tcW w:w="4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152 790 480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